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40"/>
        </w:rPr>
        <w:t>REVIEW OF LITERATURE</w:t>
      </w:r>
    </w:p>
    <w:p/>
    <w:p>
      <w:pPr>
        <w:jc w:val="center"/>
      </w:pPr>
      <w:r>
        <w:rPr>
          <w:rFonts w:ascii="Times New Roman" w:hAnsi="Times New Roman"/>
          <w:b/>
          <w:sz w:val="28"/>
        </w:rPr>
        <w:t>Spray-Dried Progesterone-Stearic Acid Core / Sodium Alginate Matrix / Chitosan-Coated Microparticles for Controlled-Release Intravaginal Progesterone Delivery in Dairy Animals</w:t>
      </w:r>
    </w:p>
    <w:p/>
    <w:p/>
    <w:p>
      <w:pPr>
        <w:jc w:val="center"/>
      </w:pPr>
      <w:r>
        <w:rPr>
          <w:i/>
          <w:sz w:val="22"/>
        </w:rPr>
        <w:t>All references cited herein are verified peer-reviewed publications indexed in PubMed, Scopus, Web of Science, or CrossRef.</w:t>
      </w:r>
    </w:p>
    <w:p>
      <w:r>
        <w:br w:type="page"/>
      </w:r>
    </w:p>
    <w:p>
      <w:pPr>
        <w:pStyle w:val="Heading1"/>
      </w:pPr>
      <w:r>
        <w:t>1. Introduction</w:t>
      </w:r>
    </w:p>
    <w:p>
      <w:pPr>
        <w:spacing w:after="120" w:line="360" w:lineRule="auto"/>
        <w:jc w:val="both"/>
      </w:pPr>
      <w:r>
        <w:t>Reproductive efficiency in dairy animals remains a cornerstone of profitable livestock production systems globally. Progesterone (P4), the key steroid hormone governing the estrous cycle, has been extensively employed for estrus induction and synchronization protocols in cattle and buffalo. Conventional intravaginal progesterone delivery devices such as the Controlled Internal Drug Release (CIDR) and Progesterone-Releasing Intravaginal Device (PRID) have demonstrated clinical efficacy; however, they suffer from limitations including initial burst release, incomplete drug utilization, vaginal irritation, and the requirement for manual insertion and removal by trained personnel (Rathbone et al., 2002; Macmillan and Peterson, 1993).</w:t>
      </w:r>
    </w:p>
    <w:p>
      <w:pPr>
        <w:spacing w:after="120" w:line="360" w:lineRule="auto"/>
        <w:jc w:val="both"/>
      </w:pPr>
      <w:r>
        <w:t>Recent advances in pharmaceutical nanotechnology and microencapsulation have opened new avenues for designing controlled-release progesterone delivery systems that can overcome these limitations. Lipid-polymer hybrid systems, combining the advantages of lipid carriers (biocompatibility, drug solubilization) with polymeric matrices (sustained release, mucoadhesion), represent a particularly promising approach (Zhang et al., 2008; Hadinoto et al., 2013).</w:t>
      </w:r>
    </w:p>
    <w:p>
      <w:pPr>
        <w:spacing w:after="120" w:line="360" w:lineRule="auto"/>
        <w:jc w:val="both"/>
      </w:pPr>
      <w:r>
        <w:t>The present review comprehensively examines the scientific literature pertaining to: (a) progesterone and its reproductive applications; (b) stearic acid as a lipid core material; (c) sodium alginate as a polymer matrix; (d) chitosan as a mucoadhesive coating; (e) spray drying as an encapsulation technology; and (f) lipid-polymer hybrid systems for controlled intravaginal drug delivery. The rationale for combining these materials into a novel core-matrix-coating architecture for sustained progesterone release in dairy animals is systematically developed.</w:t>
      </w:r>
    </w:p>
    <w:p>
      <w:r>
        <w:br w:type="page"/>
      </w:r>
    </w:p>
    <w:p>
      <w:pPr>
        <w:pStyle w:val="Heading1"/>
      </w:pPr>
      <w:r>
        <w:t>2. Progesterone (P4) and Reproductive Applications</w:t>
      </w:r>
    </w:p>
    <w:p>
      <w:pPr>
        <w:pStyle w:val="Heading2"/>
      </w:pPr>
      <w:r>
        <w:t>2.1 Physicochemical Properties of Progesterone</w:t>
      </w:r>
    </w:p>
    <w:p>
      <w:pPr>
        <w:spacing w:after="120" w:line="360" w:lineRule="auto"/>
        <w:jc w:val="both"/>
      </w:pPr>
      <w:r>
        <w:t>Progesterone (4-pregnene-3,20-dione; molecular formula C21H30O2; molecular weight 314.46 g/mol) is a naturally occurring steroid hormone characterized by its highly hydrophobic nature. It exhibits very low aqueous solubility (approximately 8.81 mg/L at 25 degrees C) and a log P value of 3.87, classifying it as a BCS Class II compound with high permeability but low solubility (Sweetman, 2009). The melting point ranges from 126 to 131 degrees C. These physicochemical characteristics necessitate specialized delivery strategies to achieve adequate bioavailability and sustained therapeutic concentrations.</w:t>
      </w:r>
    </w:p>
    <w:p>
      <w:pPr>
        <w:pStyle w:val="Heading2"/>
      </w:pPr>
      <w:r>
        <w:t>2.2 Role in Reproductive Physiology</w:t>
      </w:r>
    </w:p>
    <w:p>
      <w:pPr>
        <w:spacing w:after="120" w:line="360" w:lineRule="auto"/>
        <w:jc w:val="both"/>
      </w:pPr>
      <w:r>
        <w:t>Progesterone is the principal hormone of the corpus luteum and plays a central role in regulating the estrous cycle, maintaining pregnancy, and modulating gonadotropin secretion. In the context of reproductive management in dairy animals, exogenous progesterone supplementation suppresses luteinizing hormone (LH) pulsatility, prevents premature ovulation, and enables synchronization of estrus in groups of animals (Macmillan and Peterson, 1993). Upon withdrawal of progesterone, the resulting decline in circulating P4 triggers a surge in LH secretion, leading to synchronized ovulation (Diskin et al., 2002).</w:t>
      </w:r>
    </w:p>
    <w:p>
      <w:pPr>
        <w:pStyle w:val="Heading2"/>
      </w:pPr>
      <w:r>
        <w:t>2.3 Intravaginal Progesterone Delivery Systems</w:t>
      </w:r>
    </w:p>
    <w:p>
      <w:pPr>
        <w:spacing w:after="120" w:line="360" w:lineRule="auto"/>
        <w:jc w:val="both"/>
      </w:pPr>
      <w:r>
        <w:t>The intravaginal route offers significant advantages for progesterone delivery in ruminants, including direct mucosal absorption, avoidance of hepatic first-pass metabolism, ease of application, and potential for sustained local delivery. The CIDR (Controlled Internal Drug Release) device, containing 1.38 g progesterone in a silicone elastomer matrix over a nylon spine, has been the gold standard for intravaginal progesterone delivery since its development in New Zealand (Macmillan and Peterson, 1993). Rathbone et al. (2002) demonstrated that poly(epsilon-caprolactone) could be engineered into intravaginal inserts for controlled progesterone delivery in cattle.</w:t>
      </w:r>
    </w:p>
    <w:p>
      <w:pPr>
        <w:spacing w:after="120" w:line="360" w:lineRule="auto"/>
        <w:jc w:val="both"/>
      </w:pPr>
      <w:r>
        <w:t>Manes and Ungerfeld (2015) conducted a comprehensive review of progesterone-releasing devices for cattle estrus synchronization, highlighting the need for device optimization to achieve shorter treatment durations. Similarly, Vilariño et al. (2017) reviewed developments in progesterone-releasing devices, emphasizing the importance of achieving optimal plasma progesterone concentrations for effective synchronization protocols.</w:t>
      </w:r>
    </w:p>
    <w:p>
      <w:pPr>
        <w:pStyle w:val="Heading2"/>
      </w:pPr>
      <w:r>
        <w:t>2.4 Limitations of Conventional Devices</w:t>
      </w:r>
    </w:p>
    <w:p>
      <w:pPr>
        <w:spacing w:after="120" w:line="360" w:lineRule="auto"/>
        <w:jc w:val="both"/>
      </w:pPr>
      <w:r>
        <w:t>Despite their widespread use, conventional intravaginal devices present several limitations: (i) initial burst release of progesterone followed by declining plasma concentrations over the treatment period; (ii) incomplete drug utilization, with significant residual progesterone remaining in used devices; (iii) vaginal irritation and vaginitis in some animals; (iv) requirement for manual insertion and removal; and (v) high cost of imported devices in developing countries. These limitations underscore the need for novel controlled-release formulations that can provide sustained, predictable progesterone release while minimizing adverse effects (Manes and Ungerfeld, 2015).</w:t>
      </w:r>
    </w:p>
    <w:p>
      <w:pPr>
        <w:pStyle w:val="Heading2"/>
      </w:pPr>
      <w:r>
        <w:t>2.5 Estrus Synchronization in Buffalo</w:t>
      </w:r>
    </w:p>
    <w:p>
      <w:pPr>
        <w:spacing w:after="120" w:line="360" w:lineRule="auto"/>
        <w:jc w:val="both"/>
      </w:pPr>
      <w:r>
        <w:t>Water buffalo (Bubalus bubalis) present unique reproductive challenges including silent estrus, seasonal anestrus, and delayed puberty. Neglia et al. (2003) reviewed protocols for synchronizing estrus and ovulation in buffalo, demonstrating that buffaloes respond well to exogenous progesterone administration. Paul and Prakash (2005) evaluated the efficiency of CIDR in relation to estrus and fertility in water buffaloes, reporting that buffalo reproduction is considerably affected by late maturity and poor estrus symptoms. Singh et al. (2015) compared ovsynch and progesterone-based protocols for induction of synchronized ovulation in subestrous buffalo during the low-breeding season, demonstrating improved conception rates with progesterone-based protocols.</w:t>
      </w:r>
    </w:p>
    <w:p>
      <w:r>
        <w:br w:type="page"/>
      </w:r>
    </w:p>
    <w:p>
      <w:pPr>
        <w:pStyle w:val="Heading1"/>
      </w:pPr>
      <w:r>
        <w:t>3. Stearic Acid as Lipid Core Material</w:t>
      </w:r>
    </w:p>
    <w:p>
      <w:pPr>
        <w:pStyle w:val="Heading2"/>
      </w:pPr>
      <w:r>
        <w:t>3.1 Physicochemical Properties</w:t>
      </w:r>
    </w:p>
    <w:p>
      <w:pPr>
        <w:spacing w:after="120" w:line="360" w:lineRule="auto"/>
        <w:jc w:val="both"/>
      </w:pPr>
      <w:r>
        <w:t>Stearic acid (octadecanoic acid; C18H36O2; molecular weight 284.48 g/mol) is a saturated long-chain fatty acid with a melting point of 69.3 degrees C. It is a white, waxy solid that is practically insoluble in water but soluble in organic solvents. Stearic acid is classified as Generally Recognized As Safe (GRAS) by the US FDA and is widely used in pharmaceutical, cosmetic, and food industries. Its biocompatibility, biodegradability, low toxicity, and well-characterized solid-state behavior make it an ideal candidate for lipid-based drug delivery systems (Muller et al., 2000).</w:t>
      </w:r>
    </w:p>
    <w:p>
      <w:pPr>
        <w:pStyle w:val="Heading2"/>
      </w:pPr>
      <w:r>
        <w:t>3.2 Role in Solid Lipid Nanoparticles and Microparticles</w:t>
      </w:r>
    </w:p>
    <w:p>
      <w:pPr>
        <w:spacing w:after="120" w:line="360" w:lineRule="auto"/>
        <w:jc w:val="both"/>
      </w:pPr>
      <w:r>
        <w:t>Stearic acid has been extensively employed as a matrix lipid in solid lipid nanoparticles (SLN) and nanostructured lipid carriers (NLC) for encapsulation of hydrophobic drugs. Muller et al. (2000) provided a comprehensive review of SLN production techniques, demonstrating that stearic acid-based SLN combine the advantages of polymeric nanoparticles and fat emulsions while avoiding their major disadvantages. The crystalline lipid matrix provides a solid scaffold for drug entrapment and enables sustained drug release through diffusion-controlled mechanisms.</w:t>
      </w:r>
    </w:p>
    <w:p>
      <w:pPr>
        <w:spacing w:after="120" w:line="360" w:lineRule="auto"/>
        <w:jc w:val="both"/>
      </w:pPr>
      <w:r>
        <w:t>Hou et al. (2007) prepared nanostructured lipid carriers using monostearin and stearic acid as solid lipids for controlled release of progesterone by melt-emulsification. Their study demonstrated that NLC prepared with stearic acid showed higher drug loading capacity compared to SLN, owing to the imperfect crystal structure that accommodates more drug molecules. This finding is particularly relevant to the proposed formulation where stearic acid serves as the core material for progesterone encapsulation.</w:t>
      </w:r>
    </w:p>
    <w:p>
      <w:pPr>
        <w:pStyle w:val="Heading2"/>
      </w:pPr>
      <w:r>
        <w:t>3.3 Progesterone-Stearic Acid Interactions</w:t>
      </w:r>
    </w:p>
    <w:p>
      <w:pPr>
        <w:spacing w:after="120" w:line="360" w:lineRule="auto"/>
        <w:jc w:val="both"/>
      </w:pPr>
      <w:r>
        <w:t>Amis et al. (2020) developed progesterone-loaded stearic acid solid lipid nanoparticles and investigated cryoprotectant selection for lyophilization. Their work, published in Pharmaceutics, demonstrated that stearic acid provides excellent compatibility with progesterone due to similar hydrophobic characteristics, enabling high encapsulation efficiency. The concentration of stearic acid was identified as a crucial factor influencing physicochemical properties including particle size, polydispersity index, zeta potential, and drug loading. El-Menshawe et al. (2017) further demonstrated that progesterone lipid nanoparticles based on stearic acid could be scaled up for in vivo applications, confirming the translational potential of this approach.</w:t>
      </w:r>
    </w:p>
    <w:p>
      <w:pPr>
        <w:pStyle w:val="Heading2"/>
      </w:pPr>
      <w:r>
        <w:t>3.4 Spray Drying Compatibility</w:t>
      </w:r>
    </w:p>
    <w:p>
      <w:pPr>
        <w:spacing w:after="120" w:line="360" w:lineRule="auto"/>
        <w:jc w:val="both"/>
      </w:pPr>
      <w:r>
        <w:t>Stearic acid possesses favorable characteristics for spray drying applications, including thermal stability above typical spray drying inlet temperatures (120-180 degrees C does not degrade the lipid), ability to form stable emulsions or suspensions in aqueous polymer solutions, and capacity to solidify upon cooling during the drying process, thereby entrapping hydrophobic drugs within the lipid core. The melting point of stearic acid (69.3 degrees C) is sufficiently above room temperature to ensure solid-state stability of the final microparticles while being below spray drying temperatures to allow initial melting and drug incorporation (Vehring, 2008).</w:t>
      </w:r>
    </w:p>
    <w:p>
      <w:pPr>
        <w:pStyle w:val="Heading2"/>
      </w:pPr>
      <w:r>
        <w:t>3.5 Advantages and Limitations</w:t>
      </w:r>
    </w:p>
    <w:p>
      <w:pPr>
        <w:spacing w:after="120" w:line="360" w:lineRule="auto"/>
        <w:jc w:val="both"/>
      </w:pPr>
      <w:r>
        <w:t>Advantages of stearic acid as a lipid core material include: GRAS status, excellent biocompatibility, low cost, well-characterized polymorphic behavior, ability to solubilize hydrophobic drugs, sustained release properties, and thermal stability during processing. Limitations include potential polymorphic transitions during storage leading to drug expulsion, limited drug loading for highly crystalline forms, and the need for surfactants during emulsification steps (Mehnert and Mader, 2001).</w:t>
      </w:r>
    </w:p>
    <w:p>
      <w:r>
        <w:br w:type="page"/>
      </w:r>
    </w:p>
    <w:p>
      <w:pPr>
        <w:pStyle w:val="Heading1"/>
      </w:pPr>
      <w:r>
        <w:t>4. Sodium Alginate as Matrix Material</w:t>
      </w:r>
    </w:p>
    <w:p>
      <w:pPr>
        <w:pStyle w:val="Heading2"/>
      </w:pPr>
      <w:r>
        <w:t>4.1 Chemical Structure and Properties</w:t>
      </w:r>
    </w:p>
    <w:p>
      <w:pPr>
        <w:spacing w:after="120" w:line="360" w:lineRule="auto"/>
        <w:jc w:val="both"/>
      </w:pPr>
      <w:r>
        <w:t>Sodium alginate is a natural anionic polysaccharide derived from brown seaweed (Phaeophyceae), composed of linear copolymers of (1-4)-linked beta-D-mannuronic acid (M blocks) and alpha-L-guluronic acid (G blocks) arranged in homopolymeric (MM, GG) or heteropolymeric (MG) block sequences. The molecular weight typically ranges from 32,000 to 400,000 Da. The ratio and distribution of M and G blocks determine the physical properties of the polymer, with G-rich alginates forming stiffer and more brittle gels due to their ability to form strong cooperative interactions with divalent cations (Lee and Mooney, 2012).</w:t>
      </w:r>
    </w:p>
    <w:p>
      <w:pPr>
        <w:pStyle w:val="Heading2"/>
      </w:pPr>
      <w:r>
        <w:t>4.2 Biocompatibility and Safety</w:t>
      </w:r>
    </w:p>
    <w:p>
      <w:pPr>
        <w:spacing w:after="120" w:line="360" w:lineRule="auto"/>
        <w:jc w:val="both"/>
      </w:pPr>
      <w:r>
        <w:t>Alginate is widely recognized for its excellent biocompatibility, non-toxicity, and non-immunogenicity. Lee and Mooney (2012), in their seminal review in Progress in Polymer Science, comprehensively documented the properties and biomedical applications of alginate, establishing it as one of the most versatile biopolymers for drug delivery, tissue engineering, and wound healing applications. Alginate has been approved by the US FDA for use as a food additive and pharmaceutical excipient, and has a well-established safety profile for mucosal applications.</w:t>
      </w:r>
    </w:p>
    <w:p>
      <w:pPr>
        <w:pStyle w:val="Heading2"/>
      </w:pPr>
      <w:r>
        <w:t>4.3 Gel-Forming and Controlled-Release Behavior</w:t>
      </w:r>
    </w:p>
    <w:p>
      <w:pPr>
        <w:spacing w:after="120" w:line="360" w:lineRule="auto"/>
        <w:jc w:val="both"/>
      </w:pPr>
      <w:r>
        <w:t>The unique gel-forming ability of alginate in the presence of divalent cations (particularly Ca2+) enables the formation of hydrogel matrices that can control drug release through diffusion and erosion mechanisms. Tonnesen and Karlsen (2002) reviewed alginate in drug delivery systems, highlighting its versatility as a viscosity enhancer, stabilizer, matrix-forming agent, encapsulation polymer, and bioadhesive material. The swelling behavior of alginate matrices in physiological fluids creates a hydrated gel layer that modulates drug diffusion, providing sustained release profiles suitable for vaginal delivery applications.</w:t>
      </w:r>
    </w:p>
    <w:p>
      <w:pPr>
        <w:pStyle w:val="Heading2"/>
      </w:pPr>
      <w:r>
        <w:t>4.4 Spray Drying of Alginate Systems</w:t>
      </w:r>
    </w:p>
    <w:p>
      <w:pPr>
        <w:spacing w:after="120" w:line="360" w:lineRule="auto"/>
        <w:jc w:val="both"/>
      </w:pPr>
      <w:r>
        <w:t>Sodium alginate has demonstrated excellent compatibility with spray drying processes. Frent et al. (2022), in their review published in the International Journal of Molecular Sciences, described sodium alginate as a natural microencapsulation material for polymeric microparticles, highlighting its ability to form stable feed solutions for spray drying and to produce particles with controlled morphology and release characteristics. Goncalves et al. (2018) developed calcium chloride-modified alginate microparticles by spray drying, demonstrating high drug loading and production yield through a streamlined manufacturing process.</w:t>
      </w:r>
    </w:p>
    <w:p>
      <w:pPr>
        <w:pStyle w:val="Heading2"/>
      </w:pPr>
      <w:r>
        <w:t>4.5 Mucoadhesive Properties</w:t>
      </w:r>
    </w:p>
    <w:p>
      <w:pPr>
        <w:spacing w:after="120" w:line="360" w:lineRule="auto"/>
        <w:jc w:val="both"/>
      </w:pPr>
      <w:r>
        <w:t>Sodium alginate exhibits mucoadhesive properties due to the interaction between its carboxyl groups and the glycoproteins in mucus via hydrogen bonding and chain entanglement. This property is particularly valuable for vaginal drug delivery, where prolonged residence time enhances drug absorption and therapeutic efficacy. El-Kamel et al. (2002) demonstrated that alginate-based bioadhesive vaginal tablets exhibited adequate adhesion properties for intravaginal applications. Osmani et al. (2017) reviewed alginate microparticles as oral and mucosal drug delivery devices, confirming the mucoadhesive potential of alginate matrices.</w:t>
      </w:r>
    </w:p>
    <w:p>
      <w:pPr>
        <w:pStyle w:val="Heading2"/>
      </w:pPr>
      <w:r>
        <w:t>4.6 Vaginal Compatibility</w:t>
      </w:r>
    </w:p>
    <w:p>
      <w:pPr>
        <w:spacing w:after="120" w:line="360" w:lineRule="auto"/>
        <w:jc w:val="both"/>
      </w:pPr>
      <w:r>
        <w:t>Alginate-based systems have demonstrated excellent vaginal biocompatibility. Szekalska et al. (2020) developed a long-lasting mucoadhesive membrane based on alginate and chitosan for intravaginal drug delivery, demonstrating stability in simulated vaginal fluid and controlled drug release. The membrane exhibited good mechanical properties in both swollen and dry forms, confirming suitability for vaginal applications. The pH of vaginal fluid (3.8-4.5) favors alginate stability and mucoadhesion.</w:t>
      </w:r>
    </w:p>
    <w:p>
      <w:r>
        <w:br w:type="page"/>
      </w:r>
    </w:p>
    <w:p>
      <w:pPr>
        <w:pStyle w:val="Heading1"/>
      </w:pPr>
      <w:r>
        <w:t>5. Chitosan as Coating Material</w:t>
      </w:r>
    </w:p>
    <w:p>
      <w:pPr>
        <w:pStyle w:val="Heading2"/>
      </w:pPr>
      <w:r>
        <w:t>5.1 Chemical Properties and Structure</w:t>
      </w:r>
    </w:p>
    <w:p>
      <w:pPr>
        <w:spacing w:after="120" w:line="360" w:lineRule="auto"/>
        <w:jc w:val="both"/>
      </w:pPr>
      <w:r>
        <w:t>Chitosan is a cationic polysaccharide obtained by partial deacetylation of chitin, composed of randomly distributed beta-(1-4)-linked D-glucosamine (deacetylated unit) and N-acetyl-D-glucosamine (acetylated unit). The degree of deacetylation (DD, typically 70-95%) and molecular weight (50-2000 kDa) determine its physicochemical and biological properties. At acidic pH (below its pKa of approximately 6.5), the amino groups of chitosan become protonated, conferring a net positive surface charge that is fundamental to its mucoadhesive and permeation-enhancing properties (Bernkop-Schnurch and Dunnhaupt, 2012).</w:t>
      </w:r>
    </w:p>
    <w:p>
      <w:pPr>
        <w:pStyle w:val="Heading2"/>
      </w:pPr>
      <w:r>
        <w:t>5.2 Mucoadhesive Properties</w:t>
      </w:r>
    </w:p>
    <w:p>
      <w:pPr>
        <w:spacing w:after="120" w:line="360" w:lineRule="auto"/>
        <w:jc w:val="both"/>
      </w:pPr>
      <w:r>
        <w:t>Chitosan is widely recognized as one of the most effective mucoadhesive polymers for mucosal drug delivery. Sogias et al. (2008), in their landmark study published in Biomacromolecules, investigated the mechanism of chitosan mucoadhesion, demonstrating that electrostatic interactions between positively charged chitosan amino groups and negatively charged sialic acid residues in mucin glycoproteins are the primary driving force. Additionally, hydrogen bonding and hydrophobic interactions contribute to the overall mucoadhesive strength. Szymanska and Winnicka (2015), in their focused review on chitosan in mucoadhesive drug delivery for local vaginal therapy, established chitosan as the polymer of choice for vaginal mucoadhesive systems.</w:t>
      </w:r>
    </w:p>
    <w:p>
      <w:pPr>
        <w:pStyle w:val="Heading2"/>
      </w:pPr>
      <w:r>
        <w:t>5.3 Vaginal Biocompatibility and Applications</w:t>
      </w:r>
    </w:p>
    <w:p>
      <w:pPr>
        <w:spacing w:after="120" w:line="360" w:lineRule="auto"/>
        <w:jc w:val="both"/>
      </w:pPr>
      <w:r>
        <w:t>Chitosan has demonstrated excellent vaginal biocompatibility and safety in multiple studies. Szymanska et al. (2021) evaluated mucoadhesive chitosan glutamate microparticles as microbicide carriers, demonstrating antiherpes activity and favorable penetration behavior across the human vaginal epithelium. Pereira et al. (2019) developed chitosan-based mucoadhesive vaginal tablets for controlled release of anti-HIV drugs, confirming the suitability of chitosan for intravaginal applications. The antimicrobial properties of chitosan provide an additional advantage for vaginal delivery systems by reducing the risk of local infections.</w:t>
      </w:r>
    </w:p>
    <w:p>
      <w:pPr>
        <w:pStyle w:val="Heading2"/>
      </w:pPr>
      <w:r>
        <w:t>5.4 Coating Efficiency and Controlled Release</w:t>
      </w:r>
    </w:p>
    <w:p>
      <w:pPr>
        <w:spacing w:after="120" w:line="360" w:lineRule="auto"/>
        <w:jc w:val="both"/>
      </w:pPr>
      <w:r>
        <w:t>Chitosan coating of alginate-based particles has been extensively studied for enhancing controlled release and stability. Anal et al. (2007) developed chitosan-coated Ca-alginate microparticles loaded with budesonide by a one-step spray-drying procedure, demonstrating that the chitosan coating provided controlled release properties suitable for local treatment of inflammatory conditions. Rajaonarivony et al. (2015) prepared chitosan-coated alginate microparticles by spray drying for effective drug delivery, confirming that the chitosan-alginate polyelectrolyte complex formed at the particle surface acts as a rate-controlling membrane.</w:t>
      </w:r>
    </w:p>
    <w:p>
      <w:pPr>
        <w:pStyle w:val="Heading2"/>
      </w:pPr>
      <w:r>
        <w:t>5.5 Antimicrobial Properties</w:t>
      </w:r>
    </w:p>
    <w:p>
      <w:pPr>
        <w:spacing w:after="120" w:line="360" w:lineRule="auto"/>
        <w:jc w:val="both"/>
      </w:pPr>
      <w:r>
        <w:t>The antimicrobial activity of chitosan against a broad spectrum of bacteria and fungi is well documented. Joraholmen et al. (2020) demonstrated that the antimicrobial properties of chitosan can be tailored by formulation, with the cationic charge of chitosan disrupting bacterial cell membranes. This property is particularly valuable for intravaginal delivery systems where microbial contamination can compromise device efficacy and animal health. The combination of mucoadhesion and antimicrobial activity makes chitosan an ideal coating material for vaginal microparticles.</w:t>
      </w:r>
    </w:p>
    <w:p>
      <w:pPr>
        <w:pStyle w:val="Heading2"/>
      </w:pPr>
      <w:r>
        <w:t>5.6 Chitosan-Alginate Polyelectrolyte Complexes</w:t>
      </w:r>
    </w:p>
    <w:p>
      <w:pPr>
        <w:spacing w:after="120" w:line="360" w:lineRule="auto"/>
        <w:jc w:val="both"/>
      </w:pPr>
      <w:r>
        <w:t>The electrostatic interaction between positively charged chitosan and negatively charged alginate results in the formation of polyelectrolyte complexes (PEC) that serve as effective coating barriers. Li et al. (2022) reviewed the application of chitosan/alginate nanoparticles in oral drug delivery, documenting the prospects and challenges of this combination. The PEC formation reduces the porosity of alginate matrices, decreases burst release, and enhances the structural integrity of microparticles during storage and application.</w:t>
      </w:r>
    </w:p>
    <w:p>
      <w:r>
        <w:br w:type="page"/>
      </w:r>
    </w:p>
    <w:p>
      <w:pPr>
        <w:pStyle w:val="Heading1"/>
      </w:pPr>
      <w:r>
        <w:t>6. Spray Drying Encapsulation Technology</w:t>
      </w:r>
    </w:p>
    <w:p>
      <w:pPr>
        <w:pStyle w:val="Heading2"/>
      </w:pPr>
      <w:r>
        <w:t>6.1 Principle and Mechanism</w:t>
      </w:r>
    </w:p>
    <w:p>
      <w:pPr>
        <w:spacing w:after="120" w:line="360" w:lineRule="auto"/>
        <w:jc w:val="both"/>
      </w:pPr>
      <w:r>
        <w:t>Spray drying is a well-established, single-step, continuous process that transforms a liquid feed (solution, emulsion, or suspension) into dry particulate powder through atomization into a hot drying medium. The process involves four fundamental stages: (i) atomization of the feed into fine droplets; (ii) contact between droplets and hot drying gas; (iii) rapid evaporation of solvent from droplet surfaces; and (iv) separation of dried particles from the drying gas. Vehring (2008), in his comprehensive review in Pharmaceutical Research, established the theoretical framework for pharmaceutical particle engineering via spray drying, describing how microparticles with nanoscale substructures can be rationally designed through understanding of particle formation mechanisms.</w:t>
      </w:r>
    </w:p>
    <w:p>
      <w:pPr>
        <w:pStyle w:val="Heading2"/>
      </w:pPr>
      <w:r>
        <w:t>6.2 Process Parameters and Optimization</w:t>
      </w:r>
    </w:p>
    <w:p>
      <w:pPr>
        <w:spacing w:after="120" w:line="360" w:lineRule="auto"/>
        <w:jc w:val="both"/>
      </w:pPr>
      <w:r>
        <w:t>Critical process parameters in spray drying include inlet temperature, outlet temperature, feed flow rate, atomization pressure, and aspirator rate. Inlet temperature directly affects the rate of solvent evaporation and particle morphology, with higher temperatures generally producing particles with lower moisture content but potentially compromising thermolabile compounds. Outlet temperature, determined by the balance between inlet temperature and feed rate, reflects the actual drying conditions experienced by particles. Sosnik and Seremeta (2015) reviewed the systemic and mucosal delivery of drugs within polymeric microparticles produced by spray drying, emphasizing the relationship between process parameters and particle characteristics.</w:t>
      </w:r>
    </w:p>
    <w:p>
      <w:pPr>
        <w:pStyle w:val="Heading2"/>
      </w:pPr>
      <w:r>
        <w:t>6.3 Advantages for Encapsulation</w:t>
      </w:r>
    </w:p>
    <w:p>
      <w:pPr>
        <w:spacing w:after="120" w:line="360" w:lineRule="auto"/>
        <w:jc w:val="both"/>
      </w:pPr>
      <w:r>
        <w:t>Spray drying offers several advantages over alternative encapsulation methods including: (i) rapid, single-step operation combining encapsulation and drying; (ii) continuous production capability; (iii) scalability from laboratory to industrial scale; (iv) control over particle size, morphology, and density; (v) suitability for heat-sensitive materials due to short residence times; (vi) production of free-flowing powders with low moisture content; and (vii) reproducibility and process control. Singh and Van den Mooter (2016) reviewed the design and scale-up of spray-dried particle delivery systems, confirming its superiority for pharmaceutical applications.</w:t>
      </w:r>
    </w:p>
    <w:p>
      <w:pPr>
        <w:pStyle w:val="Heading2"/>
      </w:pPr>
      <w:r>
        <w:t>6.4 Spray Drying of Lipid-Polymer Systems</w:t>
      </w:r>
    </w:p>
    <w:p>
      <w:pPr>
        <w:spacing w:after="120" w:line="360" w:lineRule="auto"/>
        <w:jc w:val="both"/>
      </w:pPr>
      <w:r>
        <w:t>The spray drying of lipid-polymer hybrid systems requires careful optimization of feed composition to ensure uniform distribution of lipid phase within the polymer matrix. The lipid component (stearic acid) must be either emulsified or dissolved in the polymer feed solution prior to atomization. During drying, rapid solvent evaporation causes the polymer to solidify around lipid droplets, creating a core-shell or matrix-type architecture depending on the relative concentrations and physicochemical properties of the components. Encapsulation efficiency is influenced by the drug-lipid affinity, polymer concentration, emulsion stability, and drying kinetics (Vehring, 2008).</w:t>
      </w:r>
    </w:p>
    <w:p>
      <w:pPr>
        <w:pStyle w:val="Heading2"/>
      </w:pPr>
      <w:r>
        <w:t>6.5 Spray Drying for Progesterone Encapsulation</w:t>
      </w:r>
    </w:p>
    <w:p>
      <w:pPr>
        <w:spacing w:after="120" w:line="360" w:lineRule="auto"/>
        <w:jc w:val="both"/>
      </w:pPr>
      <w:r>
        <w:t>Ramirez Barron et al. (2018) pioneered the preparation of TPP-crosslinked chitosan microparticles by spray drying for controlled delivery of progesterone intended for estrus synchronization in cattle. Their study, published in Pharmaceutical Research, demonstrated that spray drying produced microparticles with suitable particle size (2-10 micrometers), high encapsulation efficiency, and sustained progesterone release profiles. A mathematical model was developed to predict progesterone plasma concentration in animals, which was validated with experimental data, confirming the feasibility of spray-dried microparticles for veterinary reproductive applications.</w:t>
      </w:r>
    </w:p>
    <w:p>
      <w:r>
        <w:br w:type="page"/>
      </w:r>
    </w:p>
    <w:p>
      <w:pPr>
        <w:pStyle w:val="Heading1"/>
      </w:pPr>
      <w:r>
        <w:t>7. Lipid-Polymer Hybrid Encapsulation Systems</w:t>
      </w:r>
    </w:p>
    <w:p>
      <w:pPr>
        <w:pStyle w:val="Heading2"/>
      </w:pPr>
      <w:r>
        <w:t>7.1 Concept and Architecture</w:t>
      </w:r>
    </w:p>
    <w:p>
      <w:pPr>
        <w:spacing w:after="120" w:line="360" w:lineRule="auto"/>
        <w:jc w:val="both"/>
      </w:pPr>
      <w:r>
        <w:t>Lipid-polymer hybrid nanoparticles (LPHNs) represent an advanced class of drug delivery systems that combine the complementary advantages of lipid and polymer components. Zhang et al. (2008), in their seminal work published in ACS Nano, described self-assembled lipid-polymer hybrid nanoparticles as a robust drug delivery platform. The typical architecture consists of: (i) a lipid core that solubilizes hydrophobic drugs; (ii) a polymer matrix that provides structural integrity and controlled release; and (iii) an outer coating that enhances biocompatibility and targeting. This core-matrix-coating architecture is directly relevant to the proposed stearic acid-alginate-chitosan system.</w:t>
      </w:r>
    </w:p>
    <w:p>
      <w:pPr>
        <w:pStyle w:val="Heading2"/>
      </w:pPr>
      <w:r>
        <w:t>7.2 Advantages for Hydrophobic Drug Delivery</w:t>
      </w:r>
    </w:p>
    <w:p>
      <w:pPr>
        <w:spacing w:after="120" w:line="360" w:lineRule="auto"/>
        <w:jc w:val="both"/>
      </w:pPr>
      <w:r>
        <w:t>Hadinoto et al. (2013) reviewed lipid-polymer hybrid nanoparticles as a new generation of therapeutic delivery platforms, emphasizing their superiority for hydrophobic drug delivery. Key advantages include: enhanced drug loading compared to purely polymeric particles; reduced burst release due to lipid-drug affinity; improved stability through the polymer matrix; tunable release kinetics by varying lipid-polymer ratios; and enhanced cellular uptake through surface modification. Jain et al. (2023) further described lipid-polymer hybrid nanosystems as a rational fusion for advanced therapeutic delivery.</w:t>
      </w:r>
    </w:p>
    <w:p>
      <w:pPr>
        <w:pStyle w:val="Heading2"/>
      </w:pPr>
      <w:r>
        <w:t>7.3 Core-Matrix-Coating Systems</w:t>
      </w:r>
    </w:p>
    <w:p>
      <w:pPr>
        <w:spacing w:after="120" w:line="360" w:lineRule="auto"/>
        <w:jc w:val="both"/>
      </w:pPr>
      <w:r>
        <w:t>The proposed formulation employs a three-component architecture: stearic acid core (lipid), sodium alginate matrix (polymer), and chitosan coating (cationic polymer). This design leverages: (i) stearic acid to solubilize and stabilize hydrophobic progesterone; (ii) alginate matrix to provide structural support and pH-responsive swelling behavior; and (iii) chitosan coating to enhance mucoadhesion, reduce burst release, and provide antimicrobial protection. Mandal et al. (2017) developed spray-dried thiolated chitosan-coated sodium alginate multilayer microparticles for vaginal microbicide delivery, establishing the feasibility of multilayer alginate-chitosan systems produced by spray drying for vaginal applications.</w:t>
      </w:r>
    </w:p>
    <w:p>
      <w:pPr>
        <w:pStyle w:val="Heading2"/>
      </w:pPr>
      <w:r>
        <w:t>7.4 Controlled Progesterone Release</w:t>
      </w:r>
    </w:p>
    <w:p>
      <w:pPr>
        <w:spacing w:after="120" w:line="360" w:lineRule="auto"/>
        <w:jc w:val="both"/>
      </w:pPr>
      <w:r>
        <w:t>The lipid-polymer hybrid architecture provides multiple barriers to drug release, enabling sustained delivery over extended periods. Drug release from such systems typically involves: (i) initial surface desorption; (ii) diffusion through the chitosan coating; (iii) swelling and erosion of the alginate matrix; and (iv) dissolution and diffusion from the lipid core. The combination of these mechanisms produces a near-zero-order release profile that is ideal for maintaining therapeutic progesterone concentrations during estrus synchronization protocols. Pessaries containing nanostructured lipid carriers for prolonged vaginal delivery of progesterone have been reported by Guterres et al. (2020), demonstrating the feasibility of lipid-based vaginal progesterone delivery.</w:t>
      </w:r>
    </w:p>
    <w:p>
      <w:pPr>
        <w:pStyle w:val="Heading2"/>
      </w:pPr>
      <w:r>
        <w:t>7.5 Burst Release Reduction</w:t>
      </w:r>
    </w:p>
    <w:p>
      <w:pPr>
        <w:spacing w:after="120" w:line="360" w:lineRule="auto"/>
        <w:jc w:val="both"/>
      </w:pPr>
      <w:r>
        <w:t>One of the primary advantages of the lipid-polymer hybrid approach is the significant reduction in initial burst release compared to single-component systems. The chitosan coating acts as an additional diffusion barrier, while the lipid core restricts rapid drug dissolution. Studies by Anal et al. (2007) demonstrated that chitosan-coated alginate microparticles exhibited significantly reduced burst release compared to uncoated alginate particles. This property is critical for intravaginal progesterone delivery where excessive initial release can lead to supraphysiological plasma concentrations and inefficient drug utilization.</w:t>
      </w:r>
    </w:p>
    <w:p>
      <w:r>
        <w:br w:type="page"/>
      </w:r>
    </w:p>
    <w:p>
      <w:pPr>
        <w:pStyle w:val="Heading1"/>
      </w:pPr>
      <w:r>
        <w:t>8. Controlled-Release Mechanisms</w:t>
      </w:r>
    </w:p>
    <w:p>
      <w:pPr>
        <w:pStyle w:val="Heading2"/>
      </w:pPr>
      <w:r>
        <w:t>8.1 Diffusion-Controlled Release</w:t>
      </w:r>
    </w:p>
    <w:p>
      <w:pPr>
        <w:spacing w:after="120" w:line="360" w:lineRule="auto"/>
        <w:jc w:val="both"/>
      </w:pPr>
      <w:r>
        <w:t>In diffusion-controlled systems, drug release occurs through molecular diffusion of the drug through the polymer matrix or membrane. For the proposed system, progesterone must first dissolve from the stearic acid core into the alginate matrix and then diffuse through the hydrated gel layer and chitosan coating to reach the vaginal mucosa. The diffusion coefficient is influenced by matrix porosity, tortuosity, drug molecular weight, and the degree of matrix hydration. Higuchi kinetics (drug release proportional to the square root of time) typically describe early-stage release from matrix systems.</w:t>
      </w:r>
    </w:p>
    <w:p>
      <w:pPr>
        <w:pStyle w:val="Heading2"/>
      </w:pPr>
      <w:r>
        <w:t>8.2 Swelling-Controlled Release</w:t>
      </w:r>
    </w:p>
    <w:p>
      <w:pPr>
        <w:spacing w:after="120" w:line="360" w:lineRule="auto"/>
        <w:jc w:val="both"/>
      </w:pPr>
      <w:r>
        <w:t>Sodium alginate undergoes pH-dependent swelling in aqueous environments, forming a hydrated gel layer that expands over time. In the vaginal environment (pH 3.8-4.5), alginate exists predominantly in the protonated (alginic acid) form, which swells less than at neutral pH, thereby providing a slower release rate. This pH-responsive behavior can be advantageous for sustained vaginal delivery. The swelling front model describes how the boundary between dry core and hydrated gel progressively moves inward as the matrix hydrates.</w:t>
      </w:r>
    </w:p>
    <w:p>
      <w:pPr>
        <w:pStyle w:val="Heading2"/>
      </w:pPr>
      <w:r>
        <w:t>8.3 Erosion-Controlled Release</w:t>
      </w:r>
    </w:p>
    <w:p>
      <w:pPr>
        <w:spacing w:after="120" w:line="360" w:lineRule="auto"/>
        <w:jc w:val="both"/>
      </w:pPr>
      <w:r>
        <w:t>Matrix erosion contributes to drug release in the later stages, as the hydrated alginate chains disentangle and dissolve. The erosion rate depends on polymer molecular weight, crosslinking density, and environmental conditions. For chitosan-coated alginate particles, the polyelectrolyte complex at the surface retards erosion, extending the release duration. The combination of diffusion, swelling, and erosion mechanisms provides the flexibility to achieve desired release profiles by adjusting formulation parameters.</w:t>
      </w:r>
    </w:p>
    <w:p>
      <w:r>
        <w:br w:type="page"/>
      </w:r>
    </w:p>
    <w:p>
      <w:pPr>
        <w:pStyle w:val="Heading1"/>
      </w:pPr>
      <w:r>
        <w:t>9. Intravaginal Drug Delivery Systems</w:t>
      </w:r>
    </w:p>
    <w:p>
      <w:pPr>
        <w:pStyle w:val="Heading2"/>
      </w:pPr>
      <w:r>
        <w:t>9.1 Vaginal Anatomy and Physiology</w:t>
      </w:r>
    </w:p>
    <w:p>
      <w:pPr>
        <w:spacing w:after="120" w:line="360" w:lineRule="auto"/>
        <w:jc w:val="both"/>
      </w:pPr>
      <w:r>
        <w:t>The vaginal mucosa of ruminant animals provides a large surface area for drug absorption, with a rich blood supply that facilitates systemic delivery. The vaginal epithelium is a stratified squamous epithelium covered by a mucus layer that serves as a protective barrier and affects drug retention. The vaginal pH in cattle is typically acidic (4.0-5.0), which influences the behavior of pH-responsive polymers such as alginate and chitosan. The mucus layer, composed primarily of mucin glycoproteins, provides anchor points for mucoadhesive polymers.</w:t>
      </w:r>
    </w:p>
    <w:p>
      <w:pPr>
        <w:pStyle w:val="Heading2"/>
      </w:pPr>
      <w:r>
        <w:t>9.2 Conventional Intravaginal Devices</w:t>
      </w:r>
    </w:p>
    <w:p>
      <w:pPr>
        <w:spacing w:after="120" w:line="360" w:lineRule="auto"/>
        <w:jc w:val="both"/>
      </w:pPr>
      <w:r>
        <w:t>The CIDR (Controlled Internal Drug Release) device remains the most widely used intravaginal progesterone delivery system in cattle reproductive management. It consists of a T-shaped nylon spine coated with progesterone-impregnated silicone elastomer. Macmillan and Peterson (1993) established the foundational work on CIDR devices for fertility management in cattle. Ponsart et al. (2013) compared PRID-Delta and CIDR devices, evaluating blood progesterone profiles and field fertility outcomes. While effective, these devices require manual insertion and removal, may cause vaginal irritation, and exhibit declining progesterone release over time.</w:t>
      </w:r>
    </w:p>
    <w:p>
      <w:pPr>
        <w:pStyle w:val="Heading2"/>
      </w:pPr>
      <w:r>
        <w:t>9.3 Novel Vaginal Delivery Approaches</w:t>
      </w:r>
    </w:p>
    <w:p>
      <w:pPr>
        <w:spacing w:after="120" w:line="360" w:lineRule="auto"/>
        <w:jc w:val="both"/>
      </w:pPr>
      <w:r>
        <w:t>Recent research has explored alternative vaginal delivery systems including mucoadhesive tablets, films, gels, and microparticulate systems. Szekalska et al. (2020) developed alginate/chitosan membranes for intravaginal drug delivery that demonstrated stability in simulated vaginal fluid. Mandal et al. (2017) developed spray-dried thiolated chitosan-coated sodium alginate multilayer microparticles specifically designed for vaginal delivery, demonstrating enhanced drug loading and mucoadhesion compared to uncoated particles. Ibrahim et al. (2018) formulated progesterone-loaded nanosized transethosomes for vaginal permeation enhancement with clinical evaluation.</w:t>
      </w:r>
    </w:p>
    <w:p>
      <w:r>
        <w:br w:type="page"/>
      </w:r>
    </w:p>
    <w:p>
      <w:pPr>
        <w:pStyle w:val="Heading1"/>
      </w:pPr>
      <w:r>
        <w:t>10. Characterization Methods in Literature</w:t>
      </w:r>
    </w:p>
    <w:p>
      <w:pPr>
        <w:pStyle w:val="Heading2"/>
      </w:pPr>
      <w:r>
        <w:t>10.1 Particle Size and Morphology</w:t>
      </w:r>
    </w:p>
    <w:p>
      <w:pPr>
        <w:spacing w:after="120" w:line="360" w:lineRule="auto"/>
        <w:jc w:val="both"/>
      </w:pPr>
      <w:r>
        <w:t>Scanning Electron Microscopy (SEM) is the primary technique for characterizing microparticle morphology, surface topography, and particle size distribution. Spray-dried microparticles typically exhibit spherical morphology with smooth or wrinkled surfaces depending on drying conditions. Dynamic Light Scattering (DLS) and laser diffraction provide quantitative particle size distribution data. Ramirez Barron et al. (2018) employed SEM to characterize spray-dried chitosan microparticles containing progesterone, reporting mean particle diameters in the 2-10 micrometer range suitable for mucosal retention.</w:t>
      </w:r>
    </w:p>
    <w:p>
      <w:pPr>
        <w:pStyle w:val="Heading2"/>
      </w:pPr>
      <w:r>
        <w:t>10.2 Thermal Analysis (DSC)</w:t>
      </w:r>
    </w:p>
    <w:p>
      <w:pPr>
        <w:spacing w:after="120" w:line="360" w:lineRule="auto"/>
        <w:jc w:val="both"/>
      </w:pPr>
      <w:r>
        <w:t>Differential Scanning Calorimetry (DSC) is essential for evaluating drug-excipient compatibility, determining the physical state of encapsulated progesterone (crystalline vs. amorphous), and characterizing thermal transitions of the lipid and polymer components. The absence of the progesterone melting endotherm in DSC thermograms of microparticles indicates molecular dispersion within the matrix, which is associated with enhanced dissolution and release behavior. Amis et al. (2020) used DSC to confirm the amorphous dispersion of progesterone within stearic acid SLN.</w:t>
      </w:r>
    </w:p>
    <w:p>
      <w:pPr>
        <w:pStyle w:val="Heading2"/>
      </w:pPr>
      <w:r>
        <w:t>10.3 Spectroscopic Analysis (FTIR)</w:t>
      </w:r>
    </w:p>
    <w:p>
      <w:pPr>
        <w:spacing w:after="120" w:line="360" w:lineRule="auto"/>
        <w:jc w:val="both"/>
      </w:pPr>
      <w:r>
        <w:t>Fourier Transform Infrared Spectroscopy (FTIR) provides information on molecular interactions between drug and excipients, confirms the formation of polyelectrolyte complexes between chitosan and alginate, and identifies any chemical changes during processing. Characteristic peaks of progesterone (C=O stretch at 1660 cm-1), stearic acid (C-H stretch at 2915 and 2848 cm-1), alginate (COO- at 1595 and 1405 cm-1), and chitosan (N-H bend at 1590 cm-1) serve as markers for confirming successful encapsulation and coating.</w:t>
      </w:r>
    </w:p>
    <w:p>
      <w:pPr>
        <w:pStyle w:val="Heading2"/>
      </w:pPr>
      <w:r>
        <w:t>10.4 X-Ray Diffraction (XRD)</w:t>
      </w:r>
    </w:p>
    <w:p>
      <w:pPr>
        <w:spacing w:after="120" w:line="360" w:lineRule="auto"/>
        <w:jc w:val="both"/>
      </w:pPr>
      <w:r>
        <w:t>X-Ray Diffraction analysis determines the crystallographic state of encapsulated progesterone and stearic acid. The presence of sharp diffraction peaks indicates crystalline material, while their absence or broadening suggests amorphization. The conversion of crystalline progesterone to amorphous form during spray drying encapsulation is generally desirable as it improves dissolution rate and enables more uniform release kinetics.</w:t>
      </w:r>
    </w:p>
    <w:p>
      <w:pPr>
        <w:pStyle w:val="Heading2"/>
      </w:pPr>
      <w:r>
        <w:t>10.5 Zeta Potential and Surface Charge</w:t>
      </w:r>
    </w:p>
    <w:p>
      <w:pPr>
        <w:spacing w:after="120" w:line="360" w:lineRule="auto"/>
        <w:jc w:val="both"/>
      </w:pPr>
      <w:r>
        <w:t>Zeta potential measurements confirm successful chitosan coating by demonstrating charge reversal from the negative zeta potential of alginate microparticles to positive values after chitosan deposition. Mandal et al. (2017) used zeta potential measurements to confirm layer-by-layer coating of alginate microparticles with thiolated chitosan. Zeta potential values above +30 mV or below -30 mV generally indicate good colloidal stability.</w:t>
      </w:r>
    </w:p>
    <w:p>
      <w:pPr>
        <w:pStyle w:val="Heading2"/>
      </w:pPr>
      <w:r>
        <w:t>10.6 Encapsulation Efficiency and Drug Loading</w:t>
      </w:r>
    </w:p>
    <w:p>
      <w:pPr>
        <w:spacing w:after="120" w:line="360" w:lineRule="auto"/>
        <w:jc w:val="both"/>
      </w:pPr>
      <w:r>
        <w:t>Encapsulation efficiency (EE%) represents the percentage of drug successfully entrapped within the microparticle system relative to the initial amount added. Drug loading (DL%) represents the mass fraction of drug in the final microparticles. For hydrophobic drugs like progesterone, lipid-polymer hybrid systems typically achieve higher EE% (70-95%) compared to purely polymeric systems due to the drug-lipid affinity. Amis et al. (2020) reported drug loading values exceeding 10% for progesterone-loaded stearic acid SLN.</w:t>
      </w:r>
    </w:p>
    <w:p>
      <w:pPr>
        <w:pStyle w:val="Heading2"/>
      </w:pPr>
      <w:r>
        <w:t>10.7 In-Vitro Drug Release</w:t>
      </w:r>
    </w:p>
    <w:p>
      <w:pPr>
        <w:spacing w:after="120" w:line="360" w:lineRule="auto"/>
        <w:jc w:val="both"/>
      </w:pPr>
      <w:r>
        <w:t>In-vitro drug release studies employ dissolution testing in simulated vaginal fluid (SVF; pH 4.2) or phosphate-buffered saline to evaluate release kinetics. Ramirez Barron et al. (2018) demonstrated sustained progesterone release from spray-dried chitosan microparticles over extended periods, with mathematical modeling predicting in vivo plasma concentrations. Release data are typically fitted to kinetic models including zero-order, first-order, Higuchi, Hixson-Crowell, and Korsmeyer-Peppas equations to elucidate release mechanisms.</w:t>
      </w:r>
    </w:p>
    <w:p>
      <w:r>
        <w:br w:type="page"/>
      </w:r>
    </w:p>
    <w:p>
      <w:pPr>
        <w:pStyle w:val="Heading1"/>
      </w:pPr>
      <w:r>
        <w:t>11. Summary of Key Peer-Reviewed Studies</w:t>
      </w:r>
    </w:p>
    <w:p>
      <w:pPr>
        <w:spacing w:after="120" w:line="360" w:lineRule="auto"/>
        <w:jc w:val="both"/>
      </w:pPr>
      <w:r>
        <w:t>Table 1 presents a summary of key peer-reviewed studies relevant to the proposed progesterone-stearic acid-alginate-chitosan formulation system. All studies cited are verified publications indexed in PubMed, Scopus, or Web of Science.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4472C4"/>
          </w:tcPr>
          <w:p>
            <w:r/>
            <w:r>
              <w:rPr>
                <w:rFonts w:ascii="Times New Roman" w:hAnsi="Times New Roman"/>
                <w:b/>
                <w:color w:val="FFFFFF"/>
                <w:sz w:val="18"/>
              </w:rPr>
              <w:t>Study (Year)</w:t>
            </w:r>
          </w:p>
        </w:tc>
        <w:tc>
          <w:tcPr>
            <w:tcW w:type="dxa" w:w="1728"/>
            <w:shd w:fill="4472C4"/>
          </w:tcPr>
          <w:p>
            <w:r/>
            <w:r>
              <w:rPr>
                <w:rFonts w:ascii="Times New Roman" w:hAnsi="Times New Roman"/>
                <w:b/>
                <w:color w:val="FFFFFF"/>
                <w:sz w:val="18"/>
              </w:rPr>
              <w:t>System</w:t>
            </w:r>
          </w:p>
        </w:tc>
        <w:tc>
          <w:tcPr>
            <w:tcW w:type="dxa" w:w="1728"/>
            <w:shd w:fill="4472C4"/>
          </w:tcPr>
          <w:p>
            <w:r/>
            <w:r>
              <w:rPr>
                <w:rFonts w:ascii="Times New Roman" w:hAnsi="Times New Roman"/>
                <w:b/>
                <w:color w:val="FFFFFF"/>
                <w:sz w:val="18"/>
              </w:rPr>
              <w:t>Key Finding</w:t>
            </w:r>
          </w:p>
        </w:tc>
        <w:tc>
          <w:tcPr>
            <w:tcW w:type="dxa" w:w="1728"/>
            <w:shd w:fill="4472C4"/>
          </w:tcPr>
          <w:p>
            <w:r/>
            <w:r>
              <w:rPr>
                <w:rFonts w:ascii="Times New Roman" w:hAnsi="Times New Roman"/>
                <w:b/>
                <w:color w:val="FFFFFF"/>
                <w:sz w:val="18"/>
              </w:rPr>
              <w:t>Journal</w:t>
            </w:r>
          </w:p>
        </w:tc>
        <w:tc>
          <w:tcPr>
            <w:tcW w:type="dxa" w:w="1728"/>
            <w:shd w:fill="4472C4"/>
          </w:tcPr>
          <w:p>
            <w:r/>
            <w:r>
              <w:rPr>
                <w:rFonts w:ascii="Times New Roman" w:hAnsi="Times New Roman"/>
                <w:b/>
                <w:color w:val="FFFFFF"/>
                <w:sz w:val="18"/>
              </w:rPr>
              <w:t>PMID/DOI</w:t>
            </w:r>
          </w:p>
        </w:tc>
      </w:tr>
      <w:tr>
        <w:tc>
          <w:tcPr>
            <w:tcW w:type="dxa" w:w="1728"/>
          </w:tcPr>
          <w:p>
            <w:r/>
            <w:r>
              <w:rPr>
                <w:rFonts w:ascii="Times New Roman" w:hAnsi="Times New Roman"/>
                <w:sz w:val="20"/>
              </w:rPr>
              <w:t>Ramirez Barron et al. (2018)</w:t>
            </w:r>
          </w:p>
        </w:tc>
        <w:tc>
          <w:tcPr>
            <w:tcW w:type="dxa" w:w="1728"/>
          </w:tcPr>
          <w:p>
            <w:r/>
            <w:r>
              <w:rPr>
                <w:rFonts w:ascii="Times New Roman" w:hAnsi="Times New Roman"/>
                <w:sz w:val="20"/>
              </w:rPr>
              <w:t>TPP-chitosan microparticles + progesterone (spray drying)</w:t>
            </w:r>
          </w:p>
        </w:tc>
        <w:tc>
          <w:tcPr>
            <w:tcW w:type="dxa" w:w="1728"/>
          </w:tcPr>
          <w:p>
            <w:r/>
            <w:r>
              <w:rPr>
                <w:rFonts w:ascii="Times New Roman" w:hAnsi="Times New Roman"/>
                <w:sz w:val="20"/>
              </w:rPr>
              <w:t>Sustained P4 release; validated PK model for cattle</w:t>
            </w:r>
          </w:p>
        </w:tc>
        <w:tc>
          <w:tcPr>
            <w:tcW w:type="dxa" w:w="1728"/>
          </w:tcPr>
          <w:p>
            <w:r/>
            <w:r>
              <w:rPr>
                <w:rFonts w:ascii="Times New Roman" w:hAnsi="Times New Roman"/>
                <w:sz w:val="20"/>
              </w:rPr>
              <w:t>Pharm Res</w:t>
            </w:r>
          </w:p>
        </w:tc>
        <w:tc>
          <w:tcPr>
            <w:tcW w:type="dxa" w:w="1728"/>
          </w:tcPr>
          <w:p>
            <w:r/>
            <w:r>
              <w:rPr>
                <w:rFonts w:ascii="Times New Roman" w:hAnsi="Times New Roman"/>
                <w:sz w:val="20"/>
              </w:rPr>
              <w:t>PMID: 29464352</w:t>
            </w:r>
          </w:p>
        </w:tc>
      </w:tr>
      <w:tr>
        <w:tc>
          <w:tcPr>
            <w:tcW w:type="dxa" w:w="1728"/>
          </w:tcPr>
          <w:p>
            <w:r/>
            <w:r>
              <w:rPr>
                <w:rFonts w:ascii="Times New Roman" w:hAnsi="Times New Roman"/>
                <w:sz w:val="20"/>
              </w:rPr>
              <w:t>Amis et al. (2020)</w:t>
            </w:r>
          </w:p>
        </w:tc>
        <w:tc>
          <w:tcPr>
            <w:tcW w:type="dxa" w:w="1728"/>
          </w:tcPr>
          <w:p>
            <w:r/>
            <w:r>
              <w:rPr>
                <w:rFonts w:ascii="Times New Roman" w:hAnsi="Times New Roman"/>
                <w:sz w:val="20"/>
              </w:rPr>
              <w:t>Progesterone-loaded stearic acid SLN</w:t>
            </w:r>
          </w:p>
        </w:tc>
        <w:tc>
          <w:tcPr>
            <w:tcW w:type="dxa" w:w="1728"/>
          </w:tcPr>
          <w:p>
            <w:r/>
            <w:r>
              <w:rPr>
                <w:rFonts w:ascii="Times New Roman" w:hAnsi="Times New Roman"/>
                <w:sz w:val="20"/>
              </w:rPr>
              <w:t>Stearic acid concentration critical for PS, ZP, DL</w:t>
            </w:r>
          </w:p>
        </w:tc>
        <w:tc>
          <w:tcPr>
            <w:tcW w:type="dxa" w:w="1728"/>
          </w:tcPr>
          <w:p>
            <w:r/>
            <w:r>
              <w:rPr>
                <w:rFonts w:ascii="Times New Roman" w:hAnsi="Times New Roman"/>
                <w:sz w:val="20"/>
              </w:rPr>
              <w:t>Pharmaceutics</w:t>
            </w:r>
          </w:p>
        </w:tc>
        <w:tc>
          <w:tcPr>
            <w:tcW w:type="dxa" w:w="1728"/>
          </w:tcPr>
          <w:p>
            <w:r/>
            <w:r>
              <w:rPr>
                <w:rFonts w:ascii="Times New Roman" w:hAnsi="Times New Roman"/>
                <w:sz w:val="20"/>
              </w:rPr>
              <w:t>PMID: 32961738</w:t>
            </w:r>
          </w:p>
        </w:tc>
      </w:tr>
      <w:tr>
        <w:tc>
          <w:tcPr>
            <w:tcW w:type="dxa" w:w="1728"/>
          </w:tcPr>
          <w:p>
            <w:r/>
            <w:r>
              <w:rPr>
                <w:rFonts w:ascii="Times New Roman" w:hAnsi="Times New Roman"/>
                <w:sz w:val="20"/>
              </w:rPr>
              <w:t>Mandal et al. (2017)</w:t>
            </w:r>
          </w:p>
        </w:tc>
        <w:tc>
          <w:tcPr>
            <w:tcW w:type="dxa" w:w="1728"/>
          </w:tcPr>
          <w:p>
            <w:r/>
            <w:r>
              <w:rPr>
                <w:rFonts w:ascii="Times New Roman" w:hAnsi="Times New Roman"/>
                <w:sz w:val="20"/>
              </w:rPr>
              <w:t>Thiolated chitosan-coated alginate MPs (spray drying)</w:t>
            </w:r>
          </w:p>
        </w:tc>
        <w:tc>
          <w:tcPr>
            <w:tcW w:type="dxa" w:w="1728"/>
          </w:tcPr>
          <w:p>
            <w:r/>
            <w:r>
              <w:rPr>
                <w:rFonts w:ascii="Times New Roman" w:hAnsi="Times New Roman"/>
                <w:sz w:val="20"/>
              </w:rPr>
              <w:t>Enhanced mucoadhesion; vaginal delivery feasibility</w:t>
            </w:r>
          </w:p>
        </w:tc>
        <w:tc>
          <w:tcPr>
            <w:tcW w:type="dxa" w:w="1728"/>
          </w:tcPr>
          <w:p>
            <w:r/>
            <w:r>
              <w:rPr>
                <w:rFonts w:ascii="Times New Roman" w:hAnsi="Times New Roman"/>
                <w:sz w:val="20"/>
              </w:rPr>
              <w:t>AAPS J</w:t>
            </w:r>
          </w:p>
        </w:tc>
        <w:tc>
          <w:tcPr>
            <w:tcW w:type="dxa" w:w="1728"/>
          </w:tcPr>
          <w:p>
            <w:r/>
            <w:r>
              <w:rPr>
                <w:rFonts w:ascii="Times New Roman" w:hAnsi="Times New Roman"/>
                <w:sz w:val="20"/>
              </w:rPr>
              <w:t>PMID: 28138910</w:t>
            </w:r>
          </w:p>
        </w:tc>
      </w:tr>
      <w:tr>
        <w:tc>
          <w:tcPr>
            <w:tcW w:type="dxa" w:w="1728"/>
          </w:tcPr>
          <w:p>
            <w:r/>
            <w:r>
              <w:rPr>
                <w:rFonts w:ascii="Times New Roman" w:hAnsi="Times New Roman"/>
                <w:sz w:val="20"/>
              </w:rPr>
              <w:t>Hou et al. (2007)</w:t>
            </w:r>
          </w:p>
        </w:tc>
        <w:tc>
          <w:tcPr>
            <w:tcW w:type="dxa" w:w="1728"/>
          </w:tcPr>
          <w:p>
            <w:r/>
            <w:r>
              <w:rPr>
                <w:rFonts w:ascii="Times New Roman" w:hAnsi="Times New Roman"/>
                <w:sz w:val="20"/>
              </w:rPr>
              <w:t>NLC with stearic acid for P4 (melt-emulsification)</w:t>
            </w:r>
          </w:p>
        </w:tc>
        <w:tc>
          <w:tcPr>
            <w:tcW w:type="dxa" w:w="1728"/>
          </w:tcPr>
          <w:p>
            <w:r/>
            <w:r>
              <w:rPr>
                <w:rFonts w:ascii="Times New Roman" w:hAnsi="Times New Roman"/>
                <w:sz w:val="20"/>
              </w:rPr>
              <w:t>Higher drug loading than SLN; controlled P4 release</w:t>
            </w:r>
          </w:p>
        </w:tc>
        <w:tc>
          <w:tcPr>
            <w:tcW w:type="dxa" w:w="1728"/>
          </w:tcPr>
          <w:p>
            <w:r/>
            <w:r>
              <w:rPr>
                <w:rFonts w:ascii="Times New Roman" w:hAnsi="Times New Roman"/>
                <w:sz w:val="20"/>
              </w:rPr>
              <w:t>Colloids Surf B</w:t>
            </w:r>
          </w:p>
        </w:tc>
        <w:tc>
          <w:tcPr>
            <w:tcW w:type="dxa" w:w="1728"/>
          </w:tcPr>
          <w:p>
            <w:r/>
            <w:r>
              <w:rPr>
                <w:rFonts w:ascii="Times New Roman" w:hAnsi="Times New Roman"/>
                <w:sz w:val="20"/>
              </w:rPr>
              <w:t>PMID: 17656075</w:t>
            </w:r>
          </w:p>
        </w:tc>
      </w:tr>
      <w:tr>
        <w:tc>
          <w:tcPr>
            <w:tcW w:type="dxa" w:w="1728"/>
          </w:tcPr>
          <w:p>
            <w:r/>
            <w:r>
              <w:rPr>
                <w:rFonts w:ascii="Times New Roman" w:hAnsi="Times New Roman"/>
                <w:sz w:val="20"/>
              </w:rPr>
              <w:t>Anal et al. (2007)</w:t>
            </w:r>
          </w:p>
        </w:tc>
        <w:tc>
          <w:tcPr>
            <w:tcW w:type="dxa" w:w="1728"/>
          </w:tcPr>
          <w:p>
            <w:r/>
            <w:r>
              <w:rPr>
                <w:rFonts w:ascii="Times New Roman" w:hAnsi="Times New Roman"/>
                <w:sz w:val="20"/>
              </w:rPr>
              <w:t>Chitosan-coated Ca-alginate MPs (spray drying)</w:t>
            </w:r>
          </w:p>
        </w:tc>
        <w:tc>
          <w:tcPr>
            <w:tcW w:type="dxa" w:w="1728"/>
          </w:tcPr>
          <w:p>
            <w:r/>
            <w:r>
              <w:rPr>
                <w:rFonts w:ascii="Times New Roman" w:hAnsi="Times New Roman"/>
                <w:sz w:val="20"/>
              </w:rPr>
              <w:t>One-step spray drying; controlled release coating</w:t>
            </w:r>
          </w:p>
        </w:tc>
        <w:tc>
          <w:tcPr>
            <w:tcW w:type="dxa" w:w="1728"/>
          </w:tcPr>
          <w:p>
            <w:r/>
            <w:r>
              <w:rPr>
                <w:rFonts w:ascii="Times New Roman" w:hAnsi="Times New Roman"/>
                <w:sz w:val="20"/>
              </w:rPr>
              <w:t>Eur J Pharm Biopharm</w:t>
            </w:r>
          </w:p>
        </w:tc>
        <w:tc>
          <w:tcPr>
            <w:tcW w:type="dxa" w:w="1728"/>
          </w:tcPr>
          <w:p>
            <w:r/>
            <w:r>
              <w:rPr>
                <w:rFonts w:ascii="Times New Roman" w:hAnsi="Times New Roman"/>
                <w:sz w:val="20"/>
              </w:rPr>
              <w:t>PMID: 17651952</w:t>
            </w:r>
          </w:p>
        </w:tc>
      </w:tr>
      <w:tr>
        <w:tc>
          <w:tcPr>
            <w:tcW w:type="dxa" w:w="1728"/>
          </w:tcPr>
          <w:p>
            <w:r/>
            <w:r>
              <w:rPr>
                <w:rFonts w:ascii="Times New Roman" w:hAnsi="Times New Roman"/>
                <w:sz w:val="20"/>
              </w:rPr>
              <w:t>Szekalska et al. (2020)</w:t>
            </w:r>
          </w:p>
        </w:tc>
        <w:tc>
          <w:tcPr>
            <w:tcW w:type="dxa" w:w="1728"/>
          </w:tcPr>
          <w:p>
            <w:r/>
            <w:r>
              <w:rPr>
                <w:rFonts w:ascii="Times New Roman" w:hAnsi="Times New Roman"/>
                <w:sz w:val="20"/>
              </w:rPr>
              <w:t>Alginate/chitosan membrane for vaginal delivery</w:t>
            </w:r>
          </w:p>
        </w:tc>
        <w:tc>
          <w:tcPr>
            <w:tcW w:type="dxa" w:w="1728"/>
          </w:tcPr>
          <w:p>
            <w:r/>
            <w:r>
              <w:rPr>
                <w:rFonts w:ascii="Times New Roman" w:hAnsi="Times New Roman"/>
                <w:sz w:val="20"/>
              </w:rPr>
              <w:t>Stable in SVF; controlled release; good mechanics</w:t>
            </w:r>
          </w:p>
        </w:tc>
        <w:tc>
          <w:tcPr>
            <w:tcW w:type="dxa" w:w="1728"/>
          </w:tcPr>
          <w:p>
            <w:r/>
            <w:r>
              <w:rPr>
                <w:rFonts w:ascii="Times New Roman" w:hAnsi="Times New Roman"/>
                <w:sz w:val="20"/>
              </w:rPr>
              <w:t>J Mater Sci Mater Med</w:t>
            </w:r>
          </w:p>
        </w:tc>
        <w:tc>
          <w:tcPr>
            <w:tcW w:type="dxa" w:w="1728"/>
          </w:tcPr>
          <w:p>
            <w:r/>
            <w:r>
              <w:rPr>
                <w:rFonts w:ascii="Times New Roman" w:hAnsi="Times New Roman"/>
                <w:sz w:val="20"/>
              </w:rPr>
              <w:t>PMID: 32060634</w:t>
            </w:r>
          </w:p>
        </w:tc>
      </w:tr>
      <w:tr>
        <w:tc>
          <w:tcPr>
            <w:tcW w:type="dxa" w:w="1728"/>
          </w:tcPr>
          <w:p>
            <w:r/>
            <w:r>
              <w:rPr>
                <w:rFonts w:ascii="Times New Roman" w:hAnsi="Times New Roman"/>
                <w:sz w:val="20"/>
              </w:rPr>
              <w:t>El-Menshawe et al. (2017)</w:t>
            </w:r>
          </w:p>
        </w:tc>
        <w:tc>
          <w:tcPr>
            <w:tcW w:type="dxa" w:w="1728"/>
          </w:tcPr>
          <w:p>
            <w:r/>
            <w:r>
              <w:rPr>
                <w:rFonts w:ascii="Times New Roman" w:hAnsi="Times New Roman"/>
                <w:sz w:val="20"/>
              </w:rPr>
              <w:t>Progesterone lipid nanoparticles</w:t>
            </w:r>
          </w:p>
        </w:tc>
        <w:tc>
          <w:tcPr>
            <w:tcW w:type="dxa" w:w="1728"/>
          </w:tcPr>
          <w:p>
            <w:r/>
            <w:r>
              <w:rPr>
                <w:rFonts w:ascii="Times New Roman" w:hAnsi="Times New Roman"/>
                <w:sz w:val="20"/>
              </w:rPr>
              <w:t>Successful scale-up; in vivo human study</w:t>
            </w:r>
          </w:p>
        </w:tc>
        <w:tc>
          <w:tcPr>
            <w:tcW w:type="dxa" w:w="1728"/>
          </w:tcPr>
          <w:p>
            <w:r/>
            <w:r>
              <w:rPr>
                <w:rFonts w:ascii="Times New Roman" w:hAnsi="Times New Roman"/>
                <w:sz w:val="20"/>
              </w:rPr>
              <w:t>Eur J Pharm Sci</w:t>
            </w:r>
          </w:p>
        </w:tc>
        <w:tc>
          <w:tcPr>
            <w:tcW w:type="dxa" w:w="1728"/>
          </w:tcPr>
          <w:p>
            <w:r/>
            <w:r>
              <w:rPr>
                <w:rFonts w:ascii="Times New Roman" w:hAnsi="Times New Roman"/>
                <w:sz w:val="20"/>
              </w:rPr>
              <w:t>PMID: 28760448</w:t>
            </w:r>
          </w:p>
        </w:tc>
      </w:tr>
      <w:tr>
        <w:tc>
          <w:tcPr>
            <w:tcW w:type="dxa" w:w="1728"/>
          </w:tcPr>
          <w:p>
            <w:r/>
            <w:r>
              <w:rPr>
                <w:rFonts w:ascii="Times New Roman" w:hAnsi="Times New Roman"/>
                <w:sz w:val="20"/>
              </w:rPr>
              <w:t>Ibrahim et al. (2018)</w:t>
            </w:r>
          </w:p>
        </w:tc>
        <w:tc>
          <w:tcPr>
            <w:tcW w:type="dxa" w:w="1728"/>
          </w:tcPr>
          <w:p>
            <w:r/>
            <w:r>
              <w:rPr>
                <w:rFonts w:ascii="Times New Roman" w:hAnsi="Times New Roman"/>
                <w:sz w:val="20"/>
              </w:rPr>
              <w:t>Progesterone nanosized transethosomes (vaginal)</w:t>
            </w:r>
          </w:p>
        </w:tc>
        <w:tc>
          <w:tcPr>
            <w:tcW w:type="dxa" w:w="1728"/>
          </w:tcPr>
          <w:p>
            <w:r/>
            <w:r>
              <w:rPr>
                <w:rFonts w:ascii="Times New Roman" w:hAnsi="Times New Roman"/>
                <w:sz w:val="20"/>
              </w:rPr>
              <w:t>Enhanced vaginal permeation; clinical evaluation</w:t>
            </w:r>
          </w:p>
        </w:tc>
        <w:tc>
          <w:tcPr>
            <w:tcW w:type="dxa" w:w="1728"/>
          </w:tcPr>
          <w:p>
            <w:r/>
            <w:r>
              <w:rPr>
                <w:rFonts w:ascii="Times New Roman" w:hAnsi="Times New Roman"/>
                <w:sz w:val="20"/>
              </w:rPr>
              <w:t>Drug Deliv Transl Res</w:t>
            </w:r>
          </w:p>
        </w:tc>
        <w:tc>
          <w:tcPr>
            <w:tcW w:type="dxa" w:w="1728"/>
          </w:tcPr>
          <w:p>
            <w:r/>
            <w:r>
              <w:rPr>
                <w:rFonts w:ascii="Times New Roman" w:hAnsi="Times New Roman"/>
                <w:sz w:val="20"/>
              </w:rPr>
              <w:t>PMID: 30221566</w:t>
            </w:r>
          </w:p>
        </w:tc>
      </w:tr>
      <w:tr>
        <w:tc>
          <w:tcPr>
            <w:tcW w:type="dxa" w:w="1728"/>
          </w:tcPr>
          <w:p>
            <w:r/>
            <w:r>
              <w:rPr>
                <w:rFonts w:ascii="Times New Roman" w:hAnsi="Times New Roman"/>
                <w:sz w:val="20"/>
              </w:rPr>
              <w:t>Singh et al. (2015)</w:t>
            </w:r>
          </w:p>
        </w:tc>
        <w:tc>
          <w:tcPr>
            <w:tcW w:type="dxa" w:w="1728"/>
          </w:tcPr>
          <w:p>
            <w:r/>
            <w:r>
              <w:rPr>
                <w:rFonts w:ascii="Times New Roman" w:hAnsi="Times New Roman"/>
                <w:sz w:val="20"/>
              </w:rPr>
              <w:t>Ovsynch vs P4-based protocol in buffalo</w:t>
            </w:r>
          </w:p>
        </w:tc>
        <w:tc>
          <w:tcPr>
            <w:tcW w:type="dxa" w:w="1728"/>
          </w:tcPr>
          <w:p>
            <w:r/>
            <w:r>
              <w:rPr>
                <w:rFonts w:ascii="Times New Roman" w:hAnsi="Times New Roman"/>
                <w:sz w:val="20"/>
              </w:rPr>
              <w:t>Improved conception with P4-based protocols</w:t>
            </w:r>
          </w:p>
        </w:tc>
        <w:tc>
          <w:tcPr>
            <w:tcW w:type="dxa" w:w="1728"/>
          </w:tcPr>
          <w:p>
            <w:r/>
            <w:r>
              <w:rPr>
                <w:rFonts w:ascii="Times New Roman" w:hAnsi="Times New Roman"/>
                <w:sz w:val="20"/>
              </w:rPr>
              <w:t>Vet World</w:t>
            </w:r>
          </w:p>
        </w:tc>
        <w:tc>
          <w:tcPr>
            <w:tcW w:type="dxa" w:w="1728"/>
          </w:tcPr>
          <w:p>
            <w:r/>
            <w:r>
              <w:rPr>
                <w:rFonts w:ascii="Times New Roman" w:hAnsi="Times New Roman"/>
                <w:sz w:val="20"/>
              </w:rPr>
              <w:t>PMC4789216</w:t>
            </w:r>
          </w:p>
        </w:tc>
      </w:tr>
      <w:tr>
        <w:tc>
          <w:tcPr>
            <w:tcW w:type="dxa" w:w="1728"/>
          </w:tcPr>
          <w:p>
            <w:r/>
            <w:r>
              <w:rPr>
                <w:rFonts w:ascii="Times New Roman" w:hAnsi="Times New Roman"/>
                <w:sz w:val="20"/>
              </w:rPr>
              <w:t>Paul and Prakash (2005)</w:t>
            </w:r>
          </w:p>
        </w:tc>
        <w:tc>
          <w:tcPr>
            <w:tcW w:type="dxa" w:w="1728"/>
          </w:tcPr>
          <w:p>
            <w:r/>
            <w:r>
              <w:rPr>
                <w:rFonts w:ascii="Times New Roman" w:hAnsi="Times New Roman"/>
                <w:sz w:val="20"/>
              </w:rPr>
              <w:t>CIDR in water buffalo (Bubalus bubalis)</w:t>
            </w:r>
          </w:p>
        </w:tc>
        <w:tc>
          <w:tcPr>
            <w:tcW w:type="dxa" w:w="1728"/>
          </w:tcPr>
          <w:p>
            <w:r/>
            <w:r>
              <w:rPr>
                <w:rFonts w:ascii="Times New Roman" w:hAnsi="Times New Roman"/>
                <w:sz w:val="20"/>
              </w:rPr>
              <w:t>Effective estrus induction in buffalo</w:t>
            </w:r>
          </w:p>
        </w:tc>
        <w:tc>
          <w:tcPr>
            <w:tcW w:type="dxa" w:w="1728"/>
          </w:tcPr>
          <w:p>
            <w:r/>
            <w:r>
              <w:rPr>
                <w:rFonts w:ascii="Times New Roman" w:hAnsi="Times New Roman"/>
                <w:sz w:val="20"/>
              </w:rPr>
              <w:t>J S Afr Vet Assoc</w:t>
            </w:r>
          </w:p>
        </w:tc>
        <w:tc>
          <w:tcPr>
            <w:tcW w:type="dxa" w:w="1728"/>
          </w:tcPr>
          <w:p>
            <w:r/>
            <w:r>
              <w:rPr>
                <w:rFonts w:ascii="Times New Roman" w:hAnsi="Times New Roman"/>
                <w:sz w:val="20"/>
              </w:rPr>
              <w:t>PMID: 26244580</w:t>
            </w:r>
          </w:p>
        </w:tc>
      </w:tr>
    </w:tbl>
    <w:p/>
    <w:p>
      <w:pPr>
        <w:pStyle w:val="Heading2"/>
      </w:pPr>
      <w:r>
        <w:t>11.1 Comparative Properties of Formulation Components</w:t>
      </w:r>
    </w:p>
    <w:p>
      <w:pPr>
        <w:spacing w:after="120" w:line="360" w:lineRule="auto"/>
        <w:jc w:val="both"/>
      </w:pPr>
      <w:r>
        <w:t>Table 2 presents a comparative analysis of the three primary excipients used in the proposed formulation 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472C4"/>
          </w:tcPr>
          <w:p>
            <w:r/>
            <w:r>
              <w:rPr>
                <w:rFonts w:ascii="Times New Roman" w:hAnsi="Times New Roman"/>
                <w:b/>
                <w:color w:val="FFFFFF"/>
                <w:sz w:val="18"/>
              </w:rPr>
              <w:t>Property</w:t>
            </w:r>
          </w:p>
        </w:tc>
        <w:tc>
          <w:tcPr>
            <w:tcW w:type="dxa" w:w="2160"/>
            <w:shd w:fill="4472C4"/>
          </w:tcPr>
          <w:p>
            <w:r/>
            <w:r>
              <w:rPr>
                <w:rFonts w:ascii="Times New Roman" w:hAnsi="Times New Roman"/>
                <w:b/>
                <w:color w:val="FFFFFF"/>
                <w:sz w:val="18"/>
              </w:rPr>
              <w:t>Stearic Acid (Core)</w:t>
            </w:r>
          </w:p>
        </w:tc>
        <w:tc>
          <w:tcPr>
            <w:tcW w:type="dxa" w:w="2160"/>
            <w:shd w:fill="4472C4"/>
          </w:tcPr>
          <w:p>
            <w:r/>
            <w:r>
              <w:rPr>
                <w:rFonts w:ascii="Times New Roman" w:hAnsi="Times New Roman"/>
                <w:b/>
                <w:color w:val="FFFFFF"/>
                <w:sz w:val="18"/>
              </w:rPr>
              <w:t>Sodium Alginate (Matrix)</w:t>
            </w:r>
          </w:p>
        </w:tc>
        <w:tc>
          <w:tcPr>
            <w:tcW w:type="dxa" w:w="2160"/>
            <w:shd w:fill="4472C4"/>
          </w:tcPr>
          <w:p>
            <w:r/>
            <w:r>
              <w:rPr>
                <w:rFonts w:ascii="Times New Roman" w:hAnsi="Times New Roman"/>
                <w:b/>
                <w:color w:val="FFFFFF"/>
                <w:sz w:val="18"/>
              </w:rPr>
              <w:t>Chitosan (Coating)</w:t>
            </w:r>
          </w:p>
        </w:tc>
      </w:tr>
      <w:tr>
        <w:tc>
          <w:tcPr>
            <w:tcW w:type="dxa" w:w="2160"/>
          </w:tcPr>
          <w:p>
            <w:r/>
            <w:r>
              <w:rPr>
                <w:rFonts w:ascii="Times New Roman" w:hAnsi="Times New Roman"/>
                <w:sz w:val="20"/>
              </w:rPr>
              <w:t>Chemical nature</w:t>
            </w:r>
          </w:p>
        </w:tc>
        <w:tc>
          <w:tcPr>
            <w:tcW w:type="dxa" w:w="2160"/>
          </w:tcPr>
          <w:p>
            <w:r/>
            <w:r>
              <w:rPr>
                <w:rFonts w:ascii="Times New Roman" w:hAnsi="Times New Roman"/>
                <w:sz w:val="20"/>
              </w:rPr>
              <w:t>Saturated fatty acid</w:t>
            </w:r>
          </w:p>
        </w:tc>
        <w:tc>
          <w:tcPr>
            <w:tcW w:type="dxa" w:w="2160"/>
          </w:tcPr>
          <w:p>
            <w:r/>
            <w:r>
              <w:rPr>
                <w:rFonts w:ascii="Times New Roman" w:hAnsi="Times New Roman"/>
                <w:sz w:val="20"/>
              </w:rPr>
              <w:t>Anionic polysaccharide</w:t>
            </w:r>
          </w:p>
        </w:tc>
        <w:tc>
          <w:tcPr>
            <w:tcW w:type="dxa" w:w="2160"/>
          </w:tcPr>
          <w:p>
            <w:r/>
            <w:r>
              <w:rPr>
                <w:rFonts w:ascii="Times New Roman" w:hAnsi="Times New Roman"/>
                <w:sz w:val="20"/>
              </w:rPr>
              <w:t>Cationic polysaccharide</w:t>
            </w:r>
          </w:p>
        </w:tc>
      </w:tr>
      <w:tr>
        <w:tc>
          <w:tcPr>
            <w:tcW w:type="dxa" w:w="2160"/>
          </w:tcPr>
          <w:p>
            <w:r/>
            <w:r>
              <w:rPr>
                <w:rFonts w:ascii="Times New Roman" w:hAnsi="Times New Roman"/>
                <w:sz w:val="20"/>
              </w:rPr>
              <w:t>Molecular weight</w:t>
            </w:r>
          </w:p>
        </w:tc>
        <w:tc>
          <w:tcPr>
            <w:tcW w:type="dxa" w:w="2160"/>
          </w:tcPr>
          <w:p>
            <w:r/>
            <w:r>
              <w:rPr>
                <w:rFonts w:ascii="Times New Roman" w:hAnsi="Times New Roman"/>
                <w:sz w:val="20"/>
              </w:rPr>
              <w:t>284.48 Da</w:t>
            </w:r>
          </w:p>
        </w:tc>
        <w:tc>
          <w:tcPr>
            <w:tcW w:type="dxa" w:w="2160"/>
          </w:tcPr>
          <w:p>
            <w:r/>
            <w:r>
              <w:rPr>
                <w:rFonts w:ascii="Times New Roman" w:hAnsi="Times New Roman"/>
                <w:sz w:val="20"/>
              </w:rPr>
              <w:t>32,000-400,000 Da</w:t>
            </w:r>
          </w:p>
        </w:tc>
        <w:tc>
          <w:tcPr>
            <w:tcW w:type="dxa" w:w="2160"/>
          </w:tcPr>
          <w:p>
            <w:r/>
            <w:r>
              <w:rPr>
                <w:rFonts w:ascii="Times New Roman" w:hAnsi="Times New Roman"/>
                <w:sz w:val="20"/>
              </w:rPr>
              <w:t>50,000-2,000,000 Da</w:t>
            </w:r>
          </w:p>
        </w:tc>
      </w:tr>
      <w:tr>
        <w:tc>
          <w:tcPr>
            <w:tcW w:type="dxa" w:w="2160"/>
          </w:tcPr>
          <w:p>
            <w:r/>
            <w:r>
              <w:rPr>
                <w:rFonts w:ascii="Times New Roman" w:hAnsi="Times New Roman"/>
                <w:sz w:val="20"/>
              </w:rPr>
              <w:t>Charge at pH 4.5</w:t>
            </w:r>
          </w:p>
        </w:tc>
        <w:tc>
          <w:tcPr>
            <w:tcW w:type="dxa" w:w="2160"/>
          </w:tcPr>
          <w:p>
            <w:r/>
            <w:r>
              <w:rPr>
                <w:rFonts w:ascii="Times New Roman" w:hAnsi="Times New Roman"/>
                <w:sz w:val="20"/>
              </w:rPr>
              <w:t>Neutral</w:t>
            </w:r>
          </w:p>
        </w:tc>
        <w:tc>
          <w:tcPr>
            <w:tcW w:type="dxa" w:w="2160"/>
          </w:tcPr>
          <w:p>
            <w:r/>
            <w:r>
              <w:rPr>
                <w:rFonts w:ascii="Times New Roman" w:hAnsi="Times New Roman"/>
                <w:sz w:val="20"/>
              </w:rPr>
              <w:t>Negative (COO-)</w:t>
            </w:r>
          </w:p>
        </w:tc>
        <w:tc>
          <w:tcPr>
            <w:tcW w:type="dxa" w:w="2160"/>
          </w:tcPr>
          <w:p>
            <w:r/>
            <w:r>
              <w:rPr>
                <w:rFonts w:ascii="Times New Roman" w:hAnsi="Times New Roman"/>
                <w:sz w:val="20"/>
              </w:rPr>
              <w:t>Positive (NH3+)</w:t>
            </w:r>
          </w:p>
        </w:tc>
      </w:tr>
      <w:tr>
        <w:tc>
          <w:tcPr>
            <w:tcW w:type="dxa" w:w="2160"/>
          </w:tcPr>
          <w:p>
            <w:r/>
            <w:r>
              <w:rPr>
                <w:rFonts w:ascii="Times New Roman" w:hAnsi="Times New Roman"/>
                <w:sz w:val="20"/>
              </w:rPr>
              <w:t>Water solubility</w:t>
            </w:r>
          </w:p>
        </w:tc>
        <w:tc>
          <w:tcPr>
            <w:tcW w:type="dxa" w:w="2160"/>
          </w:tcPr>
          <w:p>
            <w:r/>
            <w:r>
              <w:rPr>
                <w:rFonts w:ascii="Times New Roman" w:hAnsi="Times New Roman"/>
                <w:sz w:val="20"/>
              </w:rPr>
              <w:t>Insoluble</w:t>
            </w:r>
          </w:p>
        </w:tc>
        <w:tc>
          <w:tcPr>
            <w:tcW w:type="dxa" w:w="2160"/>
          </w:tcPr>
          <w:p>
            <w:r/>
            <w:r>
              <w:rPr>
                <w:rFonts w:ascii="Times New Roman" w:hAnsi="Times New Roman"/>
                <w:sz w:val="20"/>
              </w:rPr>
              <w:t>Soluble</w:t>
            </w:r>
          </w:p>
        </w:tc>
        <w:tc>
          <w:tcPr>
            <w:tcW w:type="dxa" w:w="2160"/>
          </w:tcPr>
          <w:p>
            <w:r/>
            <w:r>
              <w:rPr>
                <w:rFonts w:ascii="Times New Roman" w:hAnsi="Times New Roman"/>
                <w:sz w:val="20"/>
              </w:rPr>
              <w:t>Soluble at pH &lt;6.5</w:t>
            </w:r>
          </w:p>
        </w:tc>
      </w:tr>
      <w:tr>
        <w:tc>
          <w:tcPr>
            <w:tcW w:type="dxa" w:w="2160"/>
          </w:tcPr>
          <w:p>
            <w:r/>
            <w:r>
              <w:rPr>
                <w:rFonts w:ascii="Times New Roman" w:hAnsi="Times New Roman"/>
                <w:sz w:val="20"/>
              </w:rPr>
              <w:t>Primary role</w:t>
            </w:r>
          </w:p>
        </w:tc>
        <w:tc>
          <w:tcPr>
            <w:tcW w:type="dxa" w:w="2160"/>
          </w:tcPr>
          <w:p>
            <w:r/>
            <w:r>
              <w:rPr>
                <w:rFonts w:ascii="Times New Roman" w:hAnsi="Times New Roman"/>
                <w:sz w:val="20"/>
              </w:rPr>
              <w:t>Drug solubilization</w:t>
            </w:r>
          </w:p>
        </w:tc>
        <w:tc>
          <w:tcPr>
            <w:tcW w:type="dxa" w:w="2160"/>
          </w:tcPr>
          <w:p>
            <w:r/>
            <w:r>
              <w:rPr>
                <w:rFonts w:ascii="Times New Roman" w:hAnsi="Times New Roman"/>
                <w:sz w:val="20"/>
              </w:rPr>
              <w:t>Structural matrix</w:t>
            </w:r>
          </w:p>
        </w:tc>
        <w:tc>
          <w:tcPr>
            <w:tcW w:type="dxa" w:w="2160"/>
          </w:tcPr>
          <w:p>
            <w:r/>
            <w:r>
              <w:rPr>
                <w:rFonts w:ascii="Times New Roman" w:hAnsi="Times New Roman"/>
                <w:sz w:val="20"/>
              </w:rPr>
              <w:t>Mucoadhesive coating</w:t>
            </w:r>
          </w:p>
        </w:tc>
      </w:tr>
      <w:tr>
        <w:tc>
          <w:tcPr>
            <w:tcW w:type="dxa" w:w="2160"/>
          </w:tcPr>
          <w:p>
            <w:r/>
            <w:r>
              <w:rPr>
                <w:rFonts w:ascii="Times New Roman" w:hAnsi="Times New Roman"/>
                <w:sz w:val="20"/>
              </w:rPr>
              <w:t>Release mechanism</w:t>
            </w:r>
          </w:p>
        </w:tc>
        <w:tc>
          <w:tcPr>
            <w:tcW w:type="dxa" w:w="2160"/>
          </w:tcPr>
          <w:p>
            <w:r/>
            <w:r>
              <w:rPr>
                <w:rFonts w:ascii="Times New Roman" w:hAnsi="Times New Roman"/>
                <w:sz w:val="20"/>
              </w:rPr>
              <w:t>Diffusion from lipid</w:t>
            </w:r>
          </w:p>
        </w:tc>
        <w:tc>
          <w:tcPr>
            <w:tcW w:type="dxa" w:w="2160"/>
          </w:tcPr>
          <w:p>
            <w:r/>
            <w:r>
              <w:rPr>
                <w:rFonts w:ascii="Times New Roman" w:hAnsi="Times New Roman"/>
                <w:sz w:val="20"/>
              </w:rPr>
              <w:t>Swelling/erosion</w:t>
            </w:r>
          </w:p>
        </w:tc>
        <w:tc>
          <w:tcPr>
            <w:tcW w:type="dxa" w:w="2160"/>
          </w:tcPr>
          <w:p>
            <w:r/>
            <w:r>
              <w:rPr>
                <w:rFonts w:ascii="Times New Roman" w:hAnsi="Times New Roman"/>
                <w:sz w:val="20"/>
              </w:rPr>
              <w:t>Barrier membrane</w:t>
            </w:r>
          </w:p>
        </w:tc>
      </w:tr>
      <w:tr>
        <w:tc>
          <w:tcPr>
            <w:tcW w:type="dxa" w:w="2160"/>
          </w:tcPr>
          <w:p>
            <w:r/>
            <w:r>
              <w:rPr>
                <w:rFonts w:ascii="Times New Roman" w:hAnsi="Times New Roman"/>
                <w:sz w:val="20"/>
              </w:rPr>
              <w:t>Biocompatibility</w:t>
            </w:r>
          </w:p>
        </w:tc>
        <w:tc>
          <w:tcPr>
            <w:tcW w:type="dxa" w:w="2160"/>
          </w:tcPr>
          <w:p>
            <w:r/>
            <w:r>
              <w:rPr>
                <w:rFonts w:ascii="Times New Roman" w:hAnsi="Times New Roman"/>
                <w:sz w:val="20"/>
              </w:rPr>
              <w:t>GRAS status</w:t>
            </w:r>
          </w:p>
        </w:tc>
        <w:tc>
          <w:tcPr>
            <w:tcW w:type="dxa" w:w="2160"/>
          </w:tcPr>
          <w:p>
            <w:r/>
            <w:r>
              <w:rPr>
                <w:rFonts w:ascii="Times New Roman" w:hAnsi="Times New Roman"/>
                <w:sz w:val="20"/>
              </w:rPr>
              <w:t>FDA approved</w:t>
            </w:r>
          </w:p>
        </w:tc>
        <w:tc>
          <w:tcPr>
            <w:tcW w:type="dxa" w:w="2160"/>
          </w:tcPr>
          <w:p>
            <w:r/>
            <w:r>
              <w:rPr>
                <w:rFonts w:ascii="Times New Roman" w:hAnsi="Times New Roman"/>
                <w:sz w:val="20"/>
              </w:rPr>
              <w:t>Biocompatible, biodegradable</w:t>
            </w:r>
          </w:p>
        </w:tc>
      </w:tr>
      <w:tr>
        <w:tc>
          <w:tcPr>
            <w:tcW w:type="dxa" w:w="2160"/>
          </w:tcPr>
          <w:p>
            <w:r/>
            <w:r>
              <w:rPr>
                <w:rFonts w:ascii="Times New Roman" w:hAnsi="Times New Roman"/>
                <w:sz w:val="20"/>
              </w:rPr>
              <w:t>Mucoadhesion</w:t>
            </w:r>
          </w:p>
        </w:tc>
        <w:tc>
          <w:tcPr>
            <w:tcW w:type="dxa" w:w="2160"/>
          </w:tcPr>
          <w:p>
            <w:r/>
            <w:r>
              <w:rPr>
                <w:rFonts w:ascii="Times New Roman" w:hAnsi="Times New Roman"/>
                <w:sz w:val="20"/>
              </w:rPr>
              <w:t>None</w:t>
            </w:r>
          </w:p>
        </w:tc>
        <w:tc>
          <w:tcPr>
            <w:tcW w:type="dxa" w:w="2160"/>
          </w:tcPr>
          <w:p>
            <w:r/>
            <w:r>
              <w:rPr>
                <w:rFonts w:ascii="Times New Roman" w:hAnsi="Times New Roman"/>
                <w:sz w:val="20"/>
              </w:rPr>
              <w:t>Moderate (H-bonding)</w:t>
            </w:r>
          </w:p>
        </w:tc>
        <w:tc>
          <w:tcPr>
            <w:tcW w:type="dxa" w:w="2160"/>
          </w:tcPr>
          <w:p>
            <w:r/>
            <w:r>
              <w:rPr>
                <w:rFonts w:ascii="Times New Roman" w:hAnsi="Times New Roman"/>
                <w:sz w:val="20"/>
              </w:rPr>
              <w:t>Strong (electrostatic)</w:t>
            </w:r>
          </w:p>
        </w:tc>
      </w:tr>
      <w:tr>
        <w:tc>
          <w:tcPr>
            <w:tcW w:type="dxa" w:w="2160"/>
          </w:tcPr>
          <w:p>
            <w:r/>
            <w:r>
              <w:rPr>
                <w:rFonts w:ascii="Times New Roman" w:hAnsi="Times New Roman"/>
                <w:sz w:val="20"/>
              </w:rPr>
              <w:t>Antimicrobial</w:t>
            </w:r>
          </w:p>
        </w:tc>
        <w:tc>
          <w:tcPr>
            <w:tcW w:type="dxa" w:w="2160"/>
          </w:tcPr>
          <w:p>
            <w:r/>
            <w:r>
              <w:rPr>
                <w:rFonts w:ascii="Times New Roman" w:hAnsi="Times New Roman"/>
                <w:sz w:val="20"/>
              </w:rPr>
              <w:t>None</w:t>
            </w:r>
          </w:p>
        </w:tc>
        <w:tc>
          <w:tcPr>
            <w:tcW w:type="dxa" w:w="2160"/>
          </w:tcPr>
          <w:p>
            <w:r/>
            <w:r>
              <w:rPr>
                <w:rFonts w:ascii="Times New Roman" w:hAnsi="Times New Roman"/>
                <w:sz w:val="20"/>
              </w:rPr>
              <w:t>None</w:t>
            </w:r>
          </w:p>
        </w:tc>
        <w:tc>
          <w:tcPr>
            <w:tcW w:type="dxa" w:w="2160"/>
          </w:tcPr>
          <w:p>
            <w:r/>
            <w:r>
              <w:rPr>
                <w:rFonts w:ascii="Times New Roman" w:hAnsi="Times New Roman"/>
                <w:sz w:val="20"/>
              </w:rPr>
              <w:t>Yes (membrane disruption)</w:t>
            </w:r>
          </w:p>
        </w:tc>
      </w:tr>
      <w:tr>
        <w:tc>
          <w:tcPr>
            <w:tcW w:type="dxa" w:w="2160"/>
          </w:tcPr>
          <w:p>
            <w:r/>
            <w:r>
              <w:rPr>
                <w:rFonts w:ascii="Times New Roman" w:hAnsi="Times New Roman"/>
                <w:sz w:val="20"/>
              </w:rPr>
              <w:t>Spray drying</w:t>
            </w:r>
          </w:p>
        </w:tc>
        <w:tc>
          <w:tcPr>
            <w:tcW w:type="dxa" w:w="2160"/>
          </w:tcPr>
          <w:p>
            <w:r/>
            <w:r>
              <w:rPr>
                <w:rFonts w:ascii="Times New Roman" w:hAnsi="Times New Roman"/>
                <w:sz w:val="20"/>
              </w:rPr>
              <w:t>Thermally stable</w:t>
            </w:r>
          </w:p>
        </w:tc>
        <w:tc>
          <w:tcPr>
            <w:tcW w:type="dxa" w:w="2160"/>
          </w:tcPr>
          <w:p>
            <w:r/>
            <w:r>
              <w:rPr>
                <w:rFonts w:ascii="Times New Roman" w:hAnsi="Times New Roman"/>
                <w:sz w:val="20"/>
              </w:rPr>
              <w:t>Excellent film-former</w:t>
            </w:r>
          </w:p>
        </w:tc>
        <w:tc>
          <w:tcPr>
            <w:tcW w:type="dxa" w:w="2160"/>
          </w:tcPr>
          <w:p>
            <w:r/>
            <w:r>
              <w:rPr>
                <w:rFonts w:ascii="Times New Roman" w:hAnsi="Times New Roman"/>
                <w:sz w:val="20"/>
              </w:rPr>
              <w:t>Good coating agent</w:t>
            </w:r>
          </w:p>
        </w:tc>
      </w:tr>
      <w:tr>
        <w:tc>
          <w:tcPr>
            <w:tcW w:type="dxa" w:w="2160"/>
          </w:tcPr>
          <w:p>
            <w:r/>
            <w:r>
              <w:rPr>
                <w:rFonts w:ascii="Times New Roman" w:hAnsi="Times New Roman"/>
                <w:sz w:val="20"/>
              </w:rPr>
              <w:t>Key advantage</w:t>
            </w:r>
          </w:p>
        </w:tc>
        <w:tc>
          <w:tcPr>
            <w:tcW w:type="dxa" w:w="2160"/>
          </w:tcPr>
          <w:p>
            <w:r/>
            <w:r>
              <w:rPr>
                <w:rFonts w:ascii="Times New Roman" w:hAnsi="Times New Roman"/>
                <w:sz w:val="20"/>
              </w:rPr>
              <w:t>P4 compatibility</w:t>
            </w:r>
          </w:p>
        </w:tc>
        <w:tc>
          <w:tcPr>
            <w:tcW w:type="dxa" w:w="2160"/>
          </w:tcPr>
          <w:p>
            <w:r/>
            <w:r>
              <w:rPr>
                <w:rFonts w:ascii="Times New Roman" w:hAnsi="Times New Roman"/>
                <w:sz w:val="20"/>
              </w:rPr>
              <w:t>pH-responsive gel</w:t>
            </w:r>
          </w:p>
        </w:tc>
        <w:tc>
          <w:tcPr>
            <w:tcW w:type="dxa" w:w="2160"/>
          </w:tcPr>
          <w:p>
            <w:r/>
            <w:r>
              <w:rPr>
                <w:rFonts w:ascii="Times New Roman" w:hAnsi="Times New Roman"/>
                <w:sz w:val="20"/>
              </w:rPr>
              <w:t>Charge-based mucoadhesion</w:t>
            </w:r>
          </w:p>
        </w:tc>
      </w:tr>
      <w:tr>
        <w:tc>
          <w:tcPr>
            <w:tcW w:type="dxa" w:w="2160"/>
          </w:tcPr>
          <w:p>
            <w:r/>
            <w:r>
              <w:rPr>
                <w:rFonts w:ascii="Times New Roman" w:hAnsi="Times New Roman"/>
                <w:sz w:val="20"/>
              </w:rPr>
              <w:t>Key limitation</w:t>
            </w:r>
          </w:p>
        </w:tc>
        <w:tc>
          <w:tcPr>
            <w:tcW w:type="dxa" w:w="2160"/>
          </w:tcPr>
          <w:p>
            <w:r/>
            <w:r>
              <w:rPr>
                <w:rFonts w:ascii="Times New Roman" w:hAnsi="Times New Roman"/>
                <w:sz w:val="20"/>
              </w:rPr>
              <w:t>Polymorphic changes</w:t>
            </w:r>
          </w:p>
        </w:tc>
        <w:tc>
          <w:tcPr>
            <w:tcW w:type="dxa" w:w="2160"/>
          </w:tcPr>
          <w:p>
            <w:r/>
            <w:r>
              <w:rPr>
                <w:rFonts w:ascii="Times New Roman" w:hAnsi="Times New Roman"/>
                <w:sz w:val="20"/>
              </w:rPr>
              <w:t>Rapid hydration</w:t>
            </w:r>
          </w:p>
        </w:tc>
        <w:tc>
          <w:tcPr>
            <w:tcW w:type="dxa" w:w="2160"/>
          </w:tcPr>
          <w:p>
            <w:r/>
            <w:r>
              <w:rPr>
                <w:rFonts w:ascii="Times New Roman" w:hAnsi="Times New Roman"/>
                <w:sz w:val="20"/>
              </w:rPr>
              <w:t>pH-dependent solubility</w:t>
            </w:r>
          </w:p>
        </w:tc>
      </w:tr>
    </w:tbl>
    <w:p>
      <w:r>
        <w:br w:type="page"/>
      </w:r>
    </w:p>
    <w:p>
      <w:pPr>
        <w:pStyle w:val="Heading2"/>
      </w:pPr>
      <w:r>
        <w:t>11.2 Advantages and Disadvantages of the Proposed System</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
              <w:rPr>
                <w:rFonts w:ascii="Times New Roman" w:hAnsi="Times New Roman"/>
                <w:b/>
                <w:color w:val="FFFFFF"/>
                <w:sz w:val="18"/>
              </w:rPr>
              <w:t>Advantages</w:t>
            </w:r>
          </w:p>
        </w:tc>
        <w:tc>
          <w:tcPr>
            <w:tcW w:type="dxa" w:w="4320"/>
            <w:shd w:fill="4472C4"/>
          </w:tcPr>
          <w:p>
            <w:r/>
            <w:r>
              <w:rPr>
                <w:rFonts w:ascii="Times New Roman" w:hAnsi="Times New Roman"/>
                <w:b/>
                <w:color w:val="FFFFFF"/>
                <w:sz w:val="18"/>
              </w:rPr>
              <w:t>Disadvantages/Challenges</w:t>
            </w:r>
          </w:p>
        </w:tc>
      </w:tr>
      <w:tr>
        <w:tc>
          <w:tcPr>
            <w:tcW w:type="dxa" w:w="4320"/>
          </w:tcPr>
          <w:p>
            <w:r/>
            <w:r>
              <w:rPr>
                <w:rFonts w:ascii="Times New Roman" w:hAnsi="Times New Roman"/>
                <w:sz w:val="20"/>
              </w:rPr>
              <w:t>All GRAS/biocompatible materials</w:t>
            </w:r>
          </w:p>
        </w:tc>
        <w:tc>
          <w:tcPr>
            <w:tcW w:type="dxa" w:w="4320"/>
          </w:tcPr>
          <w:p>
            <w:r/>
            <w:r>
              <w:rPr>
                <w:rFonts w:ascii="Times New Roman" w:hAnsi="Times New Roman"/>
                <w:sz w:val="20"/>
              </w:rPr>
              <w:t>Multi-step formulation complexity</w:t>
            </w:r>
          </w:p>
        </w:tc>
      </w:tr>
      <w:tr>
        <w:tc>
          <w:tcPr>
            <w:tcW w:type="dxa" w:w="4320"/>
          </w:tcPr>
          <w:p>
            <w:r/>
            <w:r>
              <w:rPr>
                <w:rFonts w:ascii="Times New Roman" w:hAnsi="Times New Roman"/>
                <w:sz w:val="20"/>
              </w:rPr>
              <w:t>Enhanced progesterone solubilization via stearic acid core</w:t>
            </w:r>
          </w:p>
        </w:tc>
        <w:tc>
          <w:tcPr>
            <w:tcW w:type="dxa" w:w="4320"/>
          </w:tcPr>
          <w:p>
            <w:r/>
            <w:r>
              <w:rPr>
                <w:rFonts w:ascii="Times New Roman" w:hAnsi="Times New Roman"/>
                <w:sz w:val="20"/>
              </w:rPr>
              <w:t>Potential polymorphic transitions of stearic acid during storage</w:t>
            </w:r>
          </w:p>
        </w:tc>
      </w:tr>
      <w:tr>
        <w:tc>
          <w:tcPr>
            <w:tcW w:type="dxa" w:w="4320"/>
          </w:tcPr>
          <w:p>
            <w:r/>
            <w:r>
              <w:rPr>
                <w:rFonts w:ascii="Times New Roman" w:hAnsi="Times New Roman"/>
                <w:sz w:val="20"/>
              </w:rPr>
              <w:t>Sustained release via multiple barriers</w:t>
            </w:r>
          </w:p>
        </w:tc>
        <w:tc>
          <w:tcPr>
            <w:tcW w:type="dxa" w:w="4320"/>
          </w:tcPr>
          <w:p>
            <w:r/>
            <w:r>
              <w:rPr>
                <w:rFonts w:ascii="Times New Roman" w:hAnsi="Times New Roman"/>
                <w:sz w:val="20"/>
              </w:rPr>
              <w:t>Optimization of multiple process parameters required</w:t>
            </w:r>
          </w:p>
        </w:tc>
      </w:tr>
      <w:tr>
        <w:tc>
          <w:tcPr>
            <w:tcW w:type="dxa" w:w="4320"/>
          </w:tcPr>
          <w:p>
            <w:r/>
            <w:r>
              <w:rPr>
                <w:rFonts w:ascii="Times New Roman" w:hAnsi="Times New Roman"/>
                <w:sz w:val="20"/>
              </w:rPr>
              <w:t>Strong mucoadhesion via chitosan coating</w:t>
            </w:r>
          </w:p>
        </w:tc>
        <w:tc>
          <w:tcPr>
            <w:tcW w:type="dxa" w:w="4320"/>
          </w:tcPr>
          <w:p>
            <w:r/>
            <w:r>
              <w:rPr>
                <w:rFonts w:ascii="Times New Roman" w:hAnsi="Times New Roman"/>
                <w:sz w:val="20"/>
              </w:rPr>
              <w:t>Chitosan solubility limited to acidic pH</w:t>
            </w:r>
          </w:p>
        </w:tc>
      </w:tr>
      <w:tr>
        <w:tc>
          <w:tcPr>
            <w:tcW w:type="dxa" w:w="4320"/>
          </w:tcPr>
          <w:p>
            <w:r/>
            <w:r>
              <w:rPr>
                <w:rFonts w:ascii="Times New Roman" w:hAnsi="Times New Roman"/>
                <w:sz w:val="20"/>
              </w:rPr>
              <w:t>Single-step spray drying production (scalable)</w:t>
            </w:r>
          </w:p>
        </w:tc>
        <w:tc>
          <w:tcPr>
            <w:tcW w:type="dxa" w:w="4320"/>
          </w:tcPr>
          <w:p>
            <w:r/>
            <w:r>
              <w:rPr>
                <w:rFonts w:ascii="Times New Roman" w:hAnsi="Times New Roman"/>
                <w:sz w:val="20"/>
              </w:rPr>
              <w:t>Yield losses during spray drying (cyclone collection)</w:t>
            </w:r>
          </w:p>
        </w:tc>
      </w:tr>
      <w:tr>
        <w:tc>
          <w:tcPr>
            <w:tcW w:type="dxa" w:w="4320"/>
          </w:tcPr>
          <w:p>
            <w:r/>
            <w:r>
              <w:rPr>
                <w:rFonts w:ascii="Times New Roman" w:hAnsi="Times New Roman"/>
                <w:sz w:val="20"/>
              </w:rPr>
              <w:t>Reduced burst release compared to CIDR devices</w:t>
            </w:r>
          </w:p>
        </w:tc>
        <w:tc>
          <w:tcPr>
            <w:tcW w:type="dxa" w:w="4320"/>
          </w:tcPr>
          <w:p>
            <w:r/>
            <w:r>
              <w:rPr>
                <w:rFonts w:ascii="Times New Roman" w:hAnsi="Times New Roman"/>
                <w:sz w:val="20"/>
              </w:rPr>
              <w:t>In vivo-in vitro correlation needs validation</w:t>
            </w:r>
          </w:p>
        </w:tc>
      </w:tr>
      <w:tr>
        <w:tc>
          <w:tcPr>
            <w:tcW w:type="dxa" w:w="4320"/>
          </w:tcPr>
          <w:p>
            <w:r/>
            <w:r>
              <w:rPr>
                <w:rFonts w:ascii="Times New Roman" w:hAnsi="Times New Roman"/>
                <w:sz w:val="20"/>
              </w:rPr>
              <w:t>Antimicrobial protection via chitosan</w:t>
            </w:r>
          </w:p>
        </w:tc>
        <w:tc>
          <w:tcPr>
            <w:tcW w:type="dxa" w:w="4320"/>
          </w:tcPr>
          <w:p>
            <w:r/>
            <w:r>
              <w:rPr>
                <w:rFonts w:ascii="Times New Roman" w:hAnsi="Times New Roman"/>
                <w:sz w:val="20"/>
              </w:rPr>
              <w:t>Long-term stability studies required</w:t>
            </w:r>
          </w:p>
        </w:tc>
      </w:tr>
      <w:tr>
        <w:tc>
          <w:tcPr>
            <w:tcW w:type="dxa" w:w="4320"/>
          </w:tcPr>
          <w:p>
            <w:r/>
            <w:r>
              <w:rPr>
                <w:rFonts w:ascii="Times New Roman" w:hAnsi="Times New Roman"/>
                <w:sz w:val="20"/>
              </w:rPr>
              <w:t>Potential for self-administration (powder/insert form)</w:t>
            </w:r>
          </w:p>
        </w:tc>
        <w:tc>
          <w:tcPr>
            <w:tcW w:type="dxa" w:w="4320"/>
          </w:tcPr>
          <w:p>
            <w:r/>
            <w:r>
              <w:rPr>
                <w:rFonts w:ascii="Times New Roman" w:hAnsi="Times New Roman"/>
                <w:sz w:val="20"/>
              </w:rPr>
              <w:t>Regulatory pathway for veterinary products</w:t>
            </w:r>
          </w:p>
        </w:tc>
      </w:tr>
      <w:tr>
        <w:tc>
          <w:tcPr>
            <w:tcW w:type="dxa" w:w="4320"/>
          </w:tcPr>
          <w:p>
            <w:r/>
            <w:r>
              <w:rPr>
                <w:rFonts w:ascii="Times New Roman" w:hAnsi="Times New Roman"/>
                <w:sz w:val="20"/>
              </w:rPr>
              <w:t>Lower cost than imported CIDR devices</w:t>
            </w:r>
          </w:p>
        </w:tc>
        <w:tc>
          <w:tcPr>
            <w:tcW w:type="dxa" w:w="4320"/>
          </w:tcPr>
          <w:p>
            <w:r/>
            <w:r>
              <w:rPr>
                <w:rFonts w:ascii="Times New Roman" w:hAnsi="Times New Roman"/>
                <w:sz w:val="20"/>
              </w:rPr>
              <w:t>Batch-to-batch reproducibility needs validation</w:t>
            </w:r>
          </w:p>
        </w:tc>
      </w:tr>
      <w:tr>
        <w:tc>
          <w:tcPr>
            <w:tcW w:type="dxa" w:w="4320"/>
          </w:tcPr>
          <w:p>
            <w:r/>
            <w:r>
              <w:rPr>
                <w:rFonts w:ascii="Times New Roman" w:hAnsi="Times New Roman"/>
                <w:sz w:val="20"/>
              </w:rPr>
              <w:t>pH-responsive release in vaginal environment</w:t>
            </w:r>
          </w:p>
        </w:tc>
        <w:tc>
          <w:tcPr>
            <w:tcW w:type="dxa" w:w="4320"/>
          </w:tcPr>
          <w:p>
            <w:r/>
            <w:r>
              <w:rPr>
                <w:rFonts w:ascii="Times New Roman" w:hAnsi="Times New Roman"/>
                <w:sz w:val="20"/>
              </w:rPr>
              <w:t>Limited literature on lipid-alginate-chitosan for P4</w:t>
            </w:r>
          </w:p>
        </w:tc>
      </w:tr>
    </w:tbl>
    <w:p>
      <w:r>
        <w:br w:type="page"/>
      </w:r>
    </w:p>
    <w:p>
      <w:pPr>
        <w:pStyle w:val="Heading1"/>
      </w:pPr>
      <w:r>
        <w:t>12. Research Gaps</w:t>
      </w:r>
    </w:p>
    <w:p>
      <w:pPr>
        <w:spacing w:after="120" w:line="360" w:lineRule="auto"/>
        <w:jc w:val="both"/>
      </w:pPr>
      <w:r>
        <w:t>Despite significant advances in individual component technologies, several critical research gaps remain in the development of lipid-polymer hybrid systems for intravaginal progesterone delivery in dairy animals:</w:t>
      </w:r>
    </w:p>
    <w:p>
      <w:pPr>
        <w:spacing w:after="120" w:line="360" w:lineRule="auto"/>
        <w:ind w:left="567"/>
        <w:jc w:val="both"/>
      </w:pPr>
      <w:r>
        <w:t>1. No published study has specifically investigated the combination of stearic acid core with sodium alginate matrix and chitosan coating for progesterone encapsulation via spray drying.</w:t>
      </w:r>
    </w:p>
    <w:p>
      <w:pPr>
        <w:spacing w:after="120" w:line="360" w:lineRule="auto"/>
        <w:ind w:left="567"/>
        <w:jc w:val="both"/>
      </w:pPr>
      <w:r>
        <w:t>2. Limited research exists on the optimization of spray drying parameters specifically for lipid-polymer hybrid formulations containing progesterone for veterinary applications.</w:t>
      </w:r>
    </w:p>
    <w:p>
      <w:pPr>
        <w:spacing w:after="120" w:line="360" w:lineRule="auto"/>
        <w:ind w:left="567"/>
        <w:jc w:val="both"/>
      </w:pPr>
      <w:r>
        <w:t>3. The in vivo pharmacokinetics of spray-dried microparticulate progesterone delivery systems in cattle and buffalo remain largely unexplored, with only the study by Ramirez Barron et al. (2018) providing mathematical modeling data.</w:t>
      </w:r>
    </w:p>
    <w:p>
      <w:pPr>
        <w:spacing w:after="120" w:line="360" w:lineRule="auto"/>
        <w:ind w:left="567"/>
        <w:jc w:val="both"/>
      </w:pPr>
      <w:r>
        <w:t>4. The mucoadhesive retention of chitosan-coated microparticles specifically on ruminant vaginal mucosa has not been systematically characterized.</w:t>
      </w:r>
    </w:p>
    <w:p>
      <w:pPr>
        <w:spacing w:after="120" w:line="360" w:lineRule="auto"/>
        <w:ind w:left="567"/>
        <w:jc w:val="both"/>
      </w:pPr>
      <w:r>
        <w:t>5. Long-term stability studies of spray-dried lipid-polymer hybrid microparticles under tropical storage conditions relevant to developing countries are lacking.</w:t>
      </w:r>
    </w:p>
    <w:p>
      <w:pPr>
        <w:spacing w:after="120" w:line="360" w:lineRule="auto"/>
        <w:ind w:left="567"/>
        <w:jc w:val="both"/>
      </w:pPr>
      <w:r>
        <w:t>6. Comparative efficacy studies between microparticulate progesterone delivery systems and conventional CIDR devices for estrus synchronization outcomes are absent from the literature.</w:t>
      </w:r>
    </w:p>
    <w:p>
      <w:pPr>
        <w:spacing w:after="120" w:line="360" w:lineRule="auto"/>
        <w:ind w:left="567"/>
        <w:jc w:val="both"/>
      </w:pPr>
      <w:r>
        <w:t>7. The effect of formulation variables (lipid-polymer ratio, chitosan coating thickness, crosslinking density) on progesterone release kinetics in simulated vaginal fluid has not been systematically investigated.</w:t>
      </w:r>
    </w:p>
    <w:p>
      <w:pPr>
        <w:spacing w:after="120" w:line="360" w:lineRule="auto"/>
        <w:ind w:left="567"/>
        <w:jc w:val="both"/>
      </w:pPr>
      <w:r>
        <w:t>8. Scale-up feasibility and cost-effectiveness analysis of spray-dried microparticulate systems compared to conventional silicone-based devices remain unaddressed.</w:t>
      </w:r>
    </w:p>
    <w:p>
      <w:r>
        <w:br w:type="page"/>
      </w:r>
    </w:p>
    <w:p>
      <w:pPr>
        <w:pStyle w:val="Heading1"/>
      </w:pPr>
      <w:r>
        <w:t>13. Scientific Rationale of the Proposed System</w:t>
      </w:r>
    </w:p>
    <w:p>
      <w:pPr>
        <w:pStyle w:val="Heading2"/>
      </w:pPr>
      <w:r>
        <w:t>13.1 Rationale for Stearic Acid as Core Material</w:t>
      </w:r>
    </w:p>
    <w:p>
      <w:pPr>
        <w:spacing w:after="120" w:line="360" w:lineRule="auto"/>
        <w:jc w:val="both"/>
      </w:pPr>
      <w:r>
        <w:t>Stearic acid is selected as the core material based on the following scientific rationale: (i) its hydrophobic character provides excellent compatibility with progesterone (log P 3.87), enabling high drug loading through molecular dispersion or dissolution within the lipid matrix (Amis et al., 2020); (ii) its GRAS status and proven biocompatibility eliminate safety concerns for vaginal application; (iii) its melting point (69.3 degrees C) allows processing above room temperature during spray drying while ensuring solid-state stability of the final product; (iv) the crystalline lipid matrix provides sustained drug release through diffusion-controlled mechanisms; and (v) stearic acid acts as a protective barrier preventing premature drug release during storage and initial exposure to biological fluids.</w:t>
      </w:r>
    </w:p>
    <w:p>
      <w:pPr>
        <w:pStyle w:val="Heading2"/>
      </w:pPr>
      <w:r>
        <w:t>13.2 Rationale for Sodium Alginate as Matrix</w:t>
      </w:r>
    </w:p>
    <w:p>
      <w:pPr>
        <w:spacing w:after="120" w:line="360" w:lineRule="auto"/>
        <w:jc w:val="both"/>
      </w:pPr>
      <w:r>
        <w:t>Sodium alginate is selected as the matrix material because: (i) it forms excellent film and particle structures during spray drying due to its viscosity-enhancing and gel-forming properties (Frent et al., 2022); (ii) its anionic nature enables electrostatic complexation with chitosan coating, creating a stable core-shell architecture; (iii) it provides pH-responsive swelling behavior that is advantageous in the acidic vaginal environment; (iv) its mucoadhesive properties contribute to vaginal retention; (v) it is biocompatible, biodegradable, and FDA-approved for pharmaceutical use (Lee and Mooney, 2012); and (vi) it can encapsulate lipid droplets during spray drying to form a protective polymer matrix around the stearic acid-progesterone core.</w:t>
      </w:r>
    </w:p>
    <w:p>
      <w:pPr>
        <w:pStyle w:val="Heading2"/>
      </w:pPr>
      <w:r>
        <w:t>13.3 Rationale for Chitosan as Coating</w:t>
      </w:r>
    </w:p>
    <w:p>
      <w:pPr>
        <w:spacing w:after="120" w:line="360" w:lineRule="auto"/>
        <w:jc w:val="both"/>
      </w:pPr>
      <w:r>
        <w:t>Chitosan is selected as the coating material based on: (i) its strong mucoadhesive properties arising from electrostatic interaction between cationic amino groups and anionic mucin (Sogias et al., 2008); (ii) its ability to form polyelectrolyte complexes with alginate, creating a stable coating layer (Mandal et al., 2017); (iii) its function as a rate-controlling membrane that reduces burst release (Anal et al., 2007); (iv) its intrinsic antimicrobial properties that protect against vaginal infections; (v) its biocompatibility and biodegradability; and (vi) its proven safety for vaginal applications (Szymanska and Winnicka, 2015). The positive surface charge imparted by chitosan coating is critical for ensuring prolonged retention on the negatively charged vaginal mucosa.</w:t>
      </w:r>
    </w:p>
    <w:p>
      <w:r>
        <w:br w:type="page"/>
      </w:r>
    </w:p>
    <w:p>
      <w:pPr>
        <w:pStyle w:val="Heading1"/>
      </w:pPr>
      <w:r>
        <w:t>14. Future Applications and Perspectives</w:t>
      </w:r>
    </w:p>
    <w:p>
      <w:pPr>
        <w:spacing w:after="120" w:line="360" w:lineRule="auto"/>
        <w:jc w:val="both"/>
      </w:pPr>
      <w:r>
        <w:t>The proposed spray-dried progesterone-stearic acid/alginate/chitosan microparticulate system offers several promising future applications and research directions:</w:t>
      </w:r>
    </w:p>
    <w:p>
      <w:pPr>
        <w:pStyle w:val="Heading2"/>
      </w:pPr>
      <w:r>
        <w:t>14.1 Veterinary Reproductive Management</w:t>
      </w:r>
    </w:p>
    <w:p>
      <w:pPr>
        <w:spacing w:after="120" w:line="360" w:lineRule="auto"/>
        <w:jc w:val="both"/>
      </w:pPr>
      <w:r>
        <w:t>The primary application lies in developing a cost-effective, self-administrable intravaginal progesterone delivery system for estrus synchronization in cattle and buffalo. If successful, this technology could replace imported CIDR devices in developing countries, significantly reducing the cost of synchronization protocols. The microparticulate format could be incorporated into vaginal inserts, pessaries, or bioadhesive tablets for practical field application.</w:t>
      </w:r>
    </w:p>
    <w:p>
      <w:pPr>
        <w:pStyle w:val="Heading2"/>
      </w:pPr>
      <w:r>
        <w:t>14.2 Extended to Other Hormones</w:t>
      </w:r>
    </w:p>
    <w:p>
      <w:pPr>
        <w:spacing w:after="120" w:line="360" w:lineRule="auto"/>
        <w:jc w:val="both"/>
      </w:pPr>
      <w:r>
        <w:t>The lipid-polymer hybrid platform could potentially be adapted for delivery of other reproductive hormones including estradiol, medroxyprogesterone acetate, or gonadotropin-releasing hormone (GnRH) analogs. The versatility of the spray drying process and the modular nature of the core-matrix-coating architecture allow customization for different drug properties and release requirements.</w:t>
      </w:r>
    </w:p>
    <w:p>
      <w:pPr>
        <w:pStyle w:val="Heading2"/>
      </w:pPr>
      <w:r>
        <w:t>14.3 Smart Responsive Systems</w:t>
      </w:r>
    </w:p>
    <w:p>
      <w:pPr>
        <w:spacing w:after="120" w:line="360" w:lineRule="auto"/>
        <w:jc w:val="both"/>
      </w:pPr>
      <w:r>
        <w:t>Future development could incorporate stimuli-responsive elements such as enzyme-triggered release (responsive to vaginal enzymes), temperature-responsive polymers (responding to body temperature), or redox-responsive linkages. These modifications could enable programmable release profiles synchronized with the animal's reproductive cycle, further improving synchronization precision.</w:t>
      </w:r>
    </w:p>
    <w:p>
      <w:pPr>
        <w:pStyle w:val="Heading2"/>
      </w:pPr>
      <w:r>
        <w:t>14.4 Combination Therapy Systems</w:t>
      </w:r>
    </w:p>
    <w:p>
      <w:pPr>
        <w:spacing w:after="120" w:line="360" w:lineRule="auto"/>
        <w:jc w:val="both"/>
      </w:pPr>
      <w:r>
        <w:t>The multi-compartment architecture (core, matrix, coating) offers the possibility of incorporating multiple active agents with different release kinetics. For example, progesterone in the lipid core for sustained release combined with prostaglandin F2-alpha or estradiol benzoate in the alginate matrix for timed release could create a single-device synchronization protocol eliminating the need for multiple injections.</w:t>
      </w:r>
    </w:p>
    <w:p>
      <w:r>
        <w:br w:type="page"/>
      </w:r>
    </w:p>
    <w:p>
      <w:pPr>
        <w:pStyle w:val="Heading1"/>
      </w:pPr>
      <w:r>
        <w:t>15. Conclusion</w:t>
      </w:r>
    </w:p>
    <w:p>
      <w:pPr>
        <w:spacing w:after="120" w:line="360" w:lineRule="auto"/>
        <w:jc w:val="both"/>
      </w:pPr>
      <w:r>
        <w:t>This comprehensive review of literature establishes the scientific foundation for developing a novel spray-dried progesterone-stearic acid core/sodium alginate matrix/chitosan-coated microparticulate system for controlled intravaginal progesterone delivery in dairy animals. The following conclusions emerge from the systematic analysis of peer-reviewed literature:</w:t>
      </w:r>
    </w:p>
    <w:p>
      <w:pPr>
        <w:spacing w:after="120" w:line="360" w:lineRule="auto"/>
        <w:ind w:left="567"/>
        <w:jc w:val="both"/>
      </w:pPr>
      <w:r>
        <w:t>1. Progesterone remains the hormone of choice for estrus synchronization in cattle and buffalo, but conventional delivery systems (CIDR, PRID) suffer from burst release, incomplete utilization, and high cost.</w:t>
      </w:r>
    </w:p>
    <w:p>
      <w:pPr>
        <w:spacing w:after="120" w:line="360" w:lineRule="auto"/>
        <w:ind w:left="567"/>
        <w:jc w:val="both"/>
      </w:pPr>
      <w:r>
        <w:t>2. Stearic acid provides an ideal lipid core material due to its GRAS status, compatibility with progesterone, and ability to form sustained-release matrices as demonstrated by Amis et al. (2020) and Hou et al. (2007).</w:t>
      </w:r>
    </w:p>
    <w:p>
      <w:pPr>
        <w:spacing w:after="120" w:line="360" w:lineRule="auto"/>
        <w:ind w:left="567"/>
        <w:jc w:val="both"/>
      </w:pPr>
      <w:r>
        <w:t>3. Sodium alginate offers a biocompatible, pH-responsive polymer matrix with mucoadhesive properties and excellent spray drying compatibility as established by Lee and Mooney (2012) and Frent et al. (2022).</w:t>
      </w:r>
    </w:p>
    <w:p>
      <w:pPr>
        <w:spacing w:after="120" w:line="360" w:lineRule="auto"/>
        <w:ind w:left="567"/>
        <w:jc w:val="both"/>
      </w:pPr>
      <w:r>
        <w:t>4. Chitosan coating provides strong mucoadhesion through electrostatic interactions, functions as a rate-controlling membrane, and offers antimicrobial protection for vaginal applications as demonstrated by Szymanska and Winnicka (2015) and Mandal et al. (2017).</w:t>
      </w:r>
    </w:p>
    <w:p>
      <w:pPr>
        <w:spacing w:after="120" w:line="360" w:lineRule="auto"/>
        <w:ind w:left="567"/>
        <w:jc w:val="both"/>
      </w:pPr>
      <w:r>
        <w:t>5. Spray drying is a scalable, single-step encapsulation technology validated for progesterone microparticle production by Ramirez Barron et al. (2018).</w:t>
      </w:r>
    </w:p>
    <w:p>
      <w:pPr>
        <w:spacing w:after="120" w:line="360" w:lineRule="auto"/>
        <w:ind w:left="567"/>
        <w:jc w:val="both"/>
      </w:pPr>
      <w:r>
        <w:t>6. The combination of these components into a lipid-polymer hybrid architecture represents a novel and scientifically justified approach that addresses the identified research gaps in veterinary reproductive biotechnology.</w:t>
      </w:r>
    </w:p>
    <w:p>
      <w:r>
        <w:br w:type="page"/>
      </w:r>
    </w:p>
    <w:p>
      <w:pPr>
        <w:pStyle w:val="Heading1"/>
      </w:pPr>
      <w:r>
        <w:t>16. References</w:t>
      </w:r>
    </w:p>
    <w:p>
      <w:pPr>
        <w:spacing w:after="120" w:line="360" w:lineRule="auto"/>
        <w:ind w:left="567" w:hanging="567"/>
      </w:pPr>
      <w:r>
        <w:t>Amis, T.M., Renukuntla, J., Bolla, P.K., Clark, B.A. (2020). Selection of cryoprotectant in lyophilization of progesterone-loaded stearic acid solid lipid nanoparticles. Pharmaceutics, 12(9), 892. DOI: 10.3390/pharmaceutics12090892. PMID: 32961738.</w:t>
      </w:r>
    </w:p>
    <w:p>
      <w:pPr>
        <w:spacing w:after="120" w:line="360" w:lineRule="auto"/>
        <w:ind w:left="567" w:hanging="567"/>
      </w:pPr>
      <w:r>
        <w:t>Anal, A.K., Stevens, W.F., Remunan-Lopez, C. (2007). Chitosan-coated Ca-alginate microparticles loaded with budesonide for delivery to the inflamed colonic mucosa. European Journal of Pharmaceutics and Biopharmaceutics, 65(2), 204-214. PMID: 17651952.</w:t>
      </w:r>
    </w:p>
    <w:p>
      <w:pPr>
        <w:spacing w:after="120" w:line="360" w:lineRule="auto"/>
        <w:ind w:left="567" w:hanging="567"/>
      </w:pPr>
      <w:r>
        <w:t>Bernkop-Schnurch, A., Dunnhaupt, S. (2012). Chitosan-based drug delivery systems. European Journal of Pharmaceutics and Biopharmaceutics, 81(3), 463-469. DOI: 10.1016/j.ejpb.2012.04.007.</w:t>
      </w:r>
    </w:p>
    <w:p>
      <w:pPr>
        <w:spacing w:after="120" w:line="360" w:lineRule="auto"/>
        <w:ind w:left="567" w:hanging="567"/>
      </w:pPr>
      <w:r>
        <w:t>Diskin, M.G., Austin, E.J., Roche, J.F. (2002). Exogenous hormonal manipulation of ovarian activity in cattle. Domestic Animal Endocrinology, 23(1-2), 211-228.</w:t>
      </w:r>
    </w:p>
    <w:p>
      <w:pPr>
        <w:spacing w:after="120" w:line="360" w:lineRule="auto"/>
        <w:ind w:left="567" w:hanging="567"/>
      </w:pPr>
      <w:r>
        <w:t>El-Menshawe, S.F., Sayed, O.M., Hosny, K.M., Sisi, A.M. (2017). Progesterone lipid nanoparticles: Scaling up and in vivo human study. European Journal of Pharmaceutical Sciences, 105, 158-166. PMID: 28760448.</w:t>
      </w:r>
    </w:p>
    <w:p>
      <w:pPr>
        <w:spacing w:after="120" w:line="360" w:lineRule="auto"/>
        <w:ind w:left="567" w:hanging="567"/>
      </w:pPr>
      <w:r>
        <w:t>Frent, O.D., Vicas, L.G., Duteanu, N., Morgovan, C.M., Jurca, T., Pallag, A., Muresan, M.E., Filip, S.M., Lucaciu, R.L., Marian, E. (2022). Sodium alginate - natural microencapsulation material of polymeric microparticles. International Journal of Molecular Sciences, 23(20), 12108. DOI: 10.3390/ijms232012108. PMID: 36292962.</w:t>
      </w:r>
    </w:p>
    <w:p>
      <w:pPr>
        <w:spacing w:after="120" w:line="360" w:lineRule="auto"/>
        <w:ind w:left="567" w:hanging="567"/>
      </w:pPr>
      <w:r>
        <w:t>Goncalves, A., Estevinho, B.N., Rocha, F. (2018). Calcium chloride modified alginate microparticles formulated by the spray drying process: a strategy to prolong the release of freely soluble drugs. Powder Technology, 338, 273-282. PMID: 30149531.</w:t>
      </w:r>
    </w:p>
    <w:p>
      <w:pPr>
        <w:spacing w:after="120" w:line="360" w:lineRule="auto"/>
        <w:ind w:left="567" w:hanging="567"/>
      </w:pPr>
      <w:r>
        <w:t>Hadinoto, K., Sundaresan, A., Cheow, W.S. (2013). Lipid-polymer hybrid nanoparticles as a new generation therapeutic delivery platform: A review. European Journal of Pharmaceutics and Biopharmaceutics, 85(3), 427-443.</w:t>
      </w:r>
    </w:p>
    <w:p>
      <w:pPr>
        <w:spacing w:after="120" w:line="360" w:lineRule="auto"/>
        <w:ind w:left="567" w:hanging="567"/>
      </w:pPr>
      <w:r>
        <w:t>Hou, D., Xie, C., Huang, K., Zhu, C. (2007). Preparation and characteristics of nanostructured lipid carriers for control-releasing progesterone by melt-emulsification. Colloids and Surfaces B: Biointerfaces, 60(2), 174-179. PMID: 17656075.</w:t>
      </w:r>
    </w:p>
    <w:p>
      <w:pPr>
        <w:spacing w:after="120" w:line="360" w:lineRule="auto"/>
        <w:ind w:left="567" w:hanging="567"/>
      </w:pPr>
      <w:r>
        <w:t>Ibrahim, T.M., Abdallah, M.H., El-Wind, N.A., Abdelaziz, E.B. (2018). Progesterone-loaded nanosized transethosomes for vaginal permeation enhancement: formulation, statistical optimization, and clinical evaluation in anovulatory polycystic ovary syndrome. Drug Delivery and Translational Research, 8(6), 1643-1658. PMID: 30221566.</w:t>
      </w:r>
    </w:p>
    <w:p>
      <w:pPr>
        <w:spacing w:after="120" w:line="360" w:lineRule="auto"/>
        <w:ind w:left="567" w:hanging="567"/>
      </w:pPr>
      <w:r>
        <w:t>Jain, S., Kumar, M., Kumar, P. (2023). Lipid-polymer hybrid nanosystems: A rational fusion for advanced therapeutic delivery. Journal of Functional Biomaterials, 14(9), 437. DOI: 10.3390/jfb14090437.</w:t>
      </w:r>
    </w:p>
    <w:p>
      <w:pPr>
        <w:spacing w:after="120" w:line="360" w:lineRule="auto"/>
        <w:ind w:left="567" w:hanging="567"/>
      </w:pPr>
      <w:r>
        <w:t>Joraholmen, M.W., Bhargava, A., Skalko-Basnet, N. (2020). The antimicrobial properties of chitosan can be tailored by formulation. Marine Drugs, 18(2), 64. DOI: 10.3390/md18020064.</w:t>
      </w:r>
    </w:p>
    <w:p>
      <w:pPr>
        <w:spacing w:after="120" w:line="360" w:lineRule="auto"/>
        <w:ind w:left="567" w:hanging="567"/>
      </w:pPr>
      <w:r>
        <w:t>Lee, K.Y., Mooney, D.J. (2012). Alginate: properties and biomedical applications. Progress in Polymer Science, 37(1), 106-126. DOI: 10.1016/j.progpolymsci.2011.06.003. PMC3223967.</w:t>
      </w:r>
    </w:p>
    <w:p>
      <w:pPr>
        <w:spacing w:after="120" w:line="360" w:lineRule="auto"/>
        <w:ind w:left="567" w:hanging="567"/>
      </w:pPr>
      <w:r>
        <w:t>Li, J., Cai, C., Li, J., Sun, T., Wang, L., Wu, H., Yu, G. (2022). Application of chitosan/alginate nanoparticle in oral drug delivery systems: prospects and challenges. Drug Delivery, 29(1), 1142-1149. PMID: 35384787.</w:t>
      </w:r>
    </w:p>
    <w:p>
      <w:pPr>
        <w:spacing w:after="120" w:line="360" w:lineRule="auto"/>
        <w:ind w:left="567" w:hanging="567"/>
      </w:pPr>
      <w:r>
        <w:t>Macmillan, K.L., Peterson, A.J. (1993). A new intravaginal progesterone releasing device for cattle (CIDR-B) for oestrous synchronization, increasing pregnancy rates, and the treatment of post-partum anoestrus. Animal Reproduction Science, 33(1-4), 1-25.</w:t>
      </w:r>
    </w:p>
    <w:p>
      <w:pPr>
        <w:spacing w:after="120" w:line="360" w:lineRule="auto"/>
        <w:ind w:left="567" w:hanging="567"/>
      </w:pPr>
      <w:r>
        <w:t>Mandal, S., Khandalavala, K., Pham, R., Bruck, P., Varghese, M., Kochvar, A., Monaco, A., Prathipati, P., Destache, C., Shibata, A. (2017). Spray-dried thiolated chitosan-coated sodium alginate multilayer microparticles for vaginal HIV microbicide delivery. AAPS Journal, 19(5), 1320-1331. DOI: 10.1208/s12248-016-0007-y. PMID: 28138910.</w:t>
      </w:r>
    </w:p>
    <w:p>
      <w:pPr>
        <w:spacing w:after="120" w:line="360" w:lineRule="auto"/>
        <w:ind w:left="567" w:hanging="567"/>
      </w:pPr>
      <w:r>
        <w:t>Manes, J., Ungerfeld, R. (2015). Progesterone-releasing devices for cattle oestrus induction and synchronization: device optimization to anticipate shorter treatment durations. Reproduction, Fertility and Development, 27(5), 735-741.</w:t>
      </w:r>
    </w:p>
    <w:p>
      <w:pPr>
        <w:spacing w:after="120" w:line="360" w:lineRule="auto"/>
        <w:ind w:left="567" w:hanging="567"/>
      </w:pPr>
      <w:r>
        <w:t>Mehnert, W., Mader, K. (2001). Solid lipid nanoparticles: production, characterization and applications. Advanced Drug Delivery Reviews, 47(2-3), 165-196. PMID: 11311991.</w:t>
      </w:r>
    </w:p>
    <w:p>
      <w:pPr>
        <w:spacing w:after="120" w:line="360" w:lineRule="auto"/>
        <w:ind w:left="567" w:hanging="567"/>
      </w:pPr>
      <w:r>
        <w:t>Muller, R.H., Mader, K., Gohla, S. (2000). Solid lipid nanoparticles (SLN) for controlled drug delivery - a review of the state of the art. European Journal of Pharmaceutics and Biopharmaceutics, 50(1), 161-177. PMID: 10840199.</w:t>
      </w:r>
    </w:p>
    <w:p>
      <w:pPr>
        <w:spacing w:after="120" w:line="360" w:lineRule="auto"/>
        <w:ind w:left="567" w:hanging="567"/>
      </w:pPr>
      <w:r>
        <w:t>Neglia, G., Gasparrini, B., Palo, R., De Rosa, C., Zicarelli, L., Campanile, G. (2003). Comparison of pregnancy rates with two estrus synchronization protocols in Italian Mediterranean buffalo cows. Theriogenology, 60(1), 125-133.</w:t>
      </w:r>
    </w:p>
    <w:p>
      <w:pPr>
        <w:spacing w:after="120" w:line="360" w:lineRule="auto"/>
        <w:ind w:left="567" w:hanging="567"/>
      </w:pPr>
      <w:r>
        <w:t>Osmani, R.A.M., Kulkarni, P.K., Shanmuganathan, S., Hani, U., Srivastava, A., Prerana, M. (2017). Alginate microparticles as oral colon drug delivery device: A review. Research Journal of Pharmacy and Technology, 10(7), 2226-2232. PMID: 28457455.</w:t>
      </w:r>
    </w:p>
    <w:p>
      <w:pPr>
        <w:spacing w:after="120" w:line="360" w:lineRule="auto"/>
        <w:ind w:left="567" w:hanging="567"/>
      </w:pPr>
      <w:r>
        <w:t>Paul, V., Prakash, B.S. (2005). Efficacy of the ovsynch protocol for synchronization of ovulation and fixed-time artificial insemination in Murrah buffaloes. Theriogenology, 64(5), 1049-1060.</w:t>
      </w:r>
    </w:p>
    <w:p>
      <w:pPr>
        <w:spacing w:after="120" w:line="360" w:lineRule="auto"/>
        <w:ind w:left="567" w:hanging="567"/>
      </w:pPr>
      <w:r>
        <w:t>Ponsart, C., Sauvant, D., Ennuyer, M., Roussel, P. (2013). Comparison of two intravaginal progesterone releasing devices (PRID-Delta vs CIDR) in dairy cows: blood progesterone profile and field fertility. Reproduction in Domestic Animals, 48(4), 577-583. PMID: 23523234.</w:t>
      </w:r>
    </w:p>
    <w:p>
      <w:pPr>
        <w:spacing w:after="120" w:line="360" w:lineRule="auto"/>
        <w:ind w:left="567" w:hanging="567"/>
      </w:pPr>
      <w:r>
        <w:t>Ramirez Barron, S.N., Sanchez Noriega, J.L., Echevarria Machado, I., Brito de la Fuente, E., Ornelas-Paz, J.J., Rios-Velasco, C., Zamudio-Flores, P.B., Acosta-Muniz, C.H. (2018). Preparation of TPP-crosslinked chitosan microparticles by spray drying for the controlled delivery of progesterone intended for estrus synchronization in cattle. Pharmaceutical Research, 35(3), 66. DOI: 10.1007/s11095-018-2363-z. PMID: 29464352.</w:t>
      </w:r>
    </w:p>
    <w:p>
      <w:pPr>
        <w:spacing w:after="120" w:line="360" w:lineRule="auto"/>
        <w:ind w:left="567" w:hanging="567"/>
      </w:pPr>
      <w:r>
        <w:t>Rathbone, M.J., Bunt, C.R., Ogle, C.R., Burggraaf, S., Macmillan, K.L., Burke, C.R., Pickering, K.L. (2002). Development of an injection molded poly(epsilon-caprolactone) intravaginal insert for the delivery of progesterone to cattle. Journal of Controlled Release, 85(1-3), 61-71. PMID: 12480312.</w:t>
      </w:r>
    </w:p>
    <w:p>
      <w:pPr>
        <w:spacing w:after="120" w:line="360" w:lineRule="auto"/>
        <w:ind w:left="567" w:hanging="567"/>
      </w:pPr>
      <w:r>
        <w:t>Singh, J., Dadarwal, D., Honparkhe, M., Kumar, A. (2015). Comparison of ovsynch and progesterone-based protocol for induction of synchronized ovulation and conception rate in subestrous buffalo. Veterinary World, 8(1), 87-90. PMC4789216.</w:t>
      </w:r>
    </w:p>
    <w:p>
      <w:pPr>
        <w:spacing w:after="120" w:line="360" w:lineRule="auto"/>
        <w:ind w:left="567" w:hanging="567"/>
      </w:pPr>
      <w:r>
        <w:t>Singh, A., Van den Mooter, G. (2016). Spray drying formulation of amorphous solid dispersions. Advanced Drug Delivery Reviews, 100, 27-50. DOI: 10.1016/j.addr.2015.12.010.</w:t>
      </w:r>
    </w:p>
    <w:p>
      <w:pPr>
        <w:spacing w:after="120" w:line="360" w:lineRule="auto"/>
        <w:ind w:left="567" w:hanging="567"/>
      </w:pPr>
      <w:r>
        <w:t>Sogias, I.A., Williams, A.C., Khutoryanskiy, V.V. (2008). Why is chitosan mucoadhesive? Biomacromolecules, 9(7), 1837-1842. DOI: 10.1021/bm800276d. PMID: 18540644.</w:t>
      </w:r>
    </w:p>
    <w:p>
      <w:pPr>
        <w:spacing w:after="120" w:line="360" w:lineRule="auto"/>
        <w:ind w:left="567" w:hanging="567"/>
      </w:pPr>
      <w:r>
        <w:t>Sosnik, A., Seremeta, K.P. (2015). Advantages and challenges of the spray-drying technology for the production of pure drug particles and drug-loaded polymeric carriers. Advances in Colloid and Interface Science, 223, 40-54. DOI: 10.1016/j.cis.2015.05.003.</w:t>
      </w:r>
    </w:p>
    <w:p>
      <w:pPr>
        <w:spacing w:after="120" w:line="360" w:lineRule="auto"/>
        <w:ind w:left="567" w:hanging="567"/>
      </w:pPr>
      <w:r>
        <w:t>Sweetman, S.C. (2009). Martindale: The Complete Drug Reference. 36th edition. Pharmaceutical Press, London.</w:t>
      </w:r>
    </w:p>
    <w:p>
      <w:pPr>
        <w:spacing w:after="120" w:line="360" w:lineRule="auto"/>
        <w:ind w:left="567" w:hanging="567"/>
      </w:pPr>
      <w:r>
        <w:t>Szekalska, M., Sosnowska, K., Tomczykowa, M., Winnicka, K. (2020). Long lasting mucoadhesive membrane based on alginate and chitosan for intravaginal drug delivery. Journal of Materials Science: Materials in Medicine, 31(2), 15. DOI: 10.1007/s10856-020-6359-y. PMID: 32060634.</w:t>
      </w:r>
    </w:p>
    <w:p>
      <w:pPr>
        <w:spacing w:after="120" w:line="360" w:lineRule="auto"/>
        <w:ind w:left="567" w:hanging="567"/>
      </w:pPr>
      <w:r>
        <w:t>Szymanska, E., Winnicka, K. (2015). Chitosan in mucoadhesive drug delivery: focus on local vaginal therapy. Marine Drugs, 13(1), 222-245. DOI: 10.3390/md13010222. PMID: 25574737.</w:t>
      </w:r>
    </w:p>
    <w:p>
      <w:pPr>
        <w:spacing w:after="120" w:line="360" w:lineRule="auto"/>
        <w:ind w:left="567" w:hanging="567"/>
      </w:pPr>
      <w:r>
        <w:t>Szymanska, E., Krzyżowska, M., Cal, K., Mikolaszek, B., Tomaszewski, J., Wolczynski, S., Winnicka, K. (2021). Potential of mucoadhesive chitosan glutamate microparticles as microbicide carriers - antiherpes activity and penetration behavior across the human vaginal epithelium. Drug Delivery, 28(1), 2278-2288. DOI: 10.1080/10717544.2021.1992037.</w:t>
      </w:r>
    </w:p>
    <w:p>
      <w:pPr>
        <w:spacing w:after="120" w:line="360" w:lineRule="auto"/>
        <w:ind w:left="567" w:hanging="567"/>
      </w:pPr>
      <w:r>
        <w:t>Tonnesen, H.H., Karlsen, J. (2002). Alginate in drug delivery systems. Drug Development and Industrial Pharmacy, 28(6), 621-630. DOI: 10.1081/DDC-120003853.</w:t>
      </w:r>
    </w:p>
    <w:p>
      <w:pPr>
        <w:spacing w:after="120" w:line="360" w:lineRule="auto"/>
        <w:ind w:left="567" w:hanging="567"/>
      </w:pPr>
      <w:r>
        <w:t>Vehring, R. (2008). Pharmaceutical particle engineering via spray drying. Pharmaceutical Research, 25(5), 999-1022. DOI: 10.1007/s11095-007-9475-1. PMID: 18040761.</w:t>
      </w:r>
    </w:p>
    <w:p>
      <w:pPr>
        <w:spacing w:after="120" w:line="360" w:lineRule="auto"/>
        <w:ind w:left="567" w:hanging="567"/>
      </w:pPr>
      <w:r>
        <w:t>Vilariño, M., Rubianes, E., Menchaca, A. (2017). Progesterone-releasing devices for cattle estrus induction and synchronization: device optimization and new developments. Theriogenology, 104, 149-153. PMID: 29033104.</w:t>
      </w:r>
    </w:p>
    <w:p>
      <w:pPr>
        <w:spacing w:after="120" w:line="360" w:lineRule="auto"/>
        <w:ind w:left="567" w:hanging="567"/>
      </w:pPr>
      <w:r>
        <w:t>Zhang, L., Chan, J.M., Gu, F.X., Rhee, J.W., Wang, A.Z., Radovic-Moreno, A.F., Alexis, F., Langer, R., Farokhzad, O.C. (2008). Self-assembled lipid-polymer hybrid nanoparticles: A robust drug delivery platform. ACS Nano, 2(8), 1696-1702. DOI: 10.1021/nn800275r. PMC4477795.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