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p>
    <w:p>
      <w:pPr>
        <w:jc w:val="center"/>
      </w:pPr>
      <w:r>
        <w:rPr>
          <w:rFonts w:ascii="Times New Roman" w:hAnsi="Times New Roman"/>
          <w:b/>
          <w:color w:val="003366"/>
          <w:sz w:val="44"/>
        </w:rPr>
        <w:t>ENCAPSULATION OF PROGESTERONE BY ALGINATE</w:t>
        <w:br/>
        <w:t>THROUGH SPRAY DRYING PROCESS</w:t>
      </w:r>
    </w:p>
    <w:p>
      <w:pPr>
        <w:jc w:val="center"/>
      </w:pPr>
      <w:r>
        <w:rPr>
          <w:rFonts w:ascii="Times New Roman" w:hAnsi="Times New Roman"/>
          <w:i/>
          <w:sz w:val="28"/>
        </w:rPr>
        <w:br/>
        <w:t>A Comprehensive Scientific Review</w:t>
      </w:r>
    </w:p>
    <w:p>
      <w:pPr>
        <w:jc w:val="center"/>
      </w:pPr>
      <w:r>
        <w:rPr>
          <w:rFonts w:ascii="Times New Roman" w:hAnsi="Times New Roman"/>
          <w:i/>
          <w:sz w:val="24"/>
        </w:rPr>
        <w:t>Suitable for Synopsis Preparation, Thesis Literature Review,</w:t>
        <w:br/>
        <w:t>Research Proposal, and Journal Manuscript Background</w:t>
      </w:r>
    </w:p>
    <w:p/>
    <w:p/>
    <w:p/>
    <w:p/>
    <w:p/>
    <w:p/>
    <w:p/>
    <w:p/>
    <w:p>
      <w:pPr>
        <w:jc w:val="center"/>
      </w:pPr>
      <w:r>
        <w:rPr>
          <w:rFonts w:ascii="Times New Roman" w:hAnsi="Times New Roman"/>
          <w:i/>
          <w:sz w:val="22"/>
        </w:rPr>
        <w:t>Domain: Pharmaceutical Formulation Science • Biomaterials • Veterinary Reproductive Biotechnology</w:t>
      </w:r>
    </w:p>
    <w:p>
      <w:pPr>
        <w:jc w:val="center"/>
      </w:pPr>
      <w:r>
        <w:rPr>
          <w:rFonts w:ascii="Times New Roman" w:hAnsi="Times New Roman"/>
          <w:i/>
          <w:color w:val="555555"/>
          <w:sz w:val="20"/>
        </w:rPr>
        <w:br/>
        <w:t>All references in this document are verified peer-reviewed publications indexed in PubMed, PMC, Springer, Taylor &amp; Francis, MDPI, or Elsevier. Where specific quantitative parameters were not extractable from the original abstract or publicly available record, the value is reported as "Not Reported" rather than estimated.</w:t>
      </w:r>
    </w:p>
    <w:p>
      <w:r>
        <w:br w:type="page"/>
      </w:r>
    </w:p>
    <w:p>
      <w:pPr>
        <w:pStyle w:val="Title"/>
      </w:pPr>
      <w:r>
        <w:rPr>
          <w:rFonts w:ascii="Times New Roman" w:hAnsi="Times New Roman"/>
          <w:color w:val="003366"/>
          <w:sz w:val="40"/>
        </w:rPr>
        <w:t>Table of Contents</w:t>
      </w:r>
    </w:p>
    <w:p>
      <w:pPr>
        <w:spacing w:line="312" w:lineRule="auto"/>
      </w:pPr>
      <w:r>
        <w:rPr>
          <w:rFonts w:ascii="Times New Roman" w:hAnsi="Times New Roman"/>
          <w:sz w:val="22"/>
        </w:rPr>
        <w:t>1. Abstract</w:t>
      </w:r>
    </w:p>
    <w:p>
      <w:pPr>
        <w:spacing w:line="312" w:lineRule="auto"/>
      </w:pPr>
      <w:r>
        <w:rPr>
          <w:rFonts w:ascii="Times New Roman" w:hAnsi="Times New Roman"/>
          <w:sz w:val="22"/>
        </w:rPr>
        <w:t>2. Introduction</w:t>
      </w:r>
    </w:p>
    <w:p>
      <w:pPr>
        <w:spacing w:line="312" w:lineRule="auto"/>
      </w:pPr>
      <w:r>
        <w:rPr>
          <w:rFonts w:ascii="Times New Roman" w:hAnsi="Times New Roman"/>
          <w:sz w:val="22"/>
        </w:rPr>
        <w:t>3. Progesterone: Properties and Reproductive Applications</w:t>
      </w:r>
    </w:p>
    <w:p>
      <w:pPr>
        <w:spacing w:line="312" w:lineRule="auto"/>
      </w:pPr>
      <w:r>
        <w:rPr>
          <w:rFonts w:ascii="Times New Roman" w:hAnsi="Times New Roman"/>
          <w:sz w:val="22"/>
        </w:rPr>
        <w:t xml:space="preserve">   3.1 Physicochemical Properties</w:t>
      </w:r>
    </w:p>
    <w:p>
      <w:pPr>
        <w:spacing w:line="312" w:lineRule="auto"/>
      </w:pPr>
      <w:r>
        <w:rPr>
          <w:rFonts w:ascii="Times New Roman" w:hAnsi="Times New Roman"/>
          <w:sz w:val="22"/>
        </w:rPr>
        <w:t xml:space="preserve">   3.2 Biological Role and Reproductive Significance</w:t>
      </w:r>
    </w:p>
    <w:p>
      <w:pPr>
        <w:spacing w:line="312" w:lineRule="auto"/>
      </w:pPr>
      <w:r>
        <w:rPr>
          <w:rFonts w:ascii="Times New Roman" w:hAnsi="Times New Roman"/>
          <w:sz w:val="22"/>
        </w:rPr>
        <w:t xml:space="preserve">   3.3 Limitations of Conventional Progesterone Delivery</w:t>
      </w:r>
    </w:p>
    <w:p>
      <w:pPr>
        <w:spacing w:line="312" w:lineRule="auto"/>
      </w:pPr>
      <w:r>
        <w:rPr>
          <w:rFonts w:ascii="Times New Roman" w:hAnsi="Times New Roman"/>
          <w:sz w:val="22"/>
        </w:rPr>
        <w:t xml:space="preserve">   3.4 Intravaginal Progesterone Delivery in Veterinary Practice</w:t>
      </w:r>
    </w:p>
    <w:p>
      <w:pPr>
        <w:spacing w:line="312" w:lineRule="auto"/>
      </w:pPr>
      <w:r>
        <w:rPr>
          <w:rFonts w:ascii="Times New Roman" w:hAnsi="Times New Roman"/>
          <w:sz w:val="22"/>
        </w:rPr>
        <w:t>4. Alginate: A Versatile Biopolymer for Encapsulation</w:t>
      </w:r>
    </w:p>
    <w:p>
      <w:pPr>
        <w:spacing w:line="312" w:lineRule="auto"/>
      </w:pPr>
      <w:r>
        <w:rPr>
          <w:rFonts w:ascii="Times New Roman" w:hAnsi="Times New Roman"/>
          <w:sz w:val="22"/>
        </w:rPr>
        <w:t xml:space="preserve">   4.1 Chemical Structure and Origin</w:t>
      </w:r>
    </w:p>
    <w:p>
      <w:pPr>
        <w:spacing w:line="312" w:lineRule="auto"/>
      </w:pPr>
      <w:r>
        <w:rPr>
          <w:rFonts w:ascii="Times New Roman" w:hAnsi="Times New Roman"/>
          <w:sz w:val="22"/>
        </w:rPr>
        <w:t xml:space="preserve">   4.2 Physicochemical and Biological Properties</w:t>
      </w:r>
    </w:p>
    <w:p>
      <w:pPr>
        <w:spacing w:line="312" w:lineRule="auto"/>
      </w:pPr>
      <w:r>
        <w:rPr>
          <w:rFonts w:ascii="Times New Roman" w:hAnsi="Times New Roman"/>
          <w:sz w:val="22"/>
        </w:rPr>
        <w:t xml:space="preserve">   4.3 Mucoadhesion and Gel-Forming Behaviour</w:t>
      </w:r>
    </w:p>
    <w:p>
      <w:pPr>
        <w:spacing w:line="312" w:lineRule="auto"/>
      </w:pPr>
      <w:r>
        <w:rPr>
          <w:rFonts w:ascii="Times New Roman" w:hAnsi="Times New Roman"/>
          <w:sz w:val="22"/>
        </w:rPr>
        <w:t xml:space="preserve">   4.4 Advantages and Disadvantages</w:t>
      </w:r>
    </w:p>
    <w:p>
      <w:pPr>
        <w:spacing w:line="312" w:lineRule="auto"/>
      </w:pPr>
      <w:r>
        <w:rPr>
          <w:rFonts w:ascii="Times New Roman" w:hAnsi="Times New Roman"/>
          <w:sz w:val="22"/>
        </w:rPr>
        <w:t>5. Spray Drying Technology</w:t>
      </w:r>
    </w:p>
    <w:p>
      <w:pPr>
        <w:spacing w:line="312" w:lineRule="auto"/>
      </w:pPr>
      <w:r>
        <w:rPr>
          <w:rFonts w:ascii="Times New Roman" w:hAnsi="Times New Roman"/>
          <w:sz w:val="22"/>
        </w:rPr>
        <w:t xml:space="preserve">   5.1 Principle and Workflow</w:t>
      </w:r>
    </w:p>
    <w:p>
      <w:pPr>
        <w:spacing w:line="312" w:lineRule="auto"/>
      </w:pPr>
      <w:r>
        <w:rPr>
          <w:rFonts w:ascii="Times New Roman" w:hAnsi="Times New Roman"/>
          <w:sz w:val="22"/>
        </w:rPr>
        <w:t xml:space="preserve">   5.2 Critical Process Parameters</w:t>
      </w:r>
    </w:p>
    <w:p>
      <w:pPr>
        <w:spacing w:line="312" w:lineRule="auto"/>
      </w:pPr>
      <w:r>
        <w:rPr>
          <w:rFonts w:ascii="Times New Roman" w:hAnsi="Times New Roman"/>
          <w:sz w:val="22"/>
        </w:rPr>
        <w:t xml:space="preserve">   5.3 Particle Formation Mechanism</w:t>
      </w:r>
    </w:p>
    <w:p>
      <w:pPr>
        <w:spacing w:line="312" w:lineRule="auto"/>
      </w:pPr>
      <w:r>
        <w:rPr>
          <w:rFonts w:ascii="Times New Roman" w:hAnsi="Times New Roman"/>
          <w:sz w:val="22"/>
        </w:rPr>
        <w:t>6. Alginate-Based Spray-Dried Encapsulation Systems</w:t>
      </w:r>
    </w:p>
    <w:p>
      <w:pPr>
        <w:spacing w:line="312" w:lineRule="auto"/>
      </w:pPr>
      <w:r>
        <w:rPr>
          <w:rFonts w:ascii="Times New Roman" w:hAnsi="Times New Roman"/>
          <w:sz w:val="22"/>
        </w:rPr>
        <w:t xml:space="preserve">   6.1 Single-Polymer Alginate Microparticles</w:t>
      </w:r>
    </w:p>
    <w:p>
      <w:pPr>
        <w:spacing w:line="312" w:lineRule="auto"/>
      </w:pPr>
      <w:r>
        <w:rPr>
          <w:rFonts w:ascii="Times New Roman" w:hAnsi="Times New Roman"/>
          <w:sz w:val="22"/>
        </w:rPr>
        <w:t xml:space="preserve">   6.2 In-Situ Crosslinked Alginate Microparticles</w:t>
      </w:r>
    </w:p>
    <w:p>
      <w:pPr>
        <w:spacing w:line="312" w:lineRule="auto"/>
      </w:pPr>
      <w:r>
        <w:rPr>
          <w:rFonts w:ascii="Times New Roman" w:hAnsi="Times New Roman"/>
          <w:sz w:val="22"/>
        </w:rPr>
        <w:t xml:space="preserve">   6.3 Composite and Multilayer Systems</w:t>
      </w:r>
    </w:p>
    <w:p>
      <w:pPr>
        <w:spacing w:line="312" w:lineRule="auto"/>
      </w:pPr>
      <w:r>
        <w:rPr>
          <w:rFonts w:ascii="Times New Roman" w:hAnsi="Times New Roman"/>
          <w:sz w:val="22"/>
        </w:rPr>
        <w:t xml:space="preserve">   6.4 Encapsulation of Hydrophobic Drugs</w:t>
      </w:r>
    </w:p>
    <w:p>
      <w:pPr>
        <w:spacing w:line="312" w:lineRule="auto"/>
      </w:pPr>
      <w:r>
        <w:rPr>
          <w:rFonts w:ascii="Times New Roman" w:hAnsi="Times New Roman"/>
          <w:sz w:val="22"/>
        </w:rPr>
        <w:t>7. Progesterone–Alginate Compatibility and Encapsulation Considerations</w:t>
      </w:r>
    </w:p>
    <w:p>
      <w:pPr>
        <w:spacing w:line="312" w:lineRule="auto"/>
      </w:pPr>
      <w:r>
        <w:rPr>
          <w:rFonts w:ascii="Times New Roman" w:hAnsi="Times New Roman"/>
          <w:sz w:val="22"/>
        </w:rPr>
        <w:t>8. Sustained / Controlled Release Mechanisms</w:t>
      </w:r>
    </w:p>
    <w:p>
      <w:pPr>
        <w:spacing w:line="312" w:lineRule="auto"/>
      </w:pPr>
      <w:r>
        <w:rPr>
          <w:rFonts w:ascii="Times New Roman" w:hAnsi="Times New Roman"/>
          <w:sz w:val="22"/>
        </w:rPr>
        <w:t>9. Characterization Techniques</w:t>
      </w:r>
    </w:p>
    <w:p>
      <w:pPr>
        <w:spacing w:line="312" w:lineRule="auto"/>
      </w:pPr>
      <w:r>
        <w:rPr>
          <w:rFonts w:ascii="Times New Roman" w:hAnsi="Times New Roman"/>
          <w:sz w:val="22"/>
        </w:rPr>
        <w:t>10. Comparative Tables of Peer-Reviewed Studies</w:t>
      </w:r>
    </w:p>
    <w:p>
      <w:pPr>
        <w:spacing w:line="312" w:lineRule="auto"/>
      </w:pPr>
      <w:r>
        <w:rPr>
          <w:rFonts w:ascii="Times New Roman" w:hAnsi="Times New Roman"/>
          <w:sz w:val="22"/>
        </w:rPr>
        <w:t>11. Veterinary Reproductive Applications</w:t>
      </w:r>
    </w:p>
    <w:p>
      <w:pPr>
        <w:spacing w:line="312" w:lineRule="auto"/>
      </w:pPr>
      <w:r>
        <w:rPr>
          <w:rFonts w:ascii="Times New Roman" w:hAnsi="Times New Roman"/>
          <w:sz w:val="22"/>
        </w:rPr>
        <w:t>12. Research Gaps in Current Literature</w:t>
      </w:r>
    </w:p>
    <w:p>
      <w:pPr>
        <w:spacing w:line="312" w:lineRule="auto"/>
      </w:pPr>
      <w:r>
        <w:rPr>
          <w:rFonts w:ascii="Times New Roman" w:hAnsi="Times New Roman"/>
          <w:sz w:val="22"/>
        </w:rPr>
        <w:t>13. Future Scope</w:t>
      </w:r>
    </w:p>
    <w:p>
      <w:pPr>
        <w:spacing w:line="312" w:lineRule="auto"/>
      </w:pPr>
      <w:r>
        <w:rPr>
          <w:rFonts w:ascii="Times New Roman" w:hAnsi="Times New Roman"/>
          <w:sz w:val="22"/>
        </w:rPr>
        <w:t>14. Scientific Rationale for Choosing Alginate</w:t>
      </w:r>
    </w:p>
    <w:p>
      <w:pPr>
        <w:spacing w:line="312" w:lineRule="auto"/>
      </w:pPr>
      <w:r>
        <w:rPr>
          <w:rFonts w:ascii="Times New Roman" w:hAnsi="Times New Roman"/>
          <w:sz w:val="22"/>
        </w:rPr>
        <w:t>15. Conclusion</w:t>
      </w:r>
    </w:p>
    <w:p>
      <w:pPr>
        <w:spacing w:line="312" w:lineRule="auto"/>
      </w:pPr>
      <w:r>
        <w:rPr>
          <w:rFonts w:ascii="Times New Roman" w:hAnsi="Times New Roman"/>
          <w:sz w:val="22"/>
        </w:rPr>
        <w:t>16. References</w:t>
      </w:r>
    </w:p>
    <w:p>
      <w:r>
        <w:br w:type="page"/>
      </w:r>
    </w:p>
    <w:p>
      <w:pPr>
        <w:pStyle w:val="Heading1"/>
      </w:pPr>
      <w:r>
        <w:rPr>
          <w:rFonts w:ascii="Times New Roman" w:hAnsi="Times New Roman"/>
          <w:color w:val="003366"/>
          <w:sz w:val="30"/>
        </w:rPr>
        <w:t>1. Abstract</w:t>
      </w:r>
    </w:p>
    <w:p>
      <w:pPr>
        <w:spacing w:line="360" w:lineRule="auto" w:after="120"/>
        <w:jc w:val="both"/>
      </w:pPr>
      <w:r>
        <w:rPr>
          <w:rFonts w:ascii="Times New Roman" w:hAnsi="Times New Roman"/>
          <w:b w:val="0"/>
          <w:i w:val="0"/>
          <w:sz w:val="22"/>
        </w:rPr>
        <w:t>Progesterone (P4) is the principal steroidal progestogen used in the pharmacological control of the oestrous cycle in cattle, buffalo and small ruminants. Its highly hydrophobic character (log P ≈ 3.87), short biological half-life and pronounced first-pass metabolism preclude efficient oral delivery, which has driven the development of intravaginal controlled-release devices such as silicone CIDR and ethylene–vinyl acetate (EVA) inserts. However, these devices generate non-biodegradable waste, retain a substantial residual hormone load after use and are difficult to fine-tune for individualised dosing. Encapsulation of P4 within biopolymeric microparticles offers a biodegradable, scalable alternative. Alginate, an anionic algal polysaccharide, possesses biocompatibility, mucoadhesive character and divalent-cation–mediated gelation, while spray drying provides a rapid, continuous, single-step route to dry, free-flowing microparticles with tunable size and morphology. This review synthesises peer-reviewed evidence on alginate-based spray drying systems with particular emphasis on hydrophobic-drug encapsulation, composite carrier strategies (alginate/chitosan, alginate/gelatin, alginate/ethyl cellulose, alginate/hypromellose), characterisation methods, and intravaginal hormone delivery in cattle. Critical research gaps and translational opportunities for an alginate spray-dried progesterone delivery platform are identified.</w:t>
      </w:r>
    </w:p>
    <w:p>
      <w:r>
        <w:br w:type="page"/>
      </w:r>
    </w:p>
    <w:p>
      <w:pPr>
        <w:pStyle w:val="Heading1"/>
      </w:pPr>
      <w:r>
        <w:rPr>
          <w:rFonts w:ascii="Times New Roman" w:hAnsi="Times New Roman"/>
          <w:color w:val="003366"/>
          <w:sz w:val="30"/>
        </w:rPr>
        <w:t>2. Introduction</w:t>
      </w:r>
    </w:p>
    <w:p>
      <w:pPr>
        <w:spacing w:line="360" w:lineRule="auto" w:after="120"/>
        <w:jc w:val="both"/>
      </w:pPr>
      <w:r>
        <w:rPr>
          <w:rFonts w:ascii="Times New Roman" w:hAnsi="Times New Roman"/>
          <w:b w:val="0"/>
          <w:i w:val="0"/>
          <w:sz w:val="22"/>
        </w:rPr>
        <w:t>Reproductive efficiency is one of the most economically significant determinants of profitability in dairy and beef enterprises. Hormonal protocols for oestrous synchronisation, fixed-time artificial insemination, and the management of repeat-breeding cows depend on the ability to maintain a defined plasma progesterone concentration over a controlled period. Progesterone-releasing intravaginal devices have been in clinical veterinary use for over four decades [16,17,18]. Although effective, conventional silicone- and EVA-based inserts release only a fraction of their initial hormone load, leaving up to 50–70 % of the drug as a residue at device removal and generating non-biodegradable polymer waste [16,17].</w:t>
      </w:r>
    </w:p>
    <w:p>
      <w:pPr>
        <w:spacing w:line="360" w:lineRule="auto" w:after="120"/>
        <w:jc w:val="both"/>
      </w:pPr>
      <w:r>
        <w:rPr>
          <w:rFonts w:ascii="Times New Roman" w:hAnsi="Times New Roman"/>
          <w:b w:val="0"/>
          <w:i w:val="0"/>
          <w:sz w:val="22"/>
        </w:rPr>
        <w:t>In parallel, particulate drug-delivery science has matured into a practical industrial technology. Polymeric microparticles produced by spray drying have been shown to deliver therapeutics across systemic, pulmonary, intranasal, vaginal and oral mucosal routes with reproducible particle attributes, tailored release kinetics and good powder flowability [13,14,7,8]. Among the wall materials investigated, alginate has emerged as a particularly attractive candidate because it is GRAS, biocompatible, biodegradable, mucoadhesive and amenable to mild aqueous processing [13,15]. The conjunction of an anionic biopolymer (alginate) with a low-cost, scalable, single-step process (spray drying) creates an opportunity to redesign progesterone delivery as a biodegradable, microparticulate, vaginally retained system rather than a monolithic, non-degradable device.</w:t>
      </w:r>
    </w:p>
    <w:p>
      <w:pPr>
        <w:spacing w:line="360" w:lineRule="auto" w:after="120"/>
        <w:jc w:val="both"/>
      </w:pPr>
      <w:r>
        <w:rPr>
          <w:rFonts w:ascii="Times New Roman" w:hAnsi="Times New Roman"/>
          <w:b w:val="0"/>
          <w:i w:val="0"/>
          <w:sz w:val="22"/>
        </w:rPr>
        <w:t>This document compiles verified peer-reviewed evidence (2005–2024) on alginate spray-drying encapsulation systems and frames it specifically around the unmet need for a biodegradable, sustained-release progesterone formulation for veterinary reproductive use.</w:t>
      </w:r>
    </w:p>
    <w:p>
      <w:pPr>
        <w:pStyle w:val="Heading1"/>
      </w:pPr>
      <w:r>
        <w:rPr>
          <w:rFonts w:ascii="Times New Roman" w:hAnsi="Times New Roman"/>
          <w:color w:val="003366"/>
          <w:sz w:val="30"/>
        </w:rPr>
        <w:t>3. Progesterone: Properties and Reproductive Applications</w:t>
      </w:r>
    </w:p>
    <w:p>
      <w:pPr>
        <w:pStyle w:val="Heading2"/>
      </w:pPr>
      <w:r>
        <w:rPr>
          <w:rFonts w:ascii="Times New Roman" w:hAnsi="Times New Roman"/>
          <w:color w:val="1F497D"/>
          <w:sz w:val="26"/>
        </w:rPr>
        <w:t>3.1 Physicochemical Properties</w:t>
      </w:r>
    </w:p>
    <w:p>
      <w:pPr>
        <w:spacing w:line="360" w:lineRule="auto" w:after="120"/>
        <w:jc w:val="both"/>
      </w:pPr>
      <w:r>
        <w:rPr>
          <w:rFonts w:ascii="Times New Roman" w:hAnsi="Times New Roman"/>
          <w:b w:val="0"/>
          <w:i w:val="0"/>
          <w:sz w:val="22"/>
        </w:rPr>
        <w:t>Progesterone (pregn-4-ene-3,20-dione) is a C-21 steroid hormone with molecular formula C21H30O2, molecular weight 314.46 g/mol, melting point in the range of 126–131 °C, and a markedly hydrophobic character (log P ≈ 3.87). It is practically insoluble in water (~7–10 µg/mL) but freely soluble in ethanol, dichloromethane, chloroform and most lipid vehicles. These properties drive low oral bioavailability, extensive hepatic first-pass metabolism by the cytochrome P450 system and a plasma half-life of only a few minutes for unmodified P4 — necessitating sustained-release dosage forms for any meaningful therapeutic plateau.</w:t>
      </w:r>
    </w:p>
    <w:p>
      <w:pPr>
        <w:pStyle w:val="Heading2"/>
      </w:pPr>
      <w:r>
        <w:rPr>
          <w:rFonts w:ascii="Times New Roman" w:hAnsi="Times New Roman"/>
          <w:color w:val="1F497D"/>
          <w:sz w:val="26"/>
        </w:rPr>
        <w:t>3.2 Biological Role and Reproductive Significance</w:t>
      </w:r>
    </w:p>
    <w:p>
      <w:pPr>
        <w:spacing w:line="360" w:lineRule="auto" w:after="120"/>
        <w:jc w:val="both"/>
      </w:pPr>
      <w:r>
        <w:rPr>
          <w:rFonts w:ascii="Times New Roman" w:hAnsi="Times New Roman"/>
          <w:b w:val="0"/>
          <w:i w:val="0"/>
          <w:sz w:val="22"/>
        </w:rPr>
        <w:t>Progesterone secreted by the corpus luteum and, in pregnancy, the placenta, is responsible for endometrial preparation, suppression of gonadotrophin-driven follicular waves, maintenance of pregnancy and modulation of myometrial quiescence. Exogenous P4, supplied via intravaginal devices, is used to mimic luteal-phase progesterone concentrations for synchronisation of oestrus, induction of ovulation within fixed-time AI programmes, treatment of anovulatory disorders and management of repeat-breeding cows [16,17,18,19].</w:t>
      </w:r>
    </w:p>
    <w:p>
      <w:pPr>
        <w:pStyle w:val="Heading2"/>
      </w:pPr>
      <w:r>
        <w:rPr>
          <w:rFonts w:ascii="Times New Roman" w:hAnsi="Times New Roman"/>
          <w:color w:val="1F497D"/>
          <w:sz w:val="26"/>
        </w:rPr>
        <w:t>3.3 Limitations of Conventional Progesterone Delivery</w:t>
      </w:r>
    </w:p>
    <w:p>
      <w:pPr>
        <w:pStyle w:val="ListBullet"/>
        <w:spacing w:line="312" w:lineRule="auto"/>
      </w:pPr>
      <w:r>
        <w:rPr>
          <w:rFonts w:ascii="Times New Roman" w:hAnsi="Times New Roman"/>
          <w:sz w:val="22"/>
        </w:rPr>
        <w:t>Oral progesterone shows poor bioavailability and erratic plasma profiles because of its hydrophobicity and pronounced first-pass metabolism.</w:t>
      </w:r>
    </w:p>
    <w:p>
      <w:pPr>
        <w:pStyle w:val="ListBullet"/>
        <w:spacing w:line="312" w:lineRule="auto"/>
      </w:pPr>
      <w:r>
        <w:rPr>
          <w:rFonts w:ascii="Times New Roman" w:hAnsi="Times New Roman"/>
          <w:sz w:val="22"/>
        </w:rPr>
        <w:t>Silicone-based intravaginal devices (CIDR, PRID) and EVA inserts retain 50–70 % residual hormone at removal and produce non-biodegradable plastic waste [16,17].</w:t>
      </w:r>
    </w:p>
    <w:p>
      <w:pPr>
        <w:pStyle w:val="ListBullet"/>
        <w:spacing w:line="312" w:lineRule="auto"/>
      </w:pPr>
      <w:r>
        <w:rPr>
          <w:rFonts w:ascii="Times New Roman" w:hAnsi="Times New Roman"/>
          <w:sz w:val="22"/>
        </w:rPr>
        <w:t>Injectable oily P4 vehicles cause local irritation and require frequent redosing because of their short pharmacokinetic plateau.</w:t>
      </w:r>
    </w:p>
    <w:p>
      <w:pPr>
        <w:pStyle w:val="ListBullet"/>
        <w:spacing w:line="312" w:lineRule="auto"/>
      </w:pPr>
      <w:r>
        <w:rPr>
          <w:rFonts w:ascii="Times New Roman" w:hAnsi="Times New Roman"/>
          <w:sz w:val="22"/>
        </w:rPr>
        <w:t>Intramuscular and subcutaneous depot formulations are difficult to titrate and remove if treatment must be aborted.</w:t>
      </w:r>
    </w:p>
    <w:p>
      <w:pPr>
        <w:pStyle w:val="ListBullet"/>
        <w:spacing w:line="312" w:lineRule="auto"/>
      </w:pPr>
      <w:r>
        <w:rPr>
          <w:rFonts w:ascii="Times New Roman" w:hAnsi="Times New Roman"/>
          <w:sz w:val="22"/>
        </w:rPr>
        <w:t>There is therefore a recognised need for biodegradable, microparticulate, mucoadhesive systems capable of providing sustained vaginal P4 release with reduced residual drug load [16,17,18].</w:t>
      </w:r>
    </w:p>
    <w:p>
      <w:pPr>
        <w:pStyle w:val="Heading2"/>
      </w:pPr>
      <w:r>
        <w:rPr>
          <w:rFonts w:ascii="Times New Roman" w:hAnsi="Times New Roman"/>
          <w:color w:val="1F497D"/>
          <w:sz w:val="26"/>
        </w:rPr>
        <w:t>3.4 Intravaginal Progesterone Delivery in Veterinary Practice</w:t>
      </w:r>
    </w:p>
    <w:p>
      <w:pPr>
        <w:spacing w:line="360" w:lineRule="auto" w:after="120"/>
        <w:jc w:val="both"/>
      </w:pPr>
      <w:r>
        <w:rPr>
          <w:rFonts w:ascii="Times New Roman" w:hAnsi="Times New Roman"/>
          <w:b w:val="0"/>
          <w:i w:val="0"/>
          <w:sz w:val="22"/>
        </w:rPr>
        <w:t>Vaginal mucosa offers high surface area, dense vascularisation, rapid systemic absorption (bypassing first-pass metabolism), and a relatively stable physiological environment in non-cycling animals. Mucoadhesive biopolymers can extend retention against vaginal fluid washout. Lopedota and co-workers [1] showed that spray-dried, tripolyphosphate-crosslinked chitosan microparticles loaded with progesterone provided burst-then-diffusion-controlled hormone release in cattle, with particle size and initial drug content emerging as the key determinants of plasma progesterone profile. Although that work used chitosan rather than alginate, it directly validates the spray-drying route for an injectable/insertable particulate P4 system in cattle and forms the closest published precedent for the present concept. A complementary study in rabbits [19] demonstrated that chitosan–alginate mucoadhesive vaginal tablets of progesterone provided approximately a 5-fold increase in bioavailability and a 2-fold longer mean residence time compared with oral progesterone, supporting the underlying alginate–chitosan polymer rationale for vaginal P4 delivery.</w:t>
      </w:r>
    </w:p>
    <w:p>
      <w:pPr>
        <w:pStyle w:val="Heading1"/>
      </w:pPr>
      <w:r>
        <w:rPr>
          <w:rFonts w:ascii="Times New Roman" w:hAnsi="Times New Roman"/>
          <w:color w:val="003366"/>
          <w:sz w:val="30"/>
        </w:rPr>
        <w:t>4. Alginate: A Versatile Biopolymer for Encapsulation</w:t>
      </w:r>
    </w:p>
    <w:p>
      <w:pPr>
        <w:pStyle w:val="Heading2"/>
      </w:pPr>
      <w:r>
        <w:rPr>
          <w:rFonts w:ascii="Times New Roman" w:hAnsi="Times New Roman"/>
          <w:color w:val="1F497D"/>
          <w:sz w:val="26"/>
        </w:rPr>
        <w:t>4.1 Chemical Structure and Origin</w:t>
      </w:r>
    </w:p>
    <w:p>
      <w:pPr>
        <w:spacing w:line="360" w:lineRule="auto" w:after="120"/>
        <w:jc w:val="both"/>
      </w:pPr>
      <w:r>
        <w:rPr>
          <w:rFonts w:ascii="Times New Roman" w:hAnsi="Times New Roman"/>
          <w:b w:val="0"/>
          <w:i w:val="0"/>
          <w:sz w:val="22"/>
        </w:rPr>
        <w:t>Alginate is a linear anionic polysaccharide extracted predominantly from brown seaweeds (Laminaria, Macrocystis, Ascophyllum). It is composed of (1→4)-linked β-D-mannuronic acid (M) and α-L-guluronic acid (G) residues arranged in homopolymeric (M-blocks, G-blocks) and heteropolymeric (MG-blocks) sequences. The G-block content governs the rigidity of the chain and, through its high affinity for divalent cations such as Ca²⁺, the strength of the resulting "egg-box" gel network. Sodium alginate is the most commonly used pharmaceutical grade because of its water solubility and ability to gel by ionic exchange with calcium [13,15].</w:t>
      </w:r>
    </w:p>
    <w:p>
      <w:pPr>
        <w:pStyle w:val="Heading2"/>
      </w:pPr>
      <w:r>
        <w:rPr>
          <w:rFonts w:ascii="Times New Roman" w:hAnsi="Times New Roman"/>
          <w:color w:val="1F497D"/>
          <w:sz w:val="26"/>
        </w:rPr>
        <w:t>4.2 Physicochemical and Biological Properties</w:t>
      </w:r>
    </w:p>
    <w:p>
      <w:pPr>
        <w:spacing w:line="360" w:lineRule="auto" w:after="120"/>
        <w:jc w:val="both"/>
      </w:pPr>
      <w:r>
        <w:rPr>
          <w:rFonts w:ascii="Times New Roman" w:hAnsi="Times New Roman"/>
          <w:b w:val="0"/>
          <w:i w:val="0"/>
          <w:sz w:val="22"/>
        </w:rPr>
        <w:t>Alginate is non-toxic, biocompatible, biodegradable in vivo and recognised as Generally Regarded as Safe (GRAS) by regulatory authorities. It is used widely as a viscosity modifier, stabiliser, matrix-forming agent and bioadhesive in transdermal and transmucosal dosage forms [13,15]. Solutions of 1–3 % w/v sodium alginate provide feed viscosities readily processable by laboratory and pilot-scale spray dryers [4,5,6].</w:t>
      </w:r>
    </w:p>
    <w:p>
      <w:pPr>
        <w:pStyle w:val="Heading2"/>
      </w:pPr>
      <w:r>
        <w:rPr>
          <w:rFonts w:ascii="Times New Roman" w:hAnsi="Times New Roman"/>
          <w:color w:val="1F497D"/>
          <w:sz w:val="26"/>
        </w:rPr>
        <w:t>4.3 Mucoadhesion and Gel-Forming Behaviour</w:t>
      </w:r>
    </w:p>
    <w:p>
      <w:pPr>
        <w:spacing w:line="360" w:lineRule="auto" w:after="120"/>
        <w:jc w:val="both"/>
      </w:pPr>
      <w:r>
        <w:rPr>
          <w:rFonts w:ascii="Times New Roman" w:hAnsi="Times New Roman"/>
          <w:b w:val="0"/>
          <w:i w:val="0"/>
          <w:sz w:val="22"/>
        </w:rPr>
        <w:t>The carboxylate groups of alginate hydrogen-bond and electrostatically interact with sialic acid residues in mucin, conferring mucoadhesion on particulate dosage forms. In the presence of divalent cations the polymer crosslinks instantaneously into a hydrogel; this principle has been exploited to perform in-situ ionic gelation during spray drying itself, producing modified-release microparticles in a single step [4,5]. Layer-by-layer assembly of alginate with cationic biopolymers such as chitosan or thiolated chitosan further enhances mucoadhesion and modulates release [2,5,8].</w:t>
      </w:r>
    </w:p>
    <w:p>
      <w:pPr>
        <w:pStyle w:val="Heading2"/>
      </w:pPr>
      <w:r>
        <w:rPr>
          <w:rFonts w:ascii="Times New Roman" w:hAnsi="Times New Roman"/>
          <w:color w:val="1F497D"/>
          <w:sz w:val="26"/>
        </w:rPr>
        <w:t>4.4 Advantages and Disadvantages</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5"/>
            <w:shd w:val="clear" w:color="auto" w:fill="1F4E78"/>
            <w:vAlign w:val="center"/>
          </w:tcPr>
          <w:p>
            <w:pPr>
              <w:jc w:val="center"/>
            </w:pPr>
            <w:r/>
            <w:r>
              <w:rPr>
                <w:rFonts w:ascii="Times New Roman" w:hAnsi="Times New Roman"/>
                <w:b/>
                <w:color w:val="FFFFFF"/>
                <w:sz w:val="20"/>
              </w:rPr>
              <w:t>Advantages of Alginate as a Spray-Drying Wall Material</w:t>
            </w:r>
          </w:p>
        </w:tc>
        <w:tc>
          <w:tcPr>
            <w:tcW w:type="dxa" w:w="4535"/>
            <w:shd w:val="clear" w:color="auto" w:fill="1F4E78"/>
            <w:vAlign w:val="center"/>
          </w:tcPr>
          <w:p>
            <w:pPr>
              <w:jc w:val="center"/>
            </w:pPr>
            <w:r/>
            <w:r>
              <w:rPr>
                <w:rFonts w:ascii="Times New Roman" w:hAnsi="Times New Roman"/>
                <w:b/>
                <w:color w:val="FFFFFF"/>
                <w:sz w:val="20"/>
              </w:rPr>
              <w:t>Disadvantages / Limitations</w:t>
            </w:r>
          </w:p>
        </w:tc>
      </w:tr>
      <w:tr>
        <w:tc>
          <w:tcPr>
            <w:tcW w:type="dxa" w:w="4535"/>
            <w:vAlign w:val="top"/>
          </w:tcPr>
          <w:p>
            <w:pPr>
              <w:spacing w:line="276" w:lineRule="auto"/>
            </w:pPr>
            <w:r/>
            <w:r>
              <w:rPr>
                <w:rFonts w:ascii="Times New Roman" w:hAnsi="Times New Roman"/>
                <w:sz w:val="19"/>
              </w:rPr>
              <w:t>Biocompatible, biodegradable, GRAS-listed [13,15]</w:t>
            </w:r>
          </w:p>
        </w:tc>
        <w:tc>
          <w:tcPr>
            <w:tcW w:type="dxa" w:w="4535"/>
            <w:vAlign w:val="top"/>
          </w:tcPr>
          <w:p>
            <w:pPr>
              <w:spacing w:line="276" w:lineRule="auto"/>
            </w:pPr>
            <w:r/>
            <w:r>
              <w:rPr>
                <w:rFonts w:ascii="Times New Roman" w:hAnsi="Times New Roman"/>
                <w:sz w:val="19"/>
              </w:rPr>
              <w:t>Hydrophilic – limited intrinsic solubilisation of hydrophobic actives such as P4</w:t>
            </w:r>
          </w:p>
        </w:tc>
      </w:tr>
      <w:tr>
        <w:tc>
          <w:tcPr>
            <w:tcW w:type="dxa" w:w="4535"/>
            <w:vAlign w:val="top"/>
          </w:tcPr>
          <w:p>
            <w:pPr>
              <w:spacing w:line="276" w:lineRule="auto"/>
            </w:pPr>
            <w:r/>
            <w:r>
              <w:rPr>
                <w:rFonts w:ascii="Times New Roman" w:hAnsi="Times New Roman"/>
                <w:sz w:val="19"/>
              </w:rPr>
              <w:t>Aqueous processing avoids organic solvent residues [4,5]</w:t>
            </w:r>
          </w:p>
        </w:tc>
        <w:tc>
          <w:tcPr>
            <w:tcW w:type="dxa" w:w="4535"/>
            <w:vAlign w:val="top"/>
          </w:tcPr>
          <w:p>
            <w:pPr>
              <w:spacing w:line="276" w:lineRule="auto"/>
            </w:pPr>
            <w:r/>
            <w:r>
              <w:rPr>
                <w:rFonts w:ascii="Times New Roman" w:hAnsi="Times New Roman"/>
                <w:sz w:val="19"/>
              </w:rPr>
              <w:t>High solution viscosity at &gt;3 % w/v restricts atomisation [4]</w:t>
            </w:r>
          </w:p>
        </w:tc>
      </w:tr>
      <w:tr>
        <w:tc>
          <w:tcPr>
            <w:tcW w:type="dxa" w:w="4535"/>
            <w:vAlign w:val="top"/>
          </w:tcPr>
          <w:p>
            <w:pPr>
              <w:spacing w:line="276" w:lineRule="auto"/>
            </w:pPr>
            <w:r/>
            <w:r>
              <w:rPr>
                <w:rFonts w:ascii="Times New Roman" w:hAnsi="Times New Roman"/>
                <w:sz w:val="19"/>
              </w:rPr>
              <w:t>Mucoadhesive due to carboxylate/mucin interactions [2,3,5]</w:t>
            </w:r>
          </w:p>
        </w:tc>
        <w:tc>
          <w:tcPr>
            <w:tcW w:type="dxa" w:w="4535"/>
            <w:vAlign w:val="top"/>
          </w:tcPr>
          <w:p>
            <w:pPr>
              <w:spacing w:line="276" w:lineRule="auto"/>
            </w:pPr>
            <w:r/>
            <w:r>
              <w:rPr>
                <w:rFonts w:ascii="Times New Roman" w:hAnsi="Times New Roman"/>
                <w:sz w:val="19"/>
              </w:rPr>
              <w:t>Susceptible to chelating agents and high-pH/phosphate environments</w:t>
            </w:r>
          </w:p>
        </w:tc>
      </w:tr>
      <w:tr>
        <w:tc>
          <w:tcPr>
            <w:tcW w:type="dxa" w:w="4535"/>
            <w:vAlign w:val="top"/>
          </w:tcPr>
          <w:p>
            <w:pPr>
              <w:spacing w:line="276" w:lineRule="auto"/>
            </w:pPr>
            <w:r/>
            <w:r>
              <w:rPr>
                <w:rFonts w:ascii="Times New Roman" w:hAnsi="Times New Roman"/>
                <w:sz w:val="19"/>
              </w:rPr>
              <w:t>In-situ ionic gelation possible with Ca²⁺ during spray drying [4]</w:t>
            </w:r>
          </w:p>
        </w:tc>
        <w:tc>
          <w:tcPr>
            <w:tcW w:type="dxa" w:w="4535"/>
            <w:vAlign w:val="top"/>
          </w:tcPr>
          <w:p>
            <w:pPr>
              <w:spacing w:line="276" w:lineRule="auto"/>
            </w:pPr>
            <w:r/>
            <w:r>
              <w:rPr>
                <w:rFonts w:ascii="Times New Roman" w:hAnsi="Times New Roman"/>
                <w:sz w:val="19"/>
              </w:rPr>
              <w:t>Alginate molecular-weight and M:G ratio variability batch-to-batch</w:t>
            </w:r>
          </w:p>
        </w:tc>
      </w:tr>
      <w:tr>
        <w:tc>
          <w:tcPr>
            <w:tcW w:type="dxa" w:w="4535"/>
            <w:vAlign w:val="top"/>
          </w:tcPr>
          <w:p>
            <w:pPr>
              <w:spacing w:line="276" w:lineRule="auto"/>
            </w:pPr>
            <w:r/>
            <w:r>
              <w:rPr>
                <w:rFonts w:ascii="Times New Roman" w:hAnsi="Times New Roman"/>
                <w:sz w:val="19"/>
              </w:rPr>
              <w:t>Easily combined with chitosan, gelatin, hypromellose, ethyl cellulose to tune release [5,6,10,11]</w:t>
            </w:r>
          </w:p>
        </w:tc>
        <w:tc>
          <w:tcPr>
            <w:tcW w:type="dxa" w:w="4535"/>
            <w:vAlign w:val="top"/>
          </w:tcPr>
          <w:p>
            <w:pPr>
              <w:spacing w:line="276" w:lineRule="auto"/>
            </w:pPr>
            <w:r/>
            <w:r>
              <w:rPr>
                <w:rFonts w:ascii="Times New Roman" w:hAnsi="Times New Roman"/>
                <w:sz w:val="19"/>
              </w:rPr>
              <w:t>Burst release may occur for freely soluble drugs without crosslinking [4]</w:t>
            </w:r>
          </w:p>
        </w:tc>
      </w:tr>
      <w:tr>
        <w:tc>
          <w:tcPr>
            <w:tcW w:type="dxa" w:w="4535"/>
            <w:vAlign w:val="top"/>
          </w:tcPr>
          <w:p>
            <w:pPr>
              <w:spacing w:line="276" w:lineRule="auto"/>
            </w:pPr>
            <w:r/>
            <w:r>
              <w:rPr>
                <w:rFonts w:ascii="Times New Roman" w:hAnsi="Times New Roman"/>
                <w:sz w:val="19"/>
              </w:rPr>
              <w:t>Cost-effective, abundant, well-established regulatory history</w:t>
            </w:r>
          </w:p>
        </w:tc>
        <w:tc>
          <w:tcPr>
            <w:tcW w:type="dxa" w:w="4535"/>
            <w:vAlign w:val="top"/>
          </w:tcPr>
          <w:p>
            <w:pPr>
              <w:spacing w:line="276" w:lineRule="auto"/>
            </w:pPr>
            <w:r/>
            <w:r>
              <w:rPr>
                <w:rFonts w:ascii="Times New Roman" w:hAnsi="Times New Roman"/>
                <w:sz w:val="19"/>
              </w:rPr>
              <w:t>Hygroscopic powder requires controlled storage</w:t>
            </w:r>
          </w:p>
        </w:tc>
      </w:tr>
    </w:tbl>
    <w:p>
      <w:r>
        <w:br w:type="page"/>
      </w:r>
    </w:p>
    <w:p>
      <w:pPr>
        <w:pStyle w:val="Heading1"/>
      </w:pPr>
      <w:r>
        <w:rPr>
          <w:rFonts w:ascii="Times New Roman" w:hAnsi="Times New Roman"/>
          <w:color w:val="003366"/>
          <w:sz w:val="30"/>
        </w:rPr>
        <w:t>5. Spray Drying Technology</w:t>
      </w:r>
    </w:p>
    <w:p>
      <w:pPr>
        <w:pStyle w:val="Heading2"/>
      </w:pPr>
      <w:r>
        <w:rPr>
          <w:rFonts w:ascii="Times New Roman" w:hAnsi="Times New Roman"/>
          <w:color w:val="1F497D"/>
          <w:sz w:val="26"/>
        </w:rPr>
        <w:t>5.1 Principle and Workflow</w:t>
      </w:r>
    </w:p>
    <w:p>
      <w:pPr>
        <w:spacing w:line="360" w:lineRule="auto" w:after="120"/>
        <w:jc w:val="both"/>
      </w:pPr>
      <w:r>
        <w:rPr>
          <w:rFonts w:ascii="Times New Roman" w:hAnsi="Times New Roman"/>
          <w:b w:val="0"/>
          <w:i w:val="0"/>
          <w:sz w:val="22"/>
        </w:rPr>
        <w:t>Spray drying converts a fluid feed (solution, emulsion or suspension) into a dry particulate powder in a single, continuous, scalable operation. The feed is pumped to an atomiser (typically a two-fluid pneumatic nozzle in laboratory units such as the Büchi B-290) where it is dispersed into fine droplets; the droplets contact a hot drying gas (usually air or nitrogen) inside a drying chamber, water evaporates within milliseconds, and the resulting solid microparticles are separated by a cyclone and collected in a vessel. The thermal residence time of any given droplet is short and the wet-bulb temperature of the drying droplet remains well below the chamber inlet temperature, which is critical for the preservation of thermolabile actives such as peptides, proteins and steroidal hormones [13,14].</w:t>
      </w:r>
    </w:p>
    <w:p>
      <w:pPr>
        <w:pStyle w:val="Heading2"/>
      </w:pPr>
      <w:r>
        <w:rPr>
          <w:rFonts w:ascii="Times New Roman" w:hAnsi="Times New Roman"/>
          <w:color w:val="1F497D"/>
          <w:sz w:val="26"/>
        </w:rPr>
        <w:t>5.2 Critical Process Parameters</w:t>
      </w:r>
    </w:p>
    <w:p>
      <w:pPr>
        <w:spacing w:line="360" w:lineRule="auto" w:after="120"/>
        <w:jc w:val="both"/>
      </w:pPr>
      <w:r>
        <w:rPr>
          <w:rFonts w:ascii="Times New Roman" w:hAnsi="Times New Roman"/>
          <w:b w:val="0"/>
          <w:i w:val="0"/>
          <w:sz w:val="22"/>
        </w:rPr>
        <w:t>The morphology, particle size distribution, residual moisture, encapsulation efficiency and yield of spray-dried microparticles are governed by an interaction of formulation and process variables. The most influential are summarised in Table 5.1.</w:t>
      </w:r>
    </w:p>
    <w:p>
      <w:pPr>
        <w:jc w:val="left"/>
      </w:pPr>
      <w:r>
        <w:rPr>
          <w:rFonts w:ascii="Times New Roman" w:hAnsi="Times New Roman"/>
          <w:b/>
          <w:sz w:val="22"/>
        </w:rPr>
        <w:t>Table 5.1. Critical spray-drying parameters and their typical effects.</w:t>
      </w:r>
    </w:p>
    <w:tbl>
      <w:tblPr>
        <w:tblStyle w:val="LightGrid-Accent1"/>
        <w:tblW w:type="auto" w:w="0"/>
        <w:jc w:val="center"/>
        <w:tblLayout w:type="fixed"/>
        <w:tblLook w:firstColumn="1" w:firstRow="1" w:lastColumn="0" w:lastRow="0" w:noHBand="0" w:noVBand="1" w:val="04A0"/>
      </w:tblPr>
      <w:tblGrid>
        <w:gridCol w:w="3135"/>
        <w:gridCol w:w="3135"/>
        <w:gridCol w:w="3135"/>
      </w:tblGrid>
      <w:tr>
        <w:tc>
          <w:tcPr>
            <w:tcW w:type="dxa" w:w="1984"/>
            <w:shd w:val="clear" w:color="auto" w:fill="1F4E78"/>
            <w:vAlign w:val="center"/>
          </w:tcPr>
          <w:p>
            <w:pPr>
              <w:jc w:val="center"/>
            </w:pPr>
            <w:r/>
            <w:r>
              <w:rPr>
                <w:rFonts w:ascii="Times New Roman" w:hAnsi="Times New Roman"/>
                <w:b/>
                <w:color w:val="FFFFFF"/>
                <w:sz w:val="20"/>
              </w:rPr>
              <w:t>Parameter</w:t>
            </w:r>
          </w:p>
        </w:tc>
        <w:tc>
          <w:tcPr>
            <w:tcW w:type="dxa" w:w="2835"/>
            <w:shd w:val="clear" w:color="auto" w:fill="1F4E78"/>
            <w:vAlign w:val="center"/>
          </w:tcPr>
          <w:p>
            <w:pPr>
              <w:jc w:val="center"/>
            </w:pPr>
            <w:r/>
            <w:r>
              <w:rPr>
                <w:rFonts w:ascii="Times New Roman" w:hAnsi="Times New Roman"/>
                <w:b/>
                <w:color w:val="FFFFFF"/>
                <w:sz w:val="20"/>
              </w:rPr>
              <w:t>Typical Range (lab Büchi B-290)</w:t>
            </w:r>
          </w:p>
        </w:tc>
        <w:tc>
          <w:tcPr>
            <w:tcW w:type="dxa" w:w="4535"/>
            <w:shd w:val="clear" w:color="auto" w:fill="1F4E78"/>
            <w:vAlign w:val="center"/>
          </w:tcPr>
          <w:p>
            <w:pPr>
              <w:jc w:val="center"/>
            </w:pPr>
            <w:r/>
            <w:r>
              <w:rPr>
                <w:rFonts w:ascii="Times New Roman" w:hAnsi="Times New Roman"/>
                <w:b/>
                <w:color w:val="FFFFFF"/>
                <w:sz w:val="20"/>
              </w:rPr>
              <w:t>Effect on Microparticles</w:t>
            </w:r>
          </w:p>
        </w:tc>
      </w:tr>
      <w:tr>
        <w:tc>
          <w:tcPr>
            <w:tcW w:type="dxa" w:w="1984"/>
            <w:vAlign w:val="top"/>
          </w:tcPr>
          <w:p>
            <w:pPr>
              <w:spacing w:line="276" w:lineRule="auto"/>
            </w:pPr>
            <w:r/>
            <w:r>
              <w:rPr>
                <w:rFonts w:ascii="Times New Roman" w:hAnsi="Times New Roman"/>
                <w:sz w:val="19"/>
              </w:rPr>
              <w:t>Inlet air temperature</w:t>
            </w:r>
          </w:p>
        </w:tc>
        <w:tc>
          <w:tcPr>
            <w:tcW w:type="dxa" w:w="2835"/>
            <w:vAlign w:val="top"/>
          </w:tcPr>
          <w:p>
            <w:pPr>
              <w:spacing w:line="276" w:lineRule="auto"/>
            </w:pPr>
            <w:r/>
            <w:r>
              <w:rPr>
                <w:rFonts w:ascii="Times New Roman" w:hAnsi="Times New Roman"/>
                <w:sz w:val="19"/>
              </w:rPr>
              <w:t>120–180 °C</w:t>
            </w:r>
          </w:p>
        </w:tc>
        <w:tc>
          <w:tcPr>
            <w:tcW w:type="dxa" w:w="4535"/>
            <w:vAlign w:val="top"/>
          </w:tcPr>
          <w:p>
            <w:pPr>
              <w:spacing w:line="276" w:lineRule="auto"/>
            </w:pPr>
            <w:r/>
            <w:r>
              <w:rPr>
                <w:rFonts w:ascii="Times New Roman" w:hAnsi="Times New Roman"/>
                <w:sz w:val="19"/>
              </w:rPr>
              <w:t>Higher inlet temperature → lower residual moisture but risk of thermal stress on actives. Most alginate studies used 120–150 °C [4,5,6,7].</w:t>
            </w:r>
          </w:p>
        </w:tc>
      </w:tr>
      <w:tr>
        <w:tc>
          <w:tcPr>
            <w:tcW w:type="dxa" w:w="1984"/>
            <w:vAlign w:val="top"/>
          </w:tcPr>
          <w:p>
            <w:pPr>
              <w:spacing w:line="276" w:lineRule="auto"/>
            </w:pPr>
            <w:r/>
            <w:r>
              <w:rPr>
                <w:rFonts w:ascii="Times New Roman" w:hAnsi="Times New Roman"/>
                <w:sz w:val="19"/>
              </w:rPr>
              <w:t>Outlet air temperature</w:t>
            </w:r>
          </w:p>
        </w:tc>
        <w:tc>
          <w:tcPr>
            <w:tcW w:type="dxa" w:w="2835"/>
            <w:vAlign w:val="top"/>
          </w:tcPr>
          <w:p>
            <w:pPr>
              <w:spacing w:line="276" w:lineRule="auto"/>
            </w:pPr>
            <w:r/>
            <w:r>
              <w:rPr>
                <w:rFonts w:ascii="Times New Roman" w:hAnsi="Times New Roman"/>
                <w:sz w:val="19"/>
              </w:rPr>
              <w:t>60–90 °C</w:t>
            </w:r>
          </w:p>
        </w:tc>
        <w:tc>
          <w:tcPr>
            <w:tcW w:type="dxa" w:w="4535"/>
            <w:vAlign w:val="top"/>
          </w:tcPr>
          <w:p>
            <w:pPr>
              <w:spacing w:line="276" w:lineRule="auto"/>
            </w:pPr>
            <w:r/>
            <w:r>
              <w:rPr>
                <w:rFonts w:ascii="Times New Roman" w:hAnsi="Times New Roman"/>
                <w:sz w:val="19"/>
              </w:rPr>
              <w:t>A consequence of inlet temperature, feed rate and aspirator. Governs final powder Tg and stickiness.</w:t>
            </w:r>
          </w:p>
        </w:tc>
      </w:tr>
      <w:tr>
        <w:tc>
          <w:tcPr>
            <w:tcW w:type="dxa" w:w="1984"/>
            <w:vAlign w:val="top"/>
          </w:tcPr>
          <w:p>
            <w:pPr>
              <w:spacing w:line="276" w:lineRule="auto"/>
            </w:pPr>
            <w:r/>
            <w:r>
              <w:rPr>
                <w:rFonts w:ascii="Times New Roman" w:hAnsi="Times New Roman"/>
                <w:sz w:val="19"/>
              </w:rPr>
              <w:t>Feed flow rate</w:t>
            </w:r>
          </w:p>
        </w:tc>
        <w:tc>
          <w:tcPr>
            <w:tcW w:type="dxa" w:w="2835"/>
            <w:vAlign w:val="top"/>
          </w:tcPr>
          <w:p>
            <w:pPr>
              <w:spacing w:line="276" w:lineRule="auto"/>
            </w:pPr>
            <w:r/>
            <w:r>
              <w:rPr>
                <w:rFonts w:ascii="Times New Roman" w:hAnsi="Times New Roman"/>
                <w:sz w:val="19"/>
              </w:rPr>
              <w:t>2–10 mL/min</w:t>
            </w:r>
          </w:p>
        </w:tc>
        <w:tc>
          <w:tcPr>
            <w:tcW w:type="dxa" w:w="4535"/>
            <w:vAlign w:val="top"/>
          </w:tcPr>
          <w:p>
            <w:pPr>
              <w:spacing w:line="276" w:lineRule="auto"/>
            </w:pPr>
            <w:r/>
            <w:r>
              <w:rPr>
                <w:rFonts w:ascii="Times New Roman" w:hAnsi="Times New Roman"/>
                <w:sz w:val="19"/>
              </w:rPr>
              <w:t>Higher feed rate → larger droplets and increased residual moisture; lower feed rate improves drying but reduces throughput.</w:t>
            </w:r>
          </w:p>
        </w:tc>
      </w:tr>
      <w:tr>
        <w:tc>
          <w:tcPr>
            <w:tcW w:type="dxa" w:w="1984"/>
            <w:vAlign w:val="top"/>
          </w:tcPr>
          <w:p>
            <w:pPr>
              <w:spacing w:line="276" w:lineRule="auto"/>
            </w:pPr>
            <w:r/>
            <w:r>
              <w:rPr>
                <w:rFonts w:ascii="Times New Roman" w:hAnsi="Times New Roman"/>
                <w:sz w:val="19"/>
              </w:rPr>
              <w:t>Aspirator setting</w:t>
            </w:r>
          </w:p>
        </w:tc>
        <w:tc>
          <w:tcPr>
            <w:tcW w:type="dxa" w:w="2835"/>
            <w:vAlign w:val="top"/>
          </w:tcPr>
          <w:p>
            <w:pPr>
              <w:spacing w:line="276" w:lineRule="auto"/>
            </w:pPr>
            <w:r/>
            <w:r>
              <w:rPr>
                <w:rFonts w:ascii="Times New Roman" w:hAnsi="Times New Roman"/>
                <w:sz w:val="19"/>
              </w:rPr>
              <w:t>70–100 % of maximum</w:t>
            </w:r>
          </w:p>
        </w:tc>
        <w:tc>
          <w:tcPr>
            <w:tcW w:type="dxa" w:w="4535"/>
            <w:vAlign w:val="top"/>
          </w:tcPr>
          <w:p>
            <w:pPr>
              <w:spacing w:line="276" w:lineRule="auto"/>
            </w:pPr>
            <w:r/>
            <w:r>
              <w:rPr>
                <w:rFonts w:ascii="Times New Roman" w:hAnsi="Times New Roman"/>
                <w:sz w:val="19"/>
              </w:rPr>
              <w:t>Determines drying-gas flow rate and the efficiency of cyclone separation; affects yield.</w:t>
            </w:r>
          </w:p>
        </w:tc>
      </w:tr>
      <w:tr>
        <w:tc>
          <w:tcPr>
            <w:tcW w:type="dxa" w:w="1984"/>
            <w:vAlign w:val="top"/>
          </w:tcPr>
          <w:p>
            <w:pPr>
              <w:spacing w:line="276" w:lineRule="auto"/>
            </w:pPr>
            <w:r/>
            <w:r>
              <w:rPr>
                <w:rFonts w:ascii="Times New Roman" w:hAnsi="Times New Roman"/>
                <w:sz w:val="19"/>
              </w:rPr>
              <w:t>Atomising air flow</w:t>
            </w:r>
          </w:p>
        </w:tc>
        <w:tc>
          <w:tcPr>
            <w:tcW w:type="dxa" w:w="2835"/>
            <w:vAlign w:val="top"/>
          </w:tcPr>
          <w:p>
            <w:pPr>
              <w:spacing w:line="276" w:lineRule="auto"/>
            </w:pPr>
            <w:r/>
            <w:r>
              <w:rPr>
                <w:rFonts w:ascii="Times New Roman" w:hAnsi="Times New Roman"/>
                <w:sz w:val="19"/>
              </w:rPr>
              <w:t>400–800 NL/h</w:t>
            </w:r>
          </w:p>
        </w:tc>
        <w:tc>
          <w:tcPr>
            <w:tcW w:type="dxa" w:w="4535"/>
            <w:vAlign w:val="top"/>
          </w:tcPr>
          <w:p>
            <w:pPr>
              <w:spacing w:line="276" w:lineRule="auto"/>
            </w:pPr>
            <w:r/>
            <w:r>
              <w:rPr>
                <w:rFonts w:ascii="Times New Roman" w:hAnsi="Times New Roman"/>
                <w:sz w:val="19"/>
              </w:rPr>
              <w:t>Higher atomising flow → smaller droplets → smaller, more uniform microparticles.</w:t>
            </w:r>
          </w:p>
        </w:tc>
      </w:tr>
      <w:tr>
        <w:tc>
          <w:tcPr>
            <w:tcW w:type="dxa" w:w="1984"/>
            <w:vAlign w:val="top"/>
          </w:tcPr>
          <w:p>
            <w:pPr>
              <w:spacing w:line="276" w:lineRule="auto"/>
            </w:pPr>
            <w:r/>
            <w:r>
              <w:rPr>
                <w:rFonts w:ascii="Times New Roman" w:hAnsi="Times New Roman"/>
                <w:sz w:val="19"/>
              </w:rPr>
              <w:t>Polymer concentration</w:t>
            </w:r>
          </w:p>
        </w:tc>
        <w:tc>
          <w:tcPr>
            <w:tcW w:type="dxa" w:w="2835"/>
            <w:vAlign w:val="top"/>
          </w:tcPr>
          <w:p>
            <w:pPr>
              <w:spacing w:line="276" w:lineRule="auto"/>
            </w:pPr>
            <w:r/>
            <w:r>
              <w:rPr>
                <w:rFonts w:ascii="Times New Roman" w:hAnsi="Times New Roman"/>
                <w:sz w:val="19"/>
              </w:rPr>
              <w:t>1–3 % w/v sodium alginate (typical) [4,5,6]</w:t>
            </w:r>
          </w:p>
        </w:tc>
        <w:tc>
          <w:tcPr>
            <w:tcW w:type="dxa" w:w="4535"/>
            <w:vAlign w:val="top"/>
          </w:tcPr>
          <w:p>
            <w:pPr>
              <w:spacing w:line="276" w:lineRule="auto"/>
            </w:pPr>
            <w:r/>
            <w:r>
              <w:rPr>
                <w:rFonts w:ascii="Times New Roman" w:hAnsi="Times New Roman"/>
                <w:sz w:val="19"/>
              </w:rPr>
              <w:t>Higher concentration → larger particles but high viscosity may impair atomisation.</w:t>
            </w:r>
          </w:p>
        </w:tc>
      </w:tr>
      <w:tr>
        <w:tc>
          <w:tcPr>
            <w:tcW w:type="dxa" w:w="1984"/>
            <w:vAlign w:val="top"/>
          </w:tcPr>
          <w:p>
            <w:pPr>
              <w:spacing w:line="276" w:lineRule="auto"/>
            </w:pPr>
            <w:r/>
            <w:r>
              <w:rPr>
                <w:rFonts w:ascii="Times New Roman" w:hAnsi="Times New Roman"/>
                <w:sz w:val="19"/>
              </w:rPr>
              <w:t>Crosslinker</w:t>
            </w:r>
          </w:p>
        </w:tc>
        <w:tc>
          <w:tcPr>
            <w:tcW w:type="dxa" w:w="2835"/>
            <w:vAlign w:val="top"/>
          </w:tcPr>
          <w:p>
            <w:pPr>
              <w:spacing w:line="276" w:lineRule="auto"/>
            </w:pPr>
            <w:r/>
            <w:r>
              <w:rPr>
                <w:rFonts w:ascii="Times New Roman" w:hAnsi="Times New Roman"/>
                <w:sz w:val="19"/>
              </w:rPr>
              <w:t>0.05–0.1 % w/v CaCl₂ (one-step) [4]</w:t>
            </w:r>
          </w:p>
        </w:tc>
        <w:tc>
          <w:tcPr>
            <w:tcW w:type="dxa" w:w="4535"/>
            <w:vAlign w:val="top"/>
          </w:tcPr>
          <w:p>
            <w:pPr>
              <w:spacing w:line="276" w:lineRule="auto"/>
            </w:pPr>
            <w:r/>
            <w:r>
              <w:rPr>
                <w:rFonts w:ascii="Times New Roman" w:hAnsi="Times New Roman"/>
                <w:sz w:val="19"/>
              </w:rPr>
              <w:t>Calcium concentrations &gt;0.1 % can render the feed too viscous to atomise [4].</w:t>
            </w:r>
          </w:p>
        </w:tc>
      </w:tr>
      <w:tr>
        <w:tc>
          <w:tcPr>
            <w:tcW w:type="dxa" w:w="1984"/>
            <w:vAlign w:val="top"/>
          </w:tcPr>
          <w:p>
            <w:pPr>
              <w:spacing w:line="276" w:lineRule="auto"/>
            </w:pPr>
            <w:r/>
            <w:r>
              <w:rPr>
                <w:rFonts w:ascii="Times New Roman" w:hAnsi="Times New Roman"/>
                <w:sz w:val="19"/>
              </w:rPr>
              <w:t>Solvent system</w:t>
            </w:r>
          </w:p>
        </w:tc>
        <w:tc>
          <w:tcPr>
            <w:tcW w:type="dxa" w:w="2835"/>
            <w:vAlign w:val="top"/>
          </w:tcPr>
          <w:p>
            <w:pPr>
              <w:spacing w:line="276" w:lineRule="auto"/>
            </w:pPr>
            <w:r/>
            <w:r>
              <w:rPr>
                <w:rFonts w:ascii="Times New Roman" w:hAnsi="Times New Roman"/>
                <w:sz w:val="19"/>
              </w:rPr>
              <w:t>Water; W/O emulsion (water + DCM) [10]</w:t>
            </w:r>
          </w:p>
        </w:tc>
        <w:tc>
          <w:tcPr>
            <w:tcW w:type="dxa" w:w="4535"/>
            <w:vAlign w:val="top"/>
          </w:tcPr>
          <w:p>
            <w:pPr>
              <w:spacing w:line="276" w:lineRule="auto"/>
            </w:pPr>
            <w:r/>
            <w:r>
              <w:rPr>
                <w:rFonts w:ascii="Times New Roman" w:hAnsi="Times New Roman"/>
                <w:sz w:val="19"/>
              </w:rPr>
              <w:t>Hydrophobic actives may require W/O emulsion or co-solvent feeds.</w:t>
            </w:r>
          </w:p>
        </w:tc>
      </w:tr>
      <w:tr>
        <w:tc>
          <w:tcPr>
            <w:tcW w:type="dxa" w:w="1984"/>
            <w:vAlign w:val="top"/>
          </w:tcPr>
          <w:p>
            <w:pPr>
              <w:spacing w:line="276" w:lineRule="auto"/>
            </w:pPr>
            <w:r/>
            <w:r>
              <w:rPr>
                <w:rFonts w:ascii="Times New Roman" w:hAnsi="Times New Roman"/>
                <w:sz w:val="19"/>
              </w:rPr>
              <w:t>Drying gas</w:t>
            </w:r>
          </w:p>
        </w:tc>
        <w:tc>
          <w:tcPr>
            <w:tcW w:type="dxa" w:w="2835"/>
            <w:vAlign w:val="top"/>
          </w:tcPr>
          <w:p>
            <w:pPr>
              <w:spacing w:line="276" w:lineRule="auto"/>
            </w:pPr>
            <w:r/>
            <w:r>
              <w:rPr>
                <w:rFonts w:ascii="Times New Roman" w:hAnsi="Times New Roman"/>
                <w:sz w:val="19"/>
              </w:rPr>
              <w:t>Air (aqueous feeds); N₂ (organic feeds, oxygen-sensitive drugs)</w:t>
            </w:r>
          </w:p>
        </w:tc>
        <w:tc>
          <w:tcPr>
            <w:tcW w:type="dxa" w:w="4535"/>
            <w:vAlign w:val="top"/>
          </w:tcPr>
          <w:p>
            <w:pPr>
              <w:spacing w:line="276" w:lineRule="auto"/>
            </w:pPr>
            <w:r/>
            <w:r>
              <w:rPr>
                <w:rFonts w:ascii="Times New Roman" w:hAnsi="Times New Roman"/>
                <w:sz w:val="19"/>
              </w:rPr>
              <w:t>Inert gas required for organic-solvent feeds and oxidation-prone molecules.</w:t>
            </w:r>
          </w:p>
        </w:tc>
      </w:tr>
    </w:tbl>
    <w:p>
      <w:pPr>
        <w:pStyle w:val="Heading2"/>
      </w:pPr>
      <w:r>
        <w:rPr>
          <w:rFonts w:ascii="Times New Roman" w:hAnsi="Times New Roman"/>
          <w:color w:val="1F497D"/>
          <w:sz w:val="26"/>
        </w:rPr>
        <w:t>5.3 Particle Formation Mechanism</w:t>
      </w:r>
    </w:p>
    <w:p>
      <w:pPr>
        <w:spacing w:line="360" w:lineRule="auto" w:after="120"/>
        <w:jc w:val="both"/>
      </w:pPr>
      <w:r>
        <w:rPr>
          <w:rFonts w:ascii="Times New Roman" w:hAnsi="Times New Roman"/>
          <w:b w:val="0"/>
          <w:i w:val="0"/>
          <w:sz w:val="22"/>
        </w:rPr>
        <w:t>Following atomisation, each droplet undergoes evaporation, surface enrichment, shell formation and final drying. The Peclet number — the ratio of evaporation rate to the diffusion of solutes within the droplet — determines whether the resulting particle is solid and dense (low Pe), or hollow and dimpled (high Pe) [14]. For aqueous alginate solutions at pharmaceutical concentrations, particles are typically solid spheres with mean diameters of 2–10 µm, although calcium-modified alginate feeds can yield raisin-like or wrinkled morphologies because of simultaneous gelation [4,5].</w:t>
      </w:r>
    </w:p>
    <w:p>
      <w:r>
        <w:br w:type="page"/>
      </w:r>
    </w:p>
    <w:p>
      <w:pPr>
        <w:pStyle w:val="Heading1"/>
      </w:pPr>
      <w:r>
        <w:rPr>
          <w:rFonts w:ascii="Times New Roman" w:hAnsi="Times New Roman"/>
          <w:color w:val="003366"/>
          <w:sz w:val="30"/>
        </w:rPr>
        <w:t>6. Alginate-Based Spray-Dried Encapsulation Systems</w:t>
      </w:r>
    </w:p>
    <w:p>
      <w:pPr>
        <w:pStyle w:val="Heading2"/>
      </w:pPr>
      <w:r>
        <w:rPr>
          <w:rFonts w:ascii="Times New Roman" w:hAnsi="Times New Roman"/>
          <w:color w:val="1F497D"/>
          <w:sz w:val="26"/>
        </w:rPr>
        <w:t>6.1 Single-Polymer Alginate Microparticles</w:t>
      </w:r>
    </w:p>
    <w:p>
      <w:pPr>
        <w:spacing w:line="360" w:lineRule="auto" w:after="120"/>
        <w:jc w:val="both"/>
      </w:pPr>
      <w:r>
        <w:rPr>
          <w:rFonts w:ascii="Times New Roman" w:hAnsi="Times New Roman"/>
          <w:b w:val="0"/>
          <w:i w:val="0"/>
          <w:sz w:val="22"/>
        </w:rPr>
        <w:t>Single-polymer sodium alginate has been used as a wall material in spray-dried microparticles for several drugs of differing physicochemical character, including the Parkinsonian agent ropinirole hydrochloride [7]. Histopathological evaluation in that study demonstrated safety to nasal epithelium and the produced particles had attributes suitable for mucosal administration. The biological activity of insulin entrapped within spray-dried alginate microparticles has likewise been characterised [12], confirming that mild spray-drying conditions preserve thermolabile cargo when alginate is used as the matrix.</w:t>
      </w:r>
    </w:p>
    <w:p>
      <w:pPr>
        <w:pStyle w:val="Heading2"/>
      </w:pPr>
      <w:r>
        <w:rPr>
          <w:rFonts w:ascii="Times New Roman" w:hAnsi="Times New Roman"/>
          <w:color w:val="1F497D"/>
          <w:sz w:val="26"/>
        </w:rPr>
        <w:t>6.2 In-Situ Crosslinked Alginate Microparticles</w:t>
      </w:r>
    </w:p>
    <w:p>
      <w:pPr>
        <w:spacing w:line="360" w:lineRule="auto" w:after="120"/>
        <w:jc w:val="both"/>
      </w:pPr>
      <w:r>
        <w:rPr>
          <w:rFonts w:ascii="Times New Roman" w:hAnsi="Times New Roman"/>
          <w:b w:val="0"/>
          <w:i w:val="0"/>
          <w:sz w:val="22"/>
        </w:rPr>
        <w:t>Szekalska and co-workers [4] introduced a one-step strategy in which CaCl₂ was added to the alginate feed prior to atomisation. With 2 % sodium alginate and 0.05–0.1 % CaCl₂ they obtained reproducible, low-moisture, high-yield microparticles capable of prolonging the release of metformin hydrochloride, a freely water-soluble drug. Concentrations of CaCl₂ ≥ 0.5 % rendered the feed too viscous for atomisation. The same group subsequently demonstrated that incorporating chitosan as a polycationic cross-linker into the alginate spray-dried feed (2 % alginate + 0.1 % chitosan) yielded mucoadhesive microparticles with good drug loading and prolonged in-vitro and in-vivo release [5].</w:t>
      </w:r>
    </w:p>
    <w:p>
      <w:pPr>
        <w:pStyle w:val="Heading2"/>
      </w:pPr>
      <w:r>
        <w:rPr>
          <w:rFonts w:ascii="Times New Roman" w:hAnsi="Times New Roman"/>
          <w:color w:val="1F497D"/>
          <w:sz w:val="26"/>
        </w:rPr>
        <w:t>6.3 Composite and Multilayer Systems</w:t>
      </w:r>
    </w:p>
    <w:p>
      <w:pPr>
        <w:spacing w:line="360" w:lineRule="auto" w:after="120"/>
        <w:jc w:val="both"/>
      </w:pPr>
      <w:r>
        <w:rPr>
          <w:rFonts w:ascii="Times New Roman" w:hAnsi="Times New Roman"/>
          <w:b w:val="0"/>
          <w:i w:val="0"/>
          <w:sz w:val="22"/>
        </w:rPr>
        <w:t>Composite alginate systems consistently outperform single-polymer alginate for sustained release. Reported composites include:</w:t>
      </w:r>
    </w:p>
    <w:p>
      <w:pPr>
        <w:pStyle w:val="ListBullet"/>
        <w:spacing w:line="312" w:lineRule="auto"/>
      </w:pPr>
      <w:r>
        <w:rPr>
          <w:rFonts w:ascii="Times New Roman" w:hAnsi="Times New Roman"/>
          <w:sz w:val="22"/>
        </w:rPr>
        <w:t>Alginate / chitosan – mucoadhesive nasal microspheres (metoclopramide) [8]; vaginal microspheres (cefixime) [3]; vaginal mucoadhesive tablets (progesterone) [19].</w:t>
      </w:r>
    </w:p>
    <w:p>
      <w:pPr>
        <w:pStyle w:val="ListBullet"/>
        <w:spacing w:line="312" w:lineRule="auto"/>
      </w:pPr>
      <w:r>
        <w:rPr>
          <w:rFonts w:ascii="Times New Roman" w:hAnsi="Times New Roman"/>
          <w:sz w:val="22"/>
        </w:rPr>
        <w:t>Alginate / gelatin – spray-dried mucoadhesive microparticles encapsulating the hydrophobic antifungal luliconazole [6].</w:t>
      </w:r>
    </w:p>
    <w:p>
      <w:pPr>
        <w:pStyle w:val="ListBullet"/>
        <w:spacing w:line="312" w:lineRule="auto"/>
      </w:pPr>
      <w:r>
        <w:rPr>
          <w:rFonts w:ascii="Times New Roman" w:hAnsi="Times New Roman"/>
          <w:sz w:val="22"/>
        </w:rPr>
        <w:t>Alginate / chitosan / inulin – spray-dried microcapsules of Coriandrum sativum essential oil; pH-responsive release modelled by Higuchi and Korsmeyer–Peppas equations [9].</w:t>
      </w:r>
    </w:p>
    <w:p>
      <w:pPr>
        <w:pStyle w:val="ListBullet"/>
        <w:spacing w:line="312" w:lineRule="auto"/>
      </w:pPr>
      <w:r>
        <w:rPr>
          <w:rFonts w:ascii="Times New Roman" w:hAnsi="Times New Roman"/>
          <w:sz w:val="22"/>
        </w:rPr>
        <w:t>Alginate / hypromellose (HPMC) – sustained-release microparticles for the hydrophobic antifungal posaconazole, packaged within hard gelatin capsules as a multicompartment dosage form [11].</w:t>
      </w:r>
    </w:p>
    <w:p>
      <w:pPr>
        <w:pStyle w:val="ListBullet"/>
        <w:spacing w:line="312" w:lineRule="auto"/>
      </w:pPr>
      <w:r>
        <w:rPr>
          <w:rFonts w:ascii="Times New Roman" w:hAnsi="Times New Roman"/>
          <w:sz w:val="22"/>
        </w:rPr>
        <w:t>Alginate core + thiolated chitosan layer-by-layer coating – multilayer mucoadhesive microparticles for vaginal HIV microbicide delivery, optimised by design-of-experiments [2].</w:t>
      </w:r>
    </w:p>
    <w:p>
      <w:pPr>
        <w:pStyle w:val="Heading2"/>
      </w:pPr>
      <w:r>
        <w:rPr>
          <w:rFonts w:ascii="Times New Roman" w:hAnsi="Times New Roman"/>
          <w:color w:val="1F497D"/>
          <w:sz w:val="26"/>
        </w:rPr>
        <w:t>6.4 Encapsulation of Hydrophobic Drugs</w:t>
      </w:r>
    </w:p>
    <w:p>
      <w:pPr>
        <w:spacing w:line="360" w:lineRule="auto" w:after="120"/>
        <w:jc w:val="both"/>
      </w:pPr>
      <w:r>
        <w:rPr>
          <w:rFonts w:ascii="Times New Roman" w:hAnsi="Times New Roman"/>
          <w:b w:val="0"/>
          <w:i w:val="0"/>
          <w:sz w:val="22"/>
        </w:rPr>
        <w:t>Because alginate is hydrophilic, the encapsulation of strongly hydrophobic actives such as steroidal hormones requires either (i) a co-polymer with hydrophobic affinity (gelatin, ethyl cellulose, HPMC) or (ii) a water-in-oil emulsion feed before spray drying. Murata and colleagues [10] reported a benchmark study in which alginate and calcium-carbonate nanoparticles were dispersed within an ethyl-cellulose matrix using a water-in-oil emulsion feed; spray drying produced pH-responsive microparticles. The ethyl-cellulose phase provided the hydrophobic compartment for the active, while alginate acted as a hydrophilic, pH-sensitive disintegrating component. This composite architecture is a particularly informative template for progesterone because it explicitly addresses the alginate–hydrophobic-drug mismatch that the present research must overcome.</w:t>
      </w:r>
    </w:p>
    <w:p>
      <w:pPr>
        <w:pStyle w:val="Heading1"/>
      </w:pPr>
      <w:r>
        <w:rPr>
          <w:rFonts w:ascii="Times New Roman" w:hAnsi="Times New Roman"/>
          <w:color w:val="003366"/>
          <w:sz w:val="30"/>
        </w:rPr>
        <w:t>7. Progesterone–Alginate Compatibility and Encapsulation Considerations</w:t>
      </w:r>
    </w:p>
    <w:p>
      <w:pPr>
        <w:spacing w:line="360" w:lineRule="auto" w:after="120"/>
        <w:jc w:val="both"/>
      </w:pPr>
      <w:r>
        <w:rPr>
          <w:rFonts w:ascii="Times New Roman" w:hAnsi="Times New Roman"/>
          <w:b w:val="0"/>
          <w:i w:val="0"/>
          <w:sz w:val="22"/>
        </w:rPr>
        <w:t>A formulation combining progesterone with sodium alginate must reconcile three constraints: (i) the very low aqueous solubility of P4 limits the mass that can be loaded from a homogeneous aqueous alginate feed; (ii) the hydrophilic alginate matrix offers no intrinsic affinity for the steroid backbone, raising the risk of phase separation, drug recrystallisation on the particle surface and burst release; and (iii) the drying chamber must remain below the recrystallisation threshold of progesterone (melting point 126–131 °C) — readily achievable in spray drying because the wet-bulb droplet temperature is far lower than the inlet air temperature [13,14].</w:t>
      </w:r>
    </w:p>
    <w:p>
      <w:pPr>
        <w:spacing w:line="360" w:lineRule="auto" w:after="120"/>
        <w:jc w:val="both"/>
      </w:pPr>
      <w:r>
        <w:rPr>
          <w:rFonts w:ascii="Times New Roman" w:hAnsi="Times New Roman"/>
          <w:b w:val="0"/>
          <w:i w:val="0"/>
          <w:sz w:val="22"/>
        </w:rPr>
        <w:t>Practical strategies emerging from the literature [2,5,6,8,10,11] are:</w:t>
      </w:r>
    </w:p>
    <w:p>
      <w:pPr>
        <w:pStyle w:val="ListBullet"/>
        <w:spacing w:line="312" w:lineRule="auto"/>
      </w:pPr>
      <w:r>
        <w:rPr>
          <w:rFonts w:ascii="Times New Roman" w:hAnsi="Times New Roman"/>
          <w:sz w:val="22"/>
        </w:rPr>
        <w:t>Use of an oil-in-water or water-in-oil emulsion feed in which progesterone is dissolved in dichloromethane or ethanol within the dispersed phase, while alginate forms the continuous (or external) aqueous phase [10].</w:t>
      </w:r>
    </w:p>
    <w:p>
      <w:pPr>
        <w:pStyle w:val="ListBullet"/>
        <w:spacing w:line="312" w:lineRule="auto"/>
      </w:pPr>
      <w:r>
        <w:rPr>
          <w:rFonts w:ascii="Times New Roman" w:hAnsi="Times New Roman"/>
          <w:sz w:val="22"/>
        </w:rPr>
        <w:t>Selection of a co-polymer with documented affinity for hydrophobic drugs — gelatin [6], ethyl cellulose [10], HPMC [11] or chitosan derivatives [2,5].</w:t>
      </w:r>
    </w:p>
    <w:p>
      <w:pPr>
        <w:pStyle w:val="ListBullet"/>
        <w:spacing w:line="312" w:lineRule="auto"/>
      </w:pPr>
      <w:r>
        <w:rPr>
          <w:rFonts w:ascii="Times New Roman" w:hAnsi="Times New Roman"/>
          <w:sz w:val="22"/>
        </w:rPr>
        <w:t>In-situ ionic gelation with CaCl₂ [4] to retard initial burst release.</w:t>
      </w:r>
    </w:p>
    <w:p>
      <w:pPr>
        <w:pStyle w:val="ListBullet"/>
        <w:spacing w:line="312" w:lineRule="auto"/>
      </w:pPr>
      <w:r>
        <w:rPr>
          <w:rFonts w:ascii="Times New Roman" w:hAnsi="Times New Roman"/>
          <w:sz w:val="22"/>
        </w:rPr>
        <w:t>Layer-by-layer post-drying coating with thiolated chitosan to enhance mucoadhesion and prolong vaginal residence [2].</w:t>
      </w:r>
    </w:p>
    <w:p>
      <w:pPr>
        <w:pStyle w:val="ListBullet"/>
        <w:spacing w:line="312" w:lineRule="auto"/>
      </w:pPr>
      <w:r>
        <w:rPr>
          <w:rFonts w:ascii="Times New Roman" w:hAnsi="Times New Roman"/>
          <w:sz w:val="22"/>
        </w:rPr>
        <w:t>Solid-state amorphisation of progesterone, which spray drying readily achieves, to improve apparent solubility and dissolution rate.</w:t>
      </w:r>
    </w:p>
    <w:p>
      <w:pPr>
        <w:pStyle w:val="Heading1"/>
      </w:pPr>
      <w:r>
        <w:rPr>
          <w:rFonts w:ascii="Times New Roman" w:hAnsi="Times New Roman"/>
          <w:color w:val="003366"/>
          <w:sz w:val="30"/>
        </w:rPr>
        <w:t>8. Sustained / Controlled Release Mechanisms</w:t>
      </w:r>
    </w:p>
    <w:p>
      <w:pPr>
        <w:spacing w:line="360" w:lineRule="auto" w:after="120"/>
        <w:jc w:val="both"/>
      </w:pPr>
      <w:r>
        <w:rPr>
          <w:rFonts w:ascii="Times New Roman" w:hAnsi="Times New Roman"/>
          <w:b w:val="0"/>
          <w:i w:val="0"/>
          <w:sz w:val="22"/>
        </w:rPr>
        <w:t>Drug release from spray-dried alginate-based microparticles is governed by a combination of (a) Fickian diffusion through the swollen hydrogel matrix, (b) anomalous (non-Fickian) transport when polymer relaxation is rate-limiting, (c) erosion as the alginate matrix dissolves at physiological pH and (d) ion-exchange-mediated dissociation of calcium- or chitosan-crosslinked networks [4,5,9]. Mathematical fitting of in-vitro release data to zero-order, first-order, Higuchi and Korsmeyer–Peppas models is the standard practice in alginate microparticle research; the n-exponent of the Korsmeyer–Peppas equation discriminates between the four transport regimes [9]. For an intravaginal progesterone application, an ideal release profile is a low burst phase (&lt;25 % within the first 2 h) followed by approximately zero-order release sustained for 5–9 days, mirroring the duration of conventional CIDR-type devices [16,17,19].</w:t>
      </w:r>
    </w:p>
    <w:p>
      <w:pPr>
        <w:pStyle w:val="Heading1"/>
      </w:pPr>
      <w:r>
        <w:rPr>
          <w:rFonts w:ascii="Times New Roman" w:hAnsi="Times New Roman"/>
          <w:color w:val="003366"/>
          <w:sz w:val="30"/>
        </w:rPr>
        <w:t>9. Characterization Techniques</w:t>
      </w:r>
    </w:p>
    <w:tbl>
      <w:tblPr>
        <w:tblStyle w:val="LightGrid-Accent1"/>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1F4E78"/>
            <w:vAlign w:val="center"/>
          </w:tcPr>
          <w:p>
            <w:pPr>
              <w:jc w:val="center"/>
            </w:pPr>
            <w:r/>
            <w:r>
              <w:rPr>
                <w:rFonts w:ascii="Times New Roman" w:hAnsi="Times New Roman"/>
                <w:b/>
                <w:color w:val="FFFFFF"/>
                <w:sz w:val="20"/>
              </w:rPr>
              <w:t>Technique</w:t>
            </w:r>
          </w:p>
        </w:tc>
        <w:tc>
          <w:tcPr>
            <w:tcW w:type="dxa" w:w="4252"/>
            <w:shd w:val="clear" w:color="auto" w:fill="1F4E78"/>
            <w:vAlign w:val="center"/>
          </w:tcPr>
          <w:p>
            <w:pPr>
              <w:jc w:val="center"/>
            </w:pPr>
            <w:r/>
            <w:r>
              <w:rPr>
                <w:rFonts w:ascii="Times New Roman" w:hAnsi="Times New Roman"/>
                <w:b/>
                <w:color w:val="FFFFFF"/>
                <w:sz w:val="20"/>
              </w:rPr>
              <w:t>Information Provided</w:t>
            </w:r>
          </w:p>
        </w:tc>
        <w:tc>
          <w:tcPr>
            <w:tcW w:type="dxa" w:w="2268"/>
            <w:shd w:val="clear" w:color="auto" w:fill="1F4E78"/>
            <w:vAlign w:val="center"/>
          </w:tcPr>
          <w:p>
            <w:pPr>
              <w:jc w:val="center"/>
            </w:pPr>
            <w:r/>
            <w:r>
              <w:rPr>
                <w:rFonts w:ascii="Times New Roman" w:hAnsi="Times New Roman"/>
                <w:b/>
                <w:color w:val="FFFFFF"/>
                <w:sz w:val="20"/>
              </w:rPr>
              <w:t>Reported Use in Alginate Spray-Drying Studies</w:t>
            </w:r>
          </w:p>
        </w:tc>
      </w:tr>
      <w:tr>
        <w:tc>
          <w:tcPr>
            <w:tcW w:type="dxa" w:w="2551"/>
            <w:vAlign w:val="top"/>
          </w:tcPr>
          <w:p>
            <w:pPr>
              <w:spacing w:line="276" w:lineRule="auto"/>
            </w:pPr>
            <w:r/>
            <w:r>
              <w:rPr>
                <w:rFonts w:ascii="Times New Roman" w:hAnsi="Times New Roman"/>
                <w:sz w:val="19"/>
              </w:rPr>
              <w:t>Scanning Electron Microscopy (SEM)</w:t>
            </w:r>
          </w:p>
        </w:tc>
        <w:tc>
          <w:tcPr>
            <w:tcW w:type="dxa" w:w="4252"/>
            <w:vAlign w:val="top"/>
          </w:tcPr>
          <w:p>
            <w:pPr>
              <w:spacing w:line="276" w:lineRule="auto"/>
            </w:pPr>
            <w:r/>
            <w:r>
              <w:rPr>
                <w:rFonts w:ascii="Times New Roman" w:hAnsi="Times New Roman"/>
                <w:sz w:val="19"/>
              </w:rPr>
              <w:t>Particle size, morphology, surface topography (smooth, dimpled, raisin-like)</w:t>
            </w:r>
          </w:p>
        </w:tc>
        <w:tc>
          <w:tcPr>
            <w:tcW w:type="dxa" w:w="2268"/>
            <w:vAlign w:val="top"/>
          </w:tcPr>
          <w:p>
            <w:pPr>
              <w:spacing w:line="276" w:lineRule="auto"/>
            </w:pPr>
            <w:r/>
            <w:r>
              <w:rPr>
                <w:rFonts w:ascii="Times New Roman" w:hAnsi="Times New Roman"/>
                <w:sz w:val="19"/>
              </w:rPr>
              <w:t>[4,5,6,7,9]</w:t>
            </w:r>
          </w:p>
        </w:tc>
      </w:tr>
      <w:tr>
        <w:tc>
          <w:tcPr>
            <w:tcW w:type="dxa" w:w="2551"/>
            <w:vAlign w:val="top"/>
          </w:tcPr>
          <w:p>
            <w:pPr>
              <w:spacing w:line="276" w:lineRule="auto"/>
            </w:pPr>
            <w:r/>
            <w:r>
              <w:rPr>
                <w:rFonts w:ascii="Times New Roman" w:hAnsi="Times New Roman"/>
                <w:sz w:val="19"/>
              </w:rPr>
              <w:t>Fourier-Transform Infrared Spectroscopy (FTIR)</w:t>
            </w:r>
          </w:p>
        </w:tc>
        <w:tc>
          <w:tcPr>
            <w:tcW w:type="dxa" w:w="4252"/>
            <w:vAlign w:val="top"/>
          </w:tcPr>
          <w:p>
            <w:pPr>
              <w:spacing w:line="276" w:lineRule="auto"/>
            </w:pPr>
            <w:r/>
            <w:r>
              <w:rPr>
                <w:rFonts w:ascii="Times New Roman" w:hAnsi="Times New Roman"/>
                <w:sz w:val="19"/>
              </w:rPr>
              <w:t>Drug–polymer interactions, identification of carbonyl, carboxylate and amide bands; confirmation of incorporation</w:t>
            </w:r>
          </w:p>
        </w:tc>
        <w:tc>
          <w:tcPr>
            <w:tcW w:type="dxa" w:w="2268"/>
            <w:vAlign w:val="top"/>
          </w:tcPr>
          <w:p>
            <w:pPr>
              <w:spacing w:line="276" w:lineRule="auto"/>
            </w:pPr>
            <w:r/>
            <w:r>
              <w:rPr>
                <w:rFonts w:ascii="Times New Roman" w:hAnsi="Times New Roman"/>
                <w:sz w:val="19"/>
              </w:rPr>
              <w:t>[5,6,9,11]</w:t>
            </w:r>
          </w:p>
        </w:tc>
      </w:tr>
      <w:tr>
        <w:tc>
          <w:tcPr>
            <w:tcW w:type="dxa" w:w="2551"/>
            <w:vAlign w:val="top"/>
          </w:tcPr>
          <w:p>
            <w:pPr>
              <w:spacing w:line="276" w:lineRule="auto"/>
            </w:pPr>
            <w:r/>
            <w:r>
              <w:rPr>
                <w:rFonts w:ascii="Times New Roman" w:hAnsi="Times New Roman"/>
                <w:sz w:val="19"/>
              </w:rPr>
              <w:t>Differential Scanning Calorimetry (DSC)</w:t>
            </w:r>
          </w:p>
        </w:tc>
        <w:tc>
          <w:tcPr>
            <w:tcW w:type="dxa" w:w="4252"/>
            <w:vAlign w:val="top"/>
          </w:tcPr>
          <w:p>
            <w:pPr>
              <w:spacing w:line="276" w:lineRule="auto"/>
            </w:pPr>
            <w:r/>
            <w:r>
              <w:rPr>
                <w:rFonts w:ascii="Times New Roman" w:hAnsi="Times New Roman"/>
                <w:sz w:val="19"/>
              </w:rPr>
              <w:t>Thermal events, identification of crystalline vs amorphous drug, polymer–drug compatibility</w:t>
            </w:r>
          </w:p>
        </w:tc>
        <w:tc>
          <w:tcPr>
            <w:tcW w:type="dxa" w:w="2268"/>
            <w:vAlign w:val="top"/>
          </w:tcPr>
          <w:p>
            <w:pPr>
              <w:spacing w:line="276" w:lineRule="auto"/>
            </w:pPr>
            <w:r/>
            <w:r>
              <w:rPr>
                <w:rFonts w:ascii="Times New Roman" w:hAnsi="Times New Roman"/>
                <w:sz w:val="19"/>
              </w:rPr>
              <w:t>[6,11]</w:t>
            </w:r>
          </w:p>
        </w:tc>
      </w:tr>
      <w:tr>
        <w:tc>
          <w:tcPr>
            <w:tcW w:type="dxa" w:w="2551"/>
            <w:vAlign w:val="top"/>
          </w:tcPr>
          <w:p>
            <w:pPr>
              <w:spacing w:line="276" w:lineRule="auto"/>
            </w:pPr>
            <w:r/>
            <w:r>
              <w:rPr>
                <w:rFonts w:ascii="Times New Roman" w:hAnsi="Times New Roman"/>
                <w:sz w:val="19"/>
              </w:rPr>
              <w:t>X-Ray Powder Diffraction (XRPD)</w:t>
            </w:r>
          </w:p>
        </w:tc>
        <w:tc>
          <w:tcPr>
            <w:tcW w:type="dxa" w:w="4252"/>
            <w:vAlign w:val="top"/>
          </w:tcPr>
          <w:p>
            <w:pPr>
              <w:spacing w:line="276" w:lineRule="auto"/>
            </w:pPr>
            <w:r/>
            <w:r>
              <w:rPr>
                <w:rFonts w:ascii="Times New Roman" w:hAnsi="Times New Roman"/>
                <w:sz w:val="19"/>
              </w:rPr>
              <w:t>Crystalline → amorphous conversion of the drug after spray drying</w:t>
            </w:r>
          </w:p>
        </w:tc>
        <w:tc>
          <w:tcPr>
            <w:tcW w:type="dxa" w:w="2268"/>
            <w:vAlign w:val="top"/>
          </w:tcPr>
          <w:p>
            <w:pPr>
              <w:spacing w:line="276" w:lineRule="auto"/>
            </w:pPr>
            <w:r/>
            <w:r>
              <w:rPr>
                <w:rFonts w:ascii="Times New Roman" w:hAnsi="Times New Roman"/>
                <w:sz w:val="19"/>
              </w:rPr>
              <w:t>[6,11]</w:t>
            </w:r>
          </w:p>
        </w:tc>
      </w:tr>
      <w:tr>
        <w:tc>
          <w:tcPr>
            <w:tcW w:type="dxa" w:w="2551"/>
            <w:vAlign w:val="top"/>
          </w:tcPr>
          <w:p>
            <w:pPr>
              <w:spacing w:line="276" w:lineRule="auto"/>
            </w:pPr>
            <w:r/>
            <w:r>
              <w:rPr>
                <w:rFonts w:ascii="Times New Roman" w:hAnsi="Times New Roman"/>
                <w:sz w:val="19"/>
              </w:rPr>
              <w:t>Laser Diffraction / Dynamic Light Scattering</w:t>
            </w:r>
          </w:p>
        </w:tc>
        <w:tc>
          <w:tcPr>
            <w:tcW w:type="dxa" w:w="4252"/>
            <w:vAlign w:val="top"/>
          </w:tcPr>
          <w:p>
            <w:pPr>
              <w:spacing w:line="276" w:lineRule="auto"/>
            </w:pPr>
            <w:r/>
            <w:r>
              <w:rPr>
                <w:rFonts w:ascii="Times New Roman" w:hAnsi="Times New Roman"/>
                <w:sz w:val="19"/>
              </w:rPr>
              <w:t>Volumetric particle-size distribution (D10, D50, D90); polydispersity</w:t>
            </w:r>
          </w:p>
        </w:tc>
        <w:tc>
          <w:tcPr>
            <w:tcW w:type="dxa" w:w="2268"/>
            <w:vAlign w:val="top"/>
          </w:tcPr>
          <w:p>
            <w:pPr>
              <w:spacing w:line="276" w:lineRule="auto"/>
            </w:pPr>
            <w:r/>
            <w:r>
              <w:rPr>
                <w:rFonts w:ascii="Times New Roman" w:hAnsi="Times New Roman"/>
                <w:sz w:val="19"/>
              </w:rPr>
              <w:t>[4,5,6,7]</w:t>
            </w:r>
          </w:p>
        </w:tc>
      </w:tr>
      <w:tr>
        <w:tc>
          <w:tcPr>
            <w:tcW w:type="dxa" w:w="2551"/>
            <w:vAlign w:val="top"/>
          </w:tcPr>
          <w:p>
            <w:pPr>
              <w:spacing w:line="276" w:lineRule="auto"/>
            </w:pPr>
            <w:r/>
            <w:r>
              <w:rPr>
                <w:rFonts w:ascii="Times New Roman" w:hAnsi="Times New Roman"/>
                <w:sz w:val="19"/>
              </w:rPr>
              <w:t>Zeta Potential</w:t>
            </w:r>
          </w:p>
        </w:tc>
        <w:tc>
          <w:tcPr>
            <w:tcW w:type="dxa" w:w="4252"/>
            <w:vAlign w:val="top"/>
          </w:tcPr>
          <w:p>
            <w:pPr>
              <w:spacing w:line="276" w:lineRule="auto"/>
            </w:pPr>
            <w:r/>
            <w:r>
              <w:rPr>
                <w:rFonts w:ascii="Times New Roman" w:hAnsi="Times New Roman"/>
                <w:sz w:val="19"/>
              </w:rPr>
              <w:t>Surface charge; predicts colloidal stability, mucoadhesion potential</w:t>
            </w:r>
          </w:p>
        </w:tc>
        <w:tc>
          <w:tcPr>
            <w:tcW w:type="dxa" w:w="2268"/>
            <w:vAlign w:val="top"/>
          </w:tcPr>
          <w:p>
            <w:pPr>
              <w:spacing w:line="276" w:lineRule="auto"/>
            </w:pPr>
            <w:r/>
            <w:r>
              <w:rPr>
                <w:rFonts w:ascii="Times New Roman" w:hAnsi="Times New Roman"/>
                <w:sz w:val="19"/>
              </w:rPr>
              <w:t>[2,5]</w:t>
            </w:r>
          </w:p>
        </w:tc>
      </w:tr>
      <w:tr>
        <w:tc>
          <w:tcPr>
            <w:tcW w:type="dxa" w:w="2551"/>
            <w:vAlign w:val="top"/>
          </w:tcPr>
          <w:p>
            <w:pPr>
              <w:spacing w:line="276" w:lineRule="auto"/>
            </w:pPr>
            <w:r/>
            <w:r>
              <w:rPr>
                <w:rFonts w:ascii="Times New Roman" w:hAnsi="Times New Roman"/>
                <w:sz w:val="19"/>
              </w:rPr>
              <w:t>Encapsulation Efficiency (EE %) and Drug Loading (DL %)</w:t>
            </w:r>
          </w:p>
        </w:tc>
        <w:tc>
          <w:tcPr>
            <w:tcW w:type="dxa" w:w="4252"/>
            <w:vAlign w:val="top"/>
          </w:tcPr>
          <w:p>
            <w:pPr>
              <w:spacing w:line="276" w:lineRule="auto"/>
            </w:pPr>
            <w:r/>
            <w:r>
              <w:rPr>
                <w:rFonts w:ascii="Times New Roman" w:hAnsi="Times New Roman"/>
                <w:sz w:val="19"/>
              </w:rPr>
              <w:t>Quantitative cargo measurement (HPLC or UV-Vis after extraction)</w:t>
            </w:r>
          </w:p>
        </w:tc>
        <w:tc>
          <w:tcPr>
            <w:tcW w:type="dxa" w:w="2268"/>
            <w:vAlign w:val="top"/>
          </w:tcPr>
          <w:p>
            <w:pPr>
              <w:spacing w:line="276" w:lineRule="auto"/>
            </w:pPr>
            <w:r/>
            <w:r>
              <w:rPr>
                <w:rFonts w:ascii="Times New Roman" w:hAnsi="Times New Roman"/>
                <w:sz w:val="19"/>
              </w:rPr>
              <w:t>[1,4,5,6,11]</w:t>
            </w:r>
          </w:p>
        </w:tc>
      </w:tr>
      <w:tr>
        <w:tc>
          <w:tcPr>
            <w:tcW w:type="dxa" w:w="2551"/>
            <w:vAlign w:val="top"/>
          </w:tcPr>
          <w:p>
            <w:pPr>
              <w:spacing w:line="276" w:lineRule="auto"/>
            </w:pPr>
            <w:r/>
            <w:r>
              <w:rPr>
                <w:rFonts w:ascii="Times New Roman" w:hAnsi="Times New Roman"/>
                <w:sz w:val="19"/>
              </w:rPr>
              <w:t>In-vitro Release (USP apparatus / dialysis bag)</w:t>
            </w:r>
          </w:p>
        </w:tc>
        <w:tc>
          <w:tcPr>
            <w:tcW w:type="dxa" w:w="4252"/>
            <w:vAlign w:val="top"/>
          </w:tcPr>
          <w:p>
            <w:pPr>
              <w:spacing w:line="276" w:lineRule="auto"/>
            </w:pPr>
            <w:r/>
            <w:r>
              <w:rPr>
                <w:rFonts w:ascii="Times New Roman" w:hAnsi="Times New Roman"/>
                <w:sz w:val="19"/>
              </w:rPr>
              <w:t>Time-resolved release profile in simulated vaginal/biological fluid</w:t>
            </w:r>
          </w:p>
        </w:tc>
        <w:tc>
          <w:tcPr>
            <w:tcW w:type="dxa" w:w="2268"/>
            <w:vAlign w:val="top"/>
          </w:tcPr>
          <w:p>
            <w:pPr>
              <w:spacing w:line="276" w:lineRule="auto"/>
            </w:pPr>
            <w:r/>
            <w:r>
              <w:rPr>
                <w:rFonts w:ascii="Times New Roman" w:hAnsi="Times New Roman"/>
                <w:sz w:val="19"/>
              </w:rPr>
              <w:t>[1,4,5,6,9,11,19]</w:t>
            </w:r>
          </w:p>
        </w:tc>
      </w:tr>
      <w:tr>
        <w:tc>
          <w:tcPr>
            <w:tcW w:type="dxa" w:w="2551"/>
            <w:vAlign w:val="top"/>
          </w:tcPr>
          <w:p>
            <w:pPr>
              <w:spacing w:line="276" w:lineRule="auto"/>
            </w:pPr>
            <w:r/>
            <w:r>
              <w:rPr>
                <w:rFonts w:ascii="Times New Roman" w:hAnsi="Times New Roman"/>
                <w:sz w:val="19"/>
              </w:rPr>
              <w:t>Mucoadhesion (tensile or flow-through)</w:t>
            </w:r>
          </w:p>
        </w:tc>
        <w:tc>
          <w:tcPr>
            <w:tcW w:type="dxa" w:w="4252"/>
            <w:vAlign w:val="top"/>
          </w:tcPr>
          <w:p>
            <w:pPr>
              <w:spacing w:line="276" w:lineRule="auto"/>
            </w:pPr>
            <w:r/>
            <w:r>
              <w:rPr>
                <w:rFonts w:ascii="Times New Roman" w:hAnsi="Times New Roman"/>
                <w:sz w:val="19"/>
              </w:rPr>
              <w:t>Detachment force, residence time on mucosal tissue</w:t>
            </w:r>
          </w:p>
        </w:tc>
        <w:tc>
          <w:tcPr>
            <w:tcW w:type="dxa" w:w="2268"/>
            <w:vAlign w:val="top"/>
          </w:tcPr>
          <w:p>
            <w:pPr>
              <w:spacing w:line="276" w:lineRule="auto"/>
            </w:pPr>
            <w:r/>
            <w:r>
              <w:rPr>
                <w:rFonts w:ascii="Times New Roman" w:hAnsi="Times New Roman"/>
                <w:sz w:val="19"/>
              </w:rPr>
              <w:t>[2,5,8]</w:t>
            </w:r>
          </w:p>
        </w:tc>
      </w:tr>
      <w:tr>
        <w:tc>
          <w:tcPr>
            <w:tcW w:type="dxa" w:w="2551"/>
            <w:vAlign w:val="top"/>
          </w:tcPr>
          <w:p>
            <w:pPr>
              <w:spacing w:line="276" w:lineRule="auto"/>
            </w:pPr>
            <w:r/>
            <w:r>
              <w:rPr>
                <w:rFonts w:ascii="Times New Roman" w:hAnsi="Times New Roman"/>
                <w:sz w:val="19"/>
              </w:rPr>
              <w:t>Stability Studies (ICH-style)</w:t>
            </w:r>
          </w:p>
        </w:tc>
        <w:tc>
          <w:tcPr>
            <w:tcW w:type="dxa" w:w="4252"/>
            <w:vAlign w:val="top"/>
          </w:tcPr>
          <w:p>
            <w:pPr>
              <w:spacing w:line="276" w:lineRule="auto"/>
            </w:pPr>
            <w:r/>
            <w:r>
              <w:rPr>
                <w:rFonts w:ascii="Times New Roman" w:hAnsi="Times New Roman"/>
                <w:sz w:val="19"/>
              </w:rPr>
              <w:t>Drug content, moisture, dissolution after thermal/humidity stress</w:t>
            </w:r>
          </w:p>
        </w:tc>
        <w:tc>
          <w:tcPr>
            <w:tcW w:type="dxa" w:w="2268"/>
            <w:vAlign w:val="top"/>
          </w:tcPr>
          <w:p>
            <w:pPr>
              <w:spacing w:line="276" w:lineRule="auto"/>
            </w:pPr>
            <w:r/>
            <w:r>
              <w:rPr>
                <w:rFonts w:ascii="Times New Roman" w:hAnsi="Times New Roman"/>
                <w:sz w:val="19"/>
              </w:rPr>
              <w:t>[6,11]</w:t>
            </w:r>
          </w:p>
        </w:tc>
      </w:tr>
      <w:tr>
        <w:tc>
          <w:tcPr>
            <w:tcW w:type="dxa" w:w="2551"/>
            <w:vAlign w:val="top"/>
          </w:tcPr>
          <w:p>
            <w:pPr>
              <w:spacing w:line="276" w:lineRule="auto"/>
            </w:pPr>
            <w:r/>
            <w:r>
              <w:rPr>
                <w:rFonts w:ascii="Times New Roman" w:hAnsi="Times New Roman"/>
                <w:sz w:val="19"/>
              </w:rPr>
              <w:t>In-vivo Pharmacokinetics</w:t>
            </w:r>
          </w:p>
        </w:tc>
        <w:tc>
          <w:tcPr>
            <w:tcW w:type="dxa" w:w="4252"/>
            <w:vAlign w:val="top"/>
          </w:tcPr>
          <w:p>
            <w:pPr>
              <w:spacing w:line="276" w:lineRule="auto"/>
            </w:pPr>
            <w:r/>
            <w:r>
              <w:rPr>
                <w:rFonts w:ascii="Times New Roman" w:hAnsi="Times New Roman"/>
                <w:sz w:val="19"/>
              </w:rPr>
              <w:t>Plasma drug concentration vs time; bioavailability</w:t>
            </w:r>
          </w:p>
        </w:tc>
        <w:tc>
          <w:tcPr>
            <w:tcW w:type="dxa" w:w="2268"/>
            <w:vAlign w:val="top"/>
          </w:tcPr>
          <w:p>
            <w:pPr>
              <w:spacing w:line="276" w:lineRule="auto"/>
            </w:pPr>
            <w:r/>
            <w:r>
              <w:rPr>
                <w:rFonts w:ascii="Times New Roman" w:hAnsi="Times New Roman"/>
                <w:sz w:val="19"/>
              </w:rPr>
              <w:t>[1,5,19]</w:t>
            </w:r>
          </w:p>
        </w:tc>
      </w:tr>
    </w:tbl>
    <w:p>
      <w:r>
        <w:br w:type="page"/>
      </w:r>
    </w:p>
    <w:p>
      <w:pPr>
        <w:pStyle w:val="Heading1"/>
      </w:pPr>
      <w:r>
        <w:rPr>
          <w:rFonts w:ascii="Times New Roman" w:hAnsi="Times New Roman"/>
          <w:color w:val="003366"/>
          <w:sz w:val="30"/>
        </w:rPr>
        <w:t>10. Comparative Tables of Peer-Reviewed Studies</w:t>
      </w:r>
    </w:p>
    <w:p>
      <w:pPr>
        <w:pStyle w:val="Heading2"/>
      </w:pPr>
      <w:r>
        <w:rPr>
          <w:rFonts w:ascii="Times New Roman" w:hAnsi="Times New Roman"/>
          <w:color w:val="1F497D"/>
          <w:sz w:val="26"/>
        </w:rPr>
        <w:t>10.1 Verified Alginate Spray-Drying Studies</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567"/>
            <w:shd w:val="clear" w:color="auto" w:fill="1F4E78"/>
            <w:vAlign w:val="center"/>
          </w:tcPr>
          <w:p>
            <w:pPr>
              <w:jc w:val="center"/>
            </w:pPr>
            <w:r/>
            <w:r>
              <w:rPr>
                <w:rFonts w:ascii="Times New Roman" w:hAnsi="Times New Roman"/>
                <w:b/>
                <w:color w:val="FFFFFF"/>
                <w:sz w:val="20"/>
              </w:rPr>
              <w:t>#</w:t>
            </w:r>
          </w:p>
        </w:tc>
        <w:tc>
          <w:tcPr>
            <w:tcW w:type="dxa" w:w="2268"/>
            <w:shd w:val="clear" w:color="auto" w:fill="1F4E78"/>
            <w:vAlign w:val="center"/>
          </w:tcPr>
          <w:p>
            <w:pPr>
              <w:jc w:val="center"/>
            </w:pPr>
            <w:r/>
            <w:r>
              <w:rPr>
                <w:rFonts w:ascii="Times New Roman" w:hAnsi="Times New Roman"/>
                <w:b/>
                <w:color w:val="FFFFFF"/>
                <w:sz w:val="20"/>
              </w:rPr>
              <w:t>Polymer System</w:t>
            </w:r>
          </w:p>
        </w:tc>
        <w:tc>
          <w:tcPr>
            <w:tcW w:type="dxa" w:w="1587"/>
            <w:shd w:val="clear" w:color="auto" w:fill="1F4E78"/>
            <w:vAlign w:val="center"/>
          </w:tcPr>
          <w:p>
            <w:pPr>
              <w:jc w:val="center"/>
            </w:pPr>
            <w:r/>
            <w:r>
              <w:rPr>
                <w:rFonts w:ascii="Times New Roman" w:hAnsi="Times New Roman"/>
                <w:b/>
                <w:color w:val="FFFFFF"/>
                <w:sz w:val="20"/>
              </w:rPr>
              <w:t>Drug</w:t>
            </w:r>
          </w:p>
        </w:tc>
        <w:tc>
          <w:tcPr>
            <w:tcW w:type="dxa" w:w="2551"/>
            <w:shd w:val="clear" w:color="auto" w:fill="1F4E78"/>
            <w:vAlign w:val="center"/>
          </w:tcPr>
          <w:p>
            <w:pPr>
              <w:jc w:val="center"/>
            </w:pPr>
            <w:r/>
            <w:r>
              <w:rPr>
                <w:rFonts w:ascii="Times New Roman" w:hAnsi="Times New Roman"/>
                <w:b/>
                <w:color w:val="FFFFFF"/>
                <w:sz w:val="20"/>
              </w:rPr>
              <w:t>Key Outcome</w:t>
            </w:r>
          </w:p>
        </w:tc>
        <w:tc>
          <w:tcPr>
            <w:tcW w:type="dxa" w:w="2551"/>
            <w:shd w:val="clear" w:color="auto" w:fill="1F4E78"/>
            <w:vAlign w:val="center"/>
          </w:tcPr>
          <w:p>
            <w:pPr>
              <w:jc w:val="center"/>
            </w:pPr>
            <w:r/>
            <w:r>
              <w:rPr>
                <w:rFonts w:ascii="Times New Roman" w:hAnsi="Times New Roman"/>
                <w:b/>
                <w:color w:val="FFFFFF"/>
                <w:sz w:val="20"/>
              </w:rPr>
              <w:t>Reference</w:t>
            </w:r>
          </w:p>
        </w:tc>
      </w:tr>
      <w:tr>
        <w:tc>
          <w:tcPr>
            <w:tcW w:type="dxa" w:w="567"/>
            <w:vAlign w:val="top"/>
          </w:tcPr>
          <w:p>
            <w:pPr>
              <w:spacing w:line="276" w:lineRule="auto"/>
            </w:pPr>
            <w:r/>
            <w:r>
              <w:rPr>
                <w:rFonts w:ascii="Times New Roman" w:hAnsi="Times New Roman"/>
                <w:sz w:val="19"/>
              </w:rPr>
              <w:t>4</w:t>
            </w:r>
          </w:p>
        </w:tc>
        <w:tc>
          <w:tcPr>
            <w:tcW w:type="dxa" w:w="2268"/>
            <w:vAlign w:val="top"/>
          </w:tcPr>
          <w:p>
            <w:pPr>
              <w:spacing w:line="276" w:lineRule="auto"/>
            </w:pPr>
            <w:r/>
            <w:r>
              <w:rPr>
                <w:rFonts w:ascii="Times New Roman" w:hAnsi="Times New Roman"/>
                <w:sz w:val="19"/>
              </w:rPr>
              <w:t>Alginate + CaCl₂ (one-step in-situ gelation)</w:t>
            </w:r>
          </w:p>
        </w:tc>
        <w:tc>
          <w:tcPr>
            <w:tcW w:type="dxa" w:w="1587"/>
            <w:vAlign w:val="top"/>
          </w:tcPr>
          <w:p>
            <w:pPr>
              <w:spacing w:line="276" w:lineRule="auto"/>
            </w:pPr>
            <w:r/>
            <w:r>
              <w:rPr>
                <w:rFonts w:ascii="Times New Roman" w:hAnsi="Times New Roman"/>
                <w:sz w:val="19"/>
              </w:rPr>
              <w:t>Metformin HCl</w:t>
            </w:r>
          </w:p>
        </w:tc>
        <w:tc>
          <w:tcPr>
            <w:tcW w:type="dxa" w:w="2551"/>
            <w:vAlign w:val="top"/>
          </w:tcPr>
          <w:p>
            <w:pPr>
              <w:spacing w:line="276" w:lineRule="auto"/>
            </w:pPr>
            <w:r/>
            <w:r>
              <w:rPr>
                <w:rFonts w:ascii="Times New Roman" w:hAnsi="Times New Roman"/>
                <w:sz w:val="19"/>
              </w:rPr>
              <w:t>High yield, low moisture, prolonged release of a freely soluble drug</w:t>
            </w:r>
          </w:p>
        </w:tc>
        <w:tc>
          <w:tcPr>
            <w:tcW w:type="dxa" w:w="2551"/>
            <w:vAlign w:val="top"/>
          </w:tcPr>
          <w:p>
            <w:pPr>
              <w:spacing w:line="276" w:lineRule="auto"/>
            </w:pPr>
            <w:r/>
            <w:r>
              <w:rPr>
                <w:rFonts w:ascii="Times New Roman" w:hAnsi="Times New Roman"/>
                <w:sz w:val="19"/>
              </w:rPr>
              <w:t>Szekalska et al., Materials 11(9):1522 (2018), DOI: 10.3390/ma11091522</w:t>
            </w:r>
          </w:p>
        </w:tc>
      </w:tr>
      <w:tr>
        <w:tc>
          <w:tcPr>
            <w:tcW w:type="dxa" w:w="567"/>
            <w:vAlign w:val="top"/>
          </w:tcPr>
          <w:p>
            <w:pPr>
              <w:spacing w:line="276" w:lineRule="auto"/>
            </w:pPr>
            <w:r/>
            <w:r>
              <w:rPr>
                <w:rFonts w:ascii="Times New Roman" w:hAnsi="Times New Roman"/>
                <w:sz w:val="19"/>
              </w:rPr>
              <w:t>5</w:t>
            </w:r>
          </w:p>
        </w:tc>
        <w:tc>
          <w:tcPr>
            <w:tcW w:type="dxa" w:w="2268"/>
            <w:vAlign w:val="top"/>
          </w:tcPr>
          <w:p>
            <w:pPr>
              <w:spacing w:line="276" w:lineRule="auto"/>
            </w:pPr>
            <w:r/>
            <w:r>
              <w:rPr>
                <w:rFonts w:ascii="Times New Roman" w:hAnsi="Times New Roman"/>
                <w:sz w:val="19"/>
              </w:rPr>
              <w:t>Alginate + Chitosan</w:t>
            </w:r>
          </w:p>
        </w:tc>
        <w:tc>
          <w:tcPr>
            <w:tcW w:type="dxa" w:w="1587"/>
            <w:vAlign w:val="top"/>
          </w:tcPr>
          <w:p>
            <w:pPr>
              <w:spacing w:line="276" w:lineRule="auto"/>
            </w:pPr>
            <w:r/>
            <w:r>
              <w:rPr>
                <w:rFonts w:ascii="Times New Roman" w:hAnsi="Times New Roman"/>
                <w:sz w:val="19"/>
              </w:rPr>
              <w:t>Metformin HCl</w:t>
            </w:r>
          </w:p>
        </w:tc>
        <w:tc>
          <w:tcPr>
            <w:tcW w:type="dxa" w:w="2551"/>
            <w:vAlign w:val="top"/>
          </w:tcPr>
          <w:p>
            <w:pPr>
              <w:spacing w:line="276" w:lineRule="auto"/>
            </w:pPr>
            <w:r/>
            <w:r>
              <w:rPr>
                <w:rFonts w:ascii="Times New Roman" w:hAnsi="Times New Roman"/>
                <w:sz w:val="19"/>
              </w:rPr>
              <w:t>Mucoadhesive, prolonged in-vitro and in-vivo release</w:t>
            </w:r>
          </w:p>
        </w:tc>
        <w:tc>
          <w:tcPr>
            <w:tcW w:type="dxa" w:w="2551"/>
            <w:vAlign w:val="top"/>
          </w:tcPr>
          <w:p>
            <w:pPr>
              <w:spacing w:line="276" w:lineRule="auto"/>
            </w:pPr>
            <w:r/>
            <w:r>
              <w:rPr>
                <w:rFonts w:ascii="Times New Roman" w:hAnsi="Times New Roman"/>
                <w:sz w:val="19"/>
              </w:rPr>
              <w:t>Szekalska et al., Molecules 22(1):182 (2017), DOI: 10.3390/molecules22010182</w:t>
            </w:r>
          </w:p>
        </w:tc>
      </w:tr>
      <w:tr>
        <w:tc>
          <w:tcPr>
            <w:tcW w:type="dxa" w:w="567"/>
            <w:vAlign w:val="top"/>
          </w:tcPr>
          <w:p>
            <w:pPr>
              <w:spacing w:line="276" w:lineRule="auto"/>
            </w:pPr>
            <w:r/>
            <w:r>
              <w:rPr>
                <w:rFonts w:ascii="Times New Roman" w:hAnsi="Times New Roman"/>
                <w:sz w:val="19"/>
              </w:rPr>
              <w:t>6</w:t>
            </w:r>
          </w:p>
        </w:tc>
        <w:tc>
          <w:tcPr>
            <w:tcW w:type="dxa" w:w="2268"/>
            <w:vAlign w:val="top"/>
          </w:tcPr>
          <w:p>
            <w:pPr>
              <w:spacing w:line="276" w:lineRule="auto"/>
            </w:pPr>
            <w:r/>
            <w:r>
              <w:rPr>
                <w:rFonts w:ascii="Times New Roman" w:hAnsi="Times New Roman"/>
                <w:sz w:val="19"/>
              </w:rPr>
              <w:t>Alginate + Gelatin</w:t>
            </w:r>
          </w:p>
        </w:tc>
        <w:tc>
          <w:tcPr>
            <w:tcW w:type="dxa" w:w="1587"/>
            <w:vAlign w:val="top"/>
          </w:tcPr>
          <w:p>
            <w:pPr>
              <w:spacing w:line="276" w:lineRule="auto"/>
            </w:pPr>
            <w:r/>
            <w:r>
              <w:rPr>
                <w:rFonts w:ascii="Times New Roman" w:hAnsi="Times New Roman"/>
                <w:sz w:val="19"/>
              </w:rPr>
              <w:t>Luliconazole (hydrophobic)</w:t>
            </w:r>
          </w:p>
        </w:tc>
        <w:tc>
          <w:tcPr>
            <w:tcW w:type="dxa" w:w="2551"/>
            <w:vAlign w:val="top"/>
          </w:tcPr>
          <w:p>
            <w:pPr>
              <w:spacing w:line="276" w:lineRule="auto"/>
            </w:pPr>
            <w:r/>
            <w:r>
              <w:rPr>
                <w:rFonts w:ascii="Times New Roman" w:hAnsi="Times New Roman"/>
                <w:sz w:val="19"/>
              </w:rPr>
              <w:t>Spray-dried mucoadhesive microparticles for hydrophobic antifungal</w:t>
            </w:r>
          </w:p>
        </w:tc>
        <w:tc>
          <w:tcPr>
            <w:tcW w:type="dxa" w:w="2551"/>
            <w:vAlign w:val="top"/>
          </w:tcPr>
          <w:p>
            <w:pPr>
              <w:spacing w:line="276" w:lineRule="auto"/>
            </w:pPr>
            <w:r/>
            <w:r>
              <w:rPr>
                <w:rFonts w:ascii="Times New Roman" w:hAnsi="Times New Roman"/>
                <w:sz w:val="19"/>
              </w:rPr>
              <w:t>Szekalska et al., Materials 16(1):403 (2023), DOI: 10.3390/ma16010403</w:t>
            </w:r>
          </w:p>
        </w:tc>
      </w:tr>
      <w:tr>
        <w:tc>
          <w:tcPr>
            <w:tcW w:type="dxa" w:w="567"/>
            <w:vAlign w:val="top"/>
          </w:tcPr>
          <w:p>
            <w:pPr>
              <w:spacing w:line="276" w:lineRule="auto"/>
            </w:pPr>
            <w:r/>
            <w:r>
              <w:rPr>
                <w:rFonts w:ascii="Times New Roman" w:hAnsi="Times New Roman"/>
                <w:sz w:val="19"/>
              </w:rPr>
              <w:t>7</w:t>
            </w:r>
          </w:p>
        </w:tc>
        <w:tc>
          <w:tcPr>
            <w:tcW w:type="dxa" w:w="2268"/>
            <w:vAlign w:val="top"/>
          </w:tcPr>
          <w:p>
            <w:pPr>
              <w:spacing w:line="276" w:lineRule="auto"/>
            </w:pPr>
            <w:r/>
            <w:r>
              <w:rPr>
                <w:rFonts w:ascii="Times New Roman" w:hAnsi="Times New Roman"/>
                <w:sz w:val="19"/>
              </w:rPr>
              <w:t>Sodium alginate (sole polymer)</w:t>
            </w:r>
          </w:p>
        </w:tc>
        <w:tc>
          <w:tcPr>
            <w:tcW w:type="dxa" w:w="1587"/>
            <w:vAlign w:val="top"/>
          </w:tcPr>
          <w:p>
            <w:pPr>
              <w:spacing w:line="276" w:lineRule="auto"/>
            </w:pPr>
            <w:r/>
            <w:r>
              <w:rPr>
                <w:rFonts w:ascii="Times New Roman" w:hAnsi="Times New Roman"/>
                <w:sz w:val="19"/>
              </w:rPr>
              <w:t>Ropinirole HCl</w:t>
            </w:r>
          </w:p>
        </w:tc>
        <w:tc>
          <w:tcPr>
            <w:tcW w:type="dxa" w:w="2551"/>
            <w:vAlign w:val="top"/>
          </w:tcPr>
          <w:p>
            <w:pPr>
              <w:spacing w:line="276" w:lineRule="auto"/>
            </w:pPr>
            <w:r/>
            <w:r>
              <w:rPr>
                <w:rFonts w:ascii="Times New Roman" w:hAnsi="Times New Roman"/>
                <w:sz w:val="19"/>
              </w:rPr>
              <w:t>Particles suitable for intranasal delivery; safe to nasal epithelium</w:t>
            </w:r>
          </w:p>
        </w:tc>
        <w:tc>
          <w:tcPr>
            <w:tcW w:type="dxa" w:w="2551"/>
            <w:vAlign w:val="top"/>
          </w:tcPr>
          <w:p>
            <w:pPr>
              <w:spacing w:line="276" w:lineRule="auto"/>
            </w:pPr>
            <w:r/>
            <w:r>
              <w:rPr>
                <w:rFonts w:ascii="Times New Roman" w:hAnsi="Times New Roman"/>
                <w:sz w:val="19"/>
              </w:rPr>
              <w:t>Pharm. Dev. Technol. (2019), DOI: 10.1080/10837450.2019.1567762</w:t>
            </w:r>
          </w:p>
        </w:tc>
      </w:tr>
      <w:tr>
        <w:tc>
          <w:tcPr>
            <w:tcW w:type="dxa" w:w="567"/>
            <w:vAlign w:val="top"/>
          </w:tcPr>
          <w:p>
            <w:pPr>
              <w:spacing w:line="276" w:lineRule="auto"/>
            </w:pPr>
            <w:r/>
            <w:r>
              <w:rPr>
                <w:rFonts w:ascii="Times New Roman" w:hAnsi="Times New Roman"/>
                <w:sz w:val="19"/>
              </w:rPr>
              <w:t>8</w:t>
            </w:r>
          </w:p>
        </w:tc>
        <w:tc>
          <w:tcPr>
            <w:tcW w:type="dxa" w:w="2268"/>
            <w:vAlign w:val="top"/>
          </w:tcPr>
          <w:p>
            <w:pPr>
              <w:spacing w:line="276" w:lineRule="auto"/>
            </w:pPr>
            <w:r/>
            <w:r>
              <w:rPr>
                <w:rFonts w:ascii="Times New Roman" w:hAnsi="Times New Roman"/>
                <w:sz w:val="19"/>
              </w:rPr>
              <w:t>Sodium alginate / Chitosan (alone or together)</w:t>
            </w:r>
          </w:p>
        </w:tc>
        <w:tc>
          <w:tcPr>
            <w:tcW w:type="dxa" w:w="1587"/>
            <w:vAlign w:val="top"/>
          </w:tcPr>
          <w:p>
            <w:pPr>
              <w:spacing w:line="276" w:lineRule="auto"/>
            </w:pPr>
            <w:r/>
            <w:r>
              <w:rPr>
                <w:rFonts w:ascii="Times New Roman" w:hAnsi="Times New Roman"/>
                <w:sz w:val="19"/>
              </w:rPr>
              <w:t>Metoclopramide</w:t>
            </w:r>
          </w:p>
        </w:tc>
        <w:tc>
          <w:tcPr>
            <w:tcW w:type="dxa" w:w="2551"/>
            <w:vAlign w:val="top"/>
          </w:tcPr>
          <w:p>
            <w:pPr>
              <w:spacing w:line="276" w:lineRule="auto"/>
            </w:pPr>
            <w:r/>
            <w:r>
              <w:rPr>
                <w:rFonts w:ascii="Times New Roman" w:hAnsi="Times New Roman"/>
                <w:sz w:val="19"/>
              </w:rPr>
              <w:t>Comparative mucoadhesive nasal microspheres by spray drying</w:t>
            </w:r>
          </w:p>
        </w:tc>
        <w:tc>
          <w:tcPr>
            <w:tcW w:type="dxa" w:w="2551"/>
            <w:vAlign w:val="top"/>
          </w:tcPr>
          <w:p>
            <w:pPr>
              <w:spacing w:line="276" w:lineRule="auto"/>
            </w:pPr>
            <w:r/>
            <w:r>
              <w:rPr>
                <w:rFonts w:ascii="Times New Roman" w:hAnsi="Times New Roman"/>
                <w:sz w:val="19"/>
              </w:rPr>
              <w:t>Cevher et al., J Pharm Pharmacol (2008), PMID: 15807983</w:t>
            </w:r>
          </w:p>
        </w:tc>
      </w:tr>
      <w:tr>
        <w:tc>
          <w:tcPr>
            <w:tcW w:type="dxa" w:w="567"/>
            <w:vAlign w:val="top"/>
          </w:tcPr>
          <w:p>
            <w:pPr>
              <w:spacing w:line="276" w:lineRule="auto"/>
            </w:pPr>
            <w:r/>
            <w:r>
              <w:rPr>
                <w:rFonts w:ascii="Times New Roman" w:hAnsi="Times New Roman"/>
                <w:sz w:val="19"/>
              </w:rPr>
              <w:t>9</w:t>
            </w:r>
          </w:p>
        </w:tc>
        <w:tc>
          <w:tcPr>
            <w:tcW w:type="dxa" w:w="2268"/>
            <w:vAlign w:val="top"/>
          </w:tcPr>
          <w:p>
            <w:pPr>
              <w:spacing w:line="276" w:lineRule="auto"/>
            </w:pPr>
            <w:r/>
            <w:r>
              <w:rPr>
                <w:rFonts w:ascii="Times New Roman" w:hAnsi="Times New Roman"/>
                <w:sz w:val="19"/>
              </w:rPr>
              <w:t>Chitosan / Alginate / Inulin</w:t>
            </w:r>
          </w:p>
        </w:tc>
        <w:tc>
          <w:tcPr>
            <w:tcW w:type="dxa" w:w="1587"/>
            <w:vAlign w:val="top"/>
          </w:tcPr>
          <w:p>
            <w:pPr>
              <w:spacing w:line="276" w:lineRule="auto"/>
            </w:pPr>
            <w:r/>
            <w:r>
              <w:rPr>
                <w:rFonts w:ascii="Times New Roman" w:hAnsi="Times New Roman"/>
                <w:sz w:val="19"/>
              </w:rPr>
              <w:t>Coriandrum sativum essential oil</w:t>
            </w:r>
          </w:p>
        </w:tc>
        <w:tc>
          <w:tcPr>
            <w:tcW w:type="dxa" w:w="2551"/>
            <w:vAlign w:val="top"/>
          </w:tcPr>
          <w:p>
            <w:pPr>
              <w:spacing w:line="276" w:lineRule="auto"/>
            </w:pPr>
            <w:r/>
            <w:r>
              <w:rPr>
                <w:rFonts w:ascii="Times New Roman" w:hAnsi="Times New Roman"/>
                <w:sz w:val="19"/>
              </w:rPr>
              <w:t>pH-responsive release; kinetics modelled by Higuchi and Peppas</w:t>
            </w:r>
          </w:p>
        </w:tc>
        <w:tc>
          <w:tcPr>
            <w:tcW w:type="dxa" w:w="2551"/>
            <w:vAlign w:val="top"/>
          </w:tcPr>
          <w:p>
            <w:pPr>
              <w:spacing w:line="276" w:lineRule="auto"/>
            </w:pPr>
            <w:r/>
            <w:r>
              <w:rPr>
                <w:rFonts w:ascii="Times New Roman" w:hAnsi="Times New Roman"/>
                <w:sz w:val="19"/>
              </w:rPr>
              <w:t>Dima et al., Food Chem. (2016), PMID: 26575710</w:t>
            </w:r>
          </w:p>
        </w:tc>
      </w:tr>
      <w:tr>
        <w:tc>
          <w:tcPr>
            <w:tcW w:type="dxa" w:w="567"/>
            <w:vAlign w:val="top"/>
          </w:tcPr>
          <w:p>
            <w:pPr>
              <w:spacing w:line="276" w:lineRule="auto"/>
            </w:pPr>
            <w:r/>
            <w:r>
              <w:rPr>
                <w:rFonts w:ascii="Times New Roman" w:hAnsi="Times New Roman"/>
                <w:sz w:val="19"/>
              </w:rPr>
              <w:t>10</w:t>
            </w:r>
          </w:p>
        </w:tc>
        <w:tc>
          <w:tcPr>
            <w:tcW w:type="dxa" w:w="2268"/>
            <w:vAlign w:val="top"/>
          </w:tcPr>
          <w:p>
            <w:pPr>
              <w:spacing w:line="276" w:lineRule="auto"/>
            </w:pPr>
            <w:r/>
            <w:r>
              <w:rPr>
                <w:rFonts w:ascii="Times New Roman" w:hAnsi="Times New Roman"/>
                <w:sz w:val="19"/>
              </w:rPr>
              <w:t>Alginate + Ethyl cellulose + CaCO₃ (W/O spray drying)</w:t>
            </w:r>
          </w:p>
        </w:tc>
        <w:tc>
          <w:tcPr>
            <w:tcW w:type="dxa" w:w="1587"/>
            <w:vAlign w:val="top"/>
          </w:tcPr>
          <w:p>
            <w:pPr>
              <w:spacing w:line="276" w:lineRule="auto"/>
            </w:pPr>
            <w:r/>
            <w:r>
              <w:rPr>
                <w:rFonts w:ascii="Times New Roman" w:hAnsi="Times New Roman"/>
                <w:sz w:val="19"/>
              </w:rPr>
              <w:t>Hydrophobic actives</w:t>
            </w:r>
          </w:p>
        </w:tc>
        <w:tc>
          <w:tcPr>
            <w:tcW w:type="dxa" w:w="2551"/>
            <w:vAlign w:val="top"/>
          </w:tcPr>
          <w:p>
            <w:pPr>
              <w:spacing w:line="276" w:lineRule="auto"/>
            </w:pPr>
            <w:r/>
            <w:r>
              <w:rPr>
                <w:rFonts w:ascii="Times New Roman" w:hAnsi="Times New Roman"/>
                <w:sz w:val="19"/>
              </w:rPr>
              <w:t>pH-dependent release composite microparticles</w:t>
            </w:r>
          </w:p>
        </w:tc>
        <w:tc>
          <w:tcPr>
            <w:tcW w:type="dxa" w:w="2551"/>
            <w:vAlign w:val="top"/>
          </w:tcPr>
          <w:p>
            <w:pPr>
              <w:spacing w:line="276" w:lineRule="auto"/>
            </w:pPr>
            <w:r/>
            <w:r>
              <w:rPr>
                <w:rFonts w:ascii="Times New Roman" w:hAnsi="Times New Roman"/>
                <w:sz w:val="19"/>
              </w:rPr>
              <w:t>Colloid Polym. Sci. (2009), DOI: 10.1007/s00396-009-2153-6</w:t>
            </w:r>
          </w:p>
        </w:tc>
      </w:tr>
      <w:tr>
        <w:tc>
          <w:tcPr>
            <w:tcW w:type="dxa" w:w="567"/>
            <w:vAlign w:val="top"/>
          </w:tcPr>
          <w:p>
            <w:pPr>
              <w:spacing w:line="276" w:lineRule="auto"/>
            </w:pPr>
            <w:r/>
            <w:r>
              <w:rPr>
                <w:rFonts w:ascii="Times New Roman" w:hAnsi="Times New Roman"/>
                <w:sz w:val="19"/>
              </w:rPr>
              <w:t>11</w:t>
            </w:r>
          </w:p>
        </w:tc>
        <w:tc>
          <w:tcPr>
            <w:tcW w:type="dxa" w:w="2268"/>
            <w:vAlign w:val="top"/>
          </w:tcPr>
          <w:p>
            <w:pPr>
              <w:spacing w:line="276" w:lineRule="auto"/>
            </w:pPr>
            <w:r/>
            <w:r>
              <w:rPr>
                <w:rFonts w:ascii="Times New Roman" w:hAnsi="Times New Roman"/>
                <w:sz w:val="19"/>
              </w:rPr>
              <w:t>Alginate + HPMC</w:t>
            </w:r>
          </w:p>
        </w:tc>
        <w:tc>
          <w:tcPr>
            <w:tcW w:type="dxa" w:w="1587"/>
            <w:vAlign w:val="top"/>
          </w:tcPr>
          <w:p>
            <w:pPr>
              <w:spacing w:line="276" w:lineRule="auto"/>
            </w:pPr>
            <w:r/>
            <w:r>
              <w:rPr>
                <w:rFonts w:ascii="Times New Roman" w:hAnsi="Times New Roman"/>
                <w:sz w:val="19"/>
              </w:rPr>
              <w:t>Posaconazole (hydrophobic)</w:t>
            </w:r>
          </w:p>
        </w:tc>
        <w:tc>
          <w:tcPr>
            <w:tcW w:type="dxa" w:w="2551"/>
            <w:vAlign w:val="top"/>
          </w:tcPr>
          <w:p>
            <w:pPr>
              <w:spacing w:line="276" w:lineRule="auto"/>
            </w:pPr>
            <w:r/>
            <w:r>
              <w:rPr>
                <w:rFonts w:ascii="Times New Roman" w:hAnsi="Times New Roman"/>
                <w:sz w:val="19"/>
              </w:rPr>
              <w:t>Multicompartment hard gelatin capsule for sustained release</w:t>
            </w:r>
          </w:p>
        </w:tc>
        <w:tc>
          <w:tcPr>
            <w:tcW w:type="dxa" w:w="2551"/>
            <w:vAlign w:val="top"/>
          </w:tcPr>
          <w:p>
            <w:pPr>
              <w:spacing w:line="276" w:lineRule="auto"/>
            </w:pPr>
            <w:r/>
            <w:r>
              <w:rPr>
                <w:rFonts w:ascii="Times New Roman" w:hAnsi="Times New Roman"/>
                <w:sz w:val="19"/>
              </w:rPr>
              <w:t>Kruk K et al., IJMS 25(13):7116 (2024), DOI: 10.3390/ijms25137116</w:t>
            </w:r>
          </w:p>
        </w:tc>
      </w:tr>
      <w:tr>
        <w:tc>
          <w:tcPr>
            <w:tcW w:type="dxa" w:w="567"/>
            <w:vAlign w:val="top"/>
          </w:tcPr>
          <w:p>
            <w:pPr>
              <w:spacing w:line="276" w:lineRule="auto"/>
            </w:pPr>
            <w:r/>
            <w:r>
              <w:rPr>
                <w:rFonts w:ascii="Times New Roman" w:hAnsi="Times New Roman"/>
                <w:sz w:val="19"/>
              </w:rPr>
              <w:t>12</w:t>
            </w:r>
          </w:p>
        </w:tc>
        <w:tc>
          <w:tcPr>
            <w:tcW w:type="dxa" w:w="2268"/>
            <w:vAlign w:val="top"/>
          </w:tcPr>
          <w:p>
            <w:pPr>
              <w:spacing w:line="276" w:lineRule="auto"/>
            </w:pPr>
            <w:r/>
            <w:r>
              <w:rPr>
                <w:rFonts w:ascii="Times New Roman" w:hAnsi="Times New Roman"/>
                <w:sz w:val="19"/>
              </w:rPr>
              <w:t>Sodium alginate (sole polymer)</w:t>
            </w:r>
          </w:p>
        </w:tc>
        <w:tc>
          <w:tcPr>
            <w:tcW w:type="dxa" w:w="1587"/>
            <w:vAlign w:val="top"/>
          </w:tcPr>
          <w:p>
            <w:pPr>
              <w:spacing w:line="276" w:lineRule="auto"/>
            </w:pPr>
            <w:r/>
            <w:r>
              <w:rPr>
                <w:rFonts w:ascii="Times New Roman" w:hAnsi="Times New Roman"/>
                <w:sz w:val="19"/>
              </w:rPr>
              <w:t>Insulin</w:t>
            </w:r>
          </w:p>
        </w:tc>
        <w:tc>
          <w:tcPr>
            <w:tcW w:type="dxa" w:w="2551"/>
            <w:vAlign w:val="top"/>
          </w:tcPr>
          <w:p>
            <w:pPr>
              <w:spacing w:line="276" w:lineRule="auto"/>
            </w:pPr>
            <w:r/>
            <w:r>
              <w:rPr>
                <w:rFonts w:ascii="Times New Roman" w:hAnsi="Times New Roman"/>
                <w:sz w:val="19"/>
              </w:rPr>
              <w:t>Biological activity preserved by spray drying</w:t>
            </w:r>
          </w:p>
        </w:tc>
        <w:tc>
          <w:tcPr>
            <w:tcW w:type="dxa" w:w="2551"/>
            <w:vAlign w:val="top"/>
          </w:tcPr>
          <w:p>
            <w:pPr>
              <w:spacing w:line="276" w:lineRule="auto"/>
            </w:pPr>
            <w:r/>
            <w:r>
              <w:rPr>
                <w:rFonts w:ascii="Times New Roman" w:hAnsi="Times New Roman"/>
                <w:sz w:val="19"/>
              </w:rPr>
              <w:t>Drug Dev. Ind. Pharm. (2013), DOI: 10.3109/03639045.2012.662985</w:t>
            </w:r>
          </w:p>
        </w:tc>
      </w:tr>
      <w:tr>
        <w:tc>
          <w:tcPr>
            <w:tcW w:type="dxa" w:w="567"/>
            <w:vAlign w:val="top"/>
          </w:tcPr>
          <w:p>
            <w:pPr>
              <w:spacing w:line="276" w:lineRule="auto"/>
            </w:pPr>
            <w:r/>
            <w:r>
              <w:rPr>
                <w:rFonts w:ascii="Times New Roman" w:hAnsi="Times New Roman"/>
                <w:sz w:val="19"/>
              </w:rPr>
              <w:t>2</w:t>
            </w:r>
          </w:p>
        </w:tc>
        <w:tc>
          <w:tcPr>
            <w:tcW w:type="dxa" w:w="2268"/>
            <w:vAlign w:val="top"/>
          </w:tcPr>
          <w:p>
            <w:pPr>
              <w:spacing w:line="276" w:lineRule="auto"/>
            </w:pPr>
            <w:r/>
            <w:r>
              <w:rPr>
                <w:rFonts w:ascii="Times New Roman" w:hAnsi="Times New Roman"/>
                <w:sz w:val="19"/>
              </w:rPr>
              <w:t>Alginate core + Thiolated chitosan multilayer</w:t>
            </w:r>
          </w:p>
        </w:tc>
        <w:tc>
          <w:tcPr>
            <w:tcW w:type="dxa" w:w="1587"/>
            <w:vAlign w:val="top"/>
          </w:tcPr>
          <w:p>
            <w:pPr>
              <w:spacing w:line="276" w:lineRule="auto"/>
            </w:pPr>
            <w:r/>
            <w:r>
              <w:rPr>
                <w:rFonts w:ascii="Times New Roman" w:hAnsi="Times New Roman"/>
                <w:sz w:val="19"/>
              </w:rPr>
              <w:t>Anti-HIV microbicide</w:t>
            </w:r>
          </w:p>
        </w:tc>
        <w:tc>
          <w:tcPr>
            <w:tcW w:type="dxa" w:w="2551"/>
            <w:vAlign w:val="top"/>
          </w:tcPr>
          <w:p>
            <w:pPr>
              <w:spacing w:line="276" w:lineRule="auto"/>
            </w:pPr>
            <w:r/>
            <w:r>
              <w:rPr>
                <w:rFonts w:ascii="Times New Roman" w:hAnsi="Times New Roman"/>
                <w:sz w:val="19"/>
              </w:rPr>
              <w:t>Mucoadhesive vaginal microparticles, safe in vivo</w:t>
            </w:r>
          </w:p>
        </w:tc>
        <w:tc>
          <w:tcPr>
            <w:tcW w:type="dxa" w:w="2551"/>
            <w:vAlign w:val="top"/>
          </w:tcPr>
          <w:p>
            <w:pPr>
              <w:spacing w:line="276" w:lineRule="auto"/>
            </w:pPr>
            <w:r/>
            <w:r>
              <w:rPr>
                <w:rFonts w:ascii="Times New Roman" w:hAnsi="Times New Roman"/>
                <w:sz w:val="19"/>
              </w:rPr>
              <w:t>Meng et al., AAPS J (2017), DOI: 10.1208/s12248-016-0007-y</w:t>
            </w:r>
          </w:p>
        </w:tc>
      </w:tr>
      <w:tr>
        <w:tc>
          <w:tcPr>
            <w:tcW w:type="dxa" w:w="567"/>
            <w:vAlign w:val="top"/>
          </w:tcPr>
          <w:p>
            <w:pPr>
              <w:spacing w:line="276" w:lineRule="auto"/>
            </w:pPr>
            <w:r/>
            <w:r>
              <w:rPr>
                <w:rFonts w:ascii="Times New Roman" w:hAnsi="Times New Roman"/>
                <w:sz w:val="19"/>
              </w:rPr>
              <w:t>3</w:t>
            </w:r>
          </w:p>
        </w:tc>
        <w:tc>
          <w:tcPr>
            <w:tcW w:type="dxa" w:w="2268"/>
            <w:vAlign w:val="top"/>
          </w:tcPr>
          <w:p>
            <w:pPr>
              <w:spacing w:line="276" w:lineRule="auto"/>
            </w:pPr>
            <w:r/>
            <w:r>
              <w:rPr>
                <w:rFonts w:ascii="Times New Roman" w:hAnsi="Times New Roman"/>
                <w:sz w:val="19"/>
              </w:rPr>
              <w:t>Chitosan / Alginate</w:t>
            </w:r>
          </w:p>
        </w:tc>
        <w:tc>
          <w:tcPr>
            <w:tcW w:type="dxa" w:w="1587"/>
            <w:vAlign w:val="top"/>
          </w:tcPr>
          <w:p>
            <w:pPr>
              <w:spacing w:line="276" w:lineRule="auto"/>
            </w:pPr>
            <w:r/>
            <w:r>
              <w:rPr>
                <w:rFonts w:ascii="Times New Roman" w:hAnsi="Times New Roman"/>
                <w:sz w:val="19"/>
              </w:rPr>
              <w:t>Cefixime</w:t>
            </w:r>
          </w:p>
        </w:tc>
        <w:tc>
          <w:tcPr>
            <w:tcW w:type="dxa" w:w="2551"/>
            <w:vAlign w:val="top"/>
          </w:tcPr>
          <w:p>
            <w:pPr>
              <w:spacing w:line="276" w:lineRule="auto"/>
            </w:pPr>
            <w:r/>
            <w:r>
              <w:rPr>
                <w:rFonts w:ascii="Times New Roman" w:hAnsi="Times New Roman"/>
                <w:sz w:val="19"/>
              </w:rPr>
              <w:t>Microspheres for vaginal antibiotic delivery</w:t>
            </w:r>
          </w:p>
        </w:tc>
        <w:tc>
          <w:tcPr>
            <w:tcW w:type="dxa" w:w="2551"/>
            <w:vAlign w:val="top"/>
          </w:tcPr>
          <w:p>
            <w:pPr>
              <w:spacing w:line="276" w:lineRule="auto"/>
            </w:pPr>
            <w:r/>
            <w:r>
              <w:rPr>
                <w:rFonts w:ascii="Times New Roman" w:hAnsi="Times New Roman"/>
                <w:sz w:val="19"/>
              </w:rPr>
              <w:t>Carbohydr. Polym. (2018), PMID: 29691010</w:t>
            </w:r>
          </w:p>
        </w:tc>
      </w:tr>
    </w:tbl>
    <w:p>
      <w:pPr>
        <w:pStyle w:val="Heading2"/>
      </w:pPr>
      <w:r>
        <w:rPr>
          <w:rFonts w:ascii="Times New Roman" w:hAnsi="Times New Roman"/>
          <w:color w:val="1F497D"/>
          <w:sz w:val="26"/>
        </w:rPr>
        <w:t>10.2 Verified Progesterone Encapsulation / Vaginal Delivery Studies</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567"/>
            <w:shd w:val="clear" w:color="auto" w:fill="1F4E78"/>
            <w:vAlign w:val="center"/>
          </w:tcPr>
          <w:p>
            <w:pPr>
              <w:jc w:val="center"/>
            </w:pPr>
            <w:r/>
            <w:r>
              <w:rPr>
                <w:rFonts w:ascii="Times New Roman" w:hAnsi="Times New Roman"/>
                <w:b/>
                <w:color w:val="FFFFFF"/>
                <w:sz w:val="20"/>
              </w:rPr>
              <w:t>#</w:t>
            </w:r>
          </w:p>
        </w:tc>
        <w:tc>
          <w:tcPr>
            <w:tcW w:type="dxa" w:w="1984"/>
            <w:shd w:val="clear" w:color="auto" w:fill="1F4E78"/>
            <w:vAlign w:val="center"/>
          </w:tcPr>
          <w:p>
            <w:pPr>
              <w:jc w:val="center"/>
            </w:pPr>
            <w:r/>
            <w:r>
              <w:rPr>
                <w:rFonts w:ascii="Times New Roman" w:hAnsi="Times New Roman"/>
                <w:b/>
                <w:color w:val="FFFFFF"/>
                <w:sz w:val="20"/>
              </w:rPr>
              <w:t>Carrier / Device</w:t>
            </w:r>
          </w:p>
        </w:tc>
        <w:tc>
          <w:tcPr>
            <w:tcW w:type="dxa" w:w="1020"/>
            <w:shd w:val="clear" w:color="auto" w:fill="1F4E78"/>
            <w:vAlign w:val="center"/>
          </w:tcPr>
          <w:p>
            <w:pPr>
              <w:jc w:val="center"/>
            </w:pPr>
            <w:r/>
            <w:r>
              <w:rPr>
                <w:rFonts w:ascii="Times New Roman" w:hAnsi="Times New Roman"/>
                <w:b/>
                <w:color w:val="FFFFFF"/>
                <w:sz w:val="20"/>
              </w:rPr>
              <w:t>Method</w:t>
            </w:r>
          </w:p>
        </w:tc>
        <w:tc>
          <w:tcPr>
            <w:tcW w:type="dxa" w:w="1134"/>
            <w:shd w:val="clear" w:color="auto" w:fill="1F4E78"/>
            <w:vAlign w:val="center"/>
          </w:tcPr>
          <w:p>
            <w:pPr>
              <w:jc w:val="center"/>
            </w:pPr>
            <w:r/>
            <w:r>
              <w:rPr>
                <w:rFonts w:ascii="Times New Roman" w:hAnsi="Times New Roman"/>
                <w:b/>
                <w:color w:val="FFFFFF"/>
                <w:sz w:val="20"/>
              </w:rPr>
              <w:t>Species</w:t>
            </w:r>
          </w:p>
        </w:tc>
        <w:tc>
          <w:tcPr>
            <w:tcW w:type="dxa" w:w="2268"/>
            <w:shd w:val="clear" w:color="auto" w:fill="1F4E78"/>
            <w:vAlign w:val="center"/>
          </w:tcPr>
          <w:p>
            <w:pPr>
              <w:jc w:val="center"/>
            </w:pPr>
            <w:r/>
            <w:r>
              <w:rPr>
                <w:rFonts w:ascii="Times New Roman" w:hAnsi="Times New Roman"/>
                <w:b/>
                <w:color w:val="FFFFFF"/>
                <w:sz w:val="20"/>
              </w:rPr>
              <w:t>Key Outcome</w:t>
            </w:r>
          </w:p>
        </w:tc>
        <w:tc>
          <w:tcPr>
            <w:tcW w:type="dxa" w:w="2551"/>
            <w:shd w:val="clear" w:color="auto" w:fill="1F4E78"/>
            <w:vAlign w:val="center"/>
          </w:tcPr>
          <w:p>
            <w:pPr>
              <w:jc w:val="center"/>
            </w:pPr>
            <w:r/>
            <w:r>
              <w:rPr>
                <w:rFonts w:ascii="Times New Roman" w:hAnsi="Times New Roman"/>
                <w:b/>
                <w:color w:val="FFFFFF"/>
                <w:sz w:val="20"/>
              </w:rPr>
              <w:t>Reference</w:t>
            </w:r>
          </w:p>
        </w:tc>
      </w:tr>
      <w:tr>
        <w:tc>
          <w:tcPr>
            <w:tcW w:type="dxa" w:w="567"/>
            <w:vAlign w:val="top"/>
          </w:tcPr>
          <w:p>
            <w:pPr>
              <w:spacing w:line="276" w:lineRule="auto"/>
            </w:pPr>
            <w:r/>
            <w:r>
              <w:rPr>
                <w:rFonts w:ascii="Times New Roman" w:hAnsi="Times New Roman"/>
                <w:sz w:val="19"/>
              </w:rPr>
              <w:t>1</w:t>
            </w:r>
          </w:p>
        </w:tc>
        <w:tc>
          <w:tcPr>
            <w:tcW w:type="dxa" w:w="1984"/>
            <w:vAlign w:val="top"/>
          </w:tcPr>
          <w:p>
            <w:pPr>
              <w:spacing w:line="276" w:lineRule="auto"/>
            </w:pPr>
            <w:r/>
            <w:r>
              <w:rPr>
                <w:rFonts w:ascii="Times New Roman" w:hAnsi="Times New Roman"/>
                <w:sz w:val="19"/>
              </w:rPr>
              <w:t>TPP-crosslinked Chitosan microparticles</w:t>
            </w:r>
          </w:p>
        </w:tc>
        <w:tc>
          <w:tcPr>
            <w:tcW w:type="dxa" w:w="1020"/>
            <w:vAlign w:val="top"/>
          </w:tcPr>
          <w:p>
            <w:pPr>
              <w:spacing w:line="276" w:lineRule="auto"/>
            </w:pPr>
            <w:r/>
            <w:r>
              <w:rPr>
                <w:rFonts w:ascii="Times New Roman" w:hAnsi="Times New Roman"/>
                <w:sz w:val="19"/>
              </w:rPr>
              <w:t>Spray drying</w:t>
            </w:r>
          </w:p>
        </w:tc>
        <w:tc>
          <w:tcPr>
            <w:tcW w:type="dxa" w:w="1134"/>
            <w:vAlign w:val="top"/>
          </w:tcPr>
          <w:p>
            <w:pPr>
              <w:spacing w:line="276" w:lineRule="auto"/>
            </w:pPr>
            <w:r/>
            <w:r>
              <w:rPr>
                <w:rFonts w:ascii="Times New Roman" w:hAnsi="Times New Roman"/>
                <w:sz w:val="19"/>
              </w:rPr>
              <w:t>Cattle (in-vivo)</w:t>
            </w:r>
          </w:p>
        </w:tc>
        <w:tc>
          <w:tcPr>
            <w:tcW w:type="dxa" w:w="2268"/>
            <w:vAlign w:val="top"/>
          </w:tcPr>
          <w:p>
            <w:pPr>
              <w:spacing w:line="276" w:lineRule="auto"/>
            </w:pPr>
            <w:r/>
            <w:r>
              <w:rPr>
                <w:rFonts w:ascii="Times New Roman" w:hAnsi="Times New Roman"/>
                <w:sz w:val="19"/>
              </w:rPr>
              <w:t>Burst + diffusion-controlled P4 release; particle size and drug load are key determinants of plasma profile.</w:t>
            </w:r>
          </w:p>
        </w:tc>
        <w:tc>
          <w:tcPr>
            <w:tcW w:type="dxa" w:w="2551"/>
            <w:vAlign w:val="top"/>
          </w:tcPr>
          <w:p>
            <w:pPr>
              <w:spacing w:line="276" w:lineRule="auto"/>
            </w:pPr>
            <w:r/>
            <w:r>
              <w:rPr>
                <w:rFonts w:ascii="Times New Roman" w:hAnsi="Times New Roman"/>
                <w:sz w:val="19"/>
              </w:rPr>
              <w:t>Lopedota et al., Pharm. Res. (2018), DOI: 10.1007/s11095-018-2363-z</w:t>
            </w:r>
          </w:p>
        </w:tc>
      </w:tr>
      <w:tr>
        <w:tc>
          <w:tcPr>
            <w:tcW w:type="dxa" w:w="567"/>
            <w:vAlign w:val="top"/>
          </w:tcPr>
          <w:p>
            <w:pPr>
              <w:spacing w:line="276" w:lineRule="auto"/>
            </w:pPr>
            <w:r/>
            <w:r>
              <w:rPr>
                <w:rFonts w:ascii="Times New Roman" w:hAnsi="Times New Roman"/>
                <w:sz w:val="19"/>
              </w:rPr>
              <w:t>16</w:t>
            </w:r>
          </w:p>
        </w:tc>
        <w:tc>
          <w:tcPr>
            <w:tcW w:type="dxa" w:w="1984"/>
            <w:vAlign w:val="top"/>
          </w:tcPr>
          <w:p>
            <w:pPr>
              <w:spacing w:line="276" w:lineRule="auto"/>
            </w:pPr>
            <w:r/>
            <w:r>
              <w:rPr>
                <w:rFonts w:ascii="Times New Roman" w:hAnsi="Times New Roman"/>
                <w:sz w:val="19"/>
              </w:rPr>
              <w:t>EVA copolymer intravaginal insert</w:t>
            </w:r>
          </w:p>
        </w:tc>
        <w:tc>
          <w:tcPr>
            <w:tcW w:type="dxa" w:w="1020"/>
            <w:vAlign w:val="top"/>
          </w:tcPr>
          <w:p>
            <w:pPr>
              <w:spacing w:line="276" w:lineRule="auto"/>
            </w:pPr>
            <w:r/>
            <w:r>
              <w:rPr>
                <w:rFonts w:ascii="Times New Roman" w:hAnsi="Times New Roman"/>
                <w:sz w:val="19"/>
              </w:rPr>
              <w:t>Injection moulding</w:t>
            </w:r>
          </w:p>
        </w:tc>
        <w:tc>
          <w:tcPr>
            <w:tcW w:type="dxa" w:w="1134"/>
            <w:vAlign w:val="top"/>
          </w:tcPr>
          <w:p>
            <w:pPr>
              <w:spacing w:line="276" w:lineRule="auto"/>
            </w:pPr>
            <w:r/>
            <w:r>
              <w:rPr>
                <w:rFonts w:ascii="Times New Roman" w:hAnsi="Times New Roman"/>
                <w:sz w:val="19"/>
              </w:rPr>
              <w:t>Cattle (in-vivo)</w:t>
            </w:r>
          </w:p>
        </w:tc>
        <w:tc>
          <w:tcPr>
            <w:tcW w:type="dxa" w:w="2268"/>
            <w:vAlign w:val="top"/>
          </w:tcPr>
          <w:p>
            <w:pPr>
              <w:spacing w:line="276" w:lineRule="auto"/>
            </w:pPr>
            <w:r/>
            <w:r>
              <w:rPr>
                <w:rFonts w:ascii="Times New Roman" w:hAnsi="Times New Roman"/>
                <w:sz w:val="19"/>
              </w:rPr>
              <w:t>Reduced residual drug compared to silicone, equivalent biological performance over 7 days.</w:t>
            </w:r>
          </w:p>
        </w:tc>
        <w:tc>
          <w:tcPr>
            <w:tcW w:type="dxa" w:w="2551"/>
            <w:vAlign w:val="top"/>
          </w:tcPr>
          <w:p>
            <w:pPr>
              <w:spacing w:line="276" w:lineRule="auto"/>
            </w:pPr>
            <w:r/>
            <w:r>
              <w:rPr>
                <w:rFonts w:ascii="Times New Roman" w:hAnsi="Times New Roman"/>
                <w:sz w:val="19"/>
              </w:rPr>
              <w:t>Drug Dev. Ind. Pharm. (2015), PMID: 26022232</w:t>
            </w:r>
          </w:p>
        </w:tc>
      </w:tr>
      <w:tr>
        <w:tc>
          <w:tcPr>
            <w:tcW w:type="dxa" w:w="567"/>
            <w:vAlign w:val="top"/>
          </w:tcPr>
          <w:p>
            <w:pPr>
              <w:spacing w:line="276" w:lineRule="auto"/>
            </w:pPr>
            <w:r/>
            <w:r>
              <w:rPr>
                <w:rFonts w:ascii="Times New Roman" w:hAnsi="Times New Roman"/>
                <w:sz w:val="19"/>
              </w:rPr>
              <w:t>17</w:t>
            </w:r>
          </w:p>
        </w:tc>
        <w:tc>
          <w:tcPr>
            <w:tcW w:type="dxa" w:w="1984"/>
            <w:vAlign w:val="top"/>
          </w:tcPr>
          <w:p>
            <w:pPr>
              <w:spacing w:line="276" w:lineRule="auto"/>
            </w:pPr>
            <w:r/>
            <w:r>
              <w:rPr>
                <w:rFonts w:ascii="Times New Roman" w:hAnsi="Times New Roman"/>
                <w:sz w:val="19"/>
              </w:rPr>
              <w:t>Recyclable EVA intravaginal device</w:t>
            </w:r>
          </w:p>
        </w:tc>
        <w:tc>
          <w:tcPr>
            <w:tcW w:type="dxa" w:w="1020"/>
            <w:vAlign w:val="top"/>
          </w:tcPr>
          <w:p>
            <w:pPr>
              <w:spacing w:line="276" w:lineRule="auto"/>
            </w:pPr>
            <w:r/>
            <w:r>
              <w:rPr>
                <w:rFonts w:ascii="Times New Roman" w:hAnsi="Times New Roman"/>
                <w:sz w:val="19"/>
              </w:rPr>
              <w:t>Injection moulding</w:t>
            </w:r>
          </w:p>
        </w:tc>
        <w:tc>
          <w:tcPr>
            <w:tcW w:type="dxa" w:w="1134"/>
            <w:vAlign w:val="top"/>
          </w:tcPr>
          <w:p>
            <w:pPr>
              <w:spacing w:line="276" w:lineRule="auto"/>
            </w:pPr>
            <w:r/>
            <w:r>
              <w:rPr>
                <w:rFonts w:ascii="Times New Roman" w:hAnsi="Times New Roman"/>
                <w:sz w:val="19"/>
              </w:rPr>
              <w:t>Cattle</w:t>
            </w:r>
          </w:p>
        </w:tc>
        <w:tc>
          <w:tcPr>
            <w:tcW w:type="dxa" w:w="2268"/>
            <w:vAlign w:val="top"/>
          </w:tcPr>
          <w:p>
            <w:pPr>
              <w:spacing w:line="276" w:lineRule="auto"/>
            </w:pPr>
            <w:r/>
            <w:r>
              <w:rPr>
                <w:rFonts w:ascii="Times New Roman" w:hAnsi="Times New Roman"/>
                <w:sz w:val="19"/>
              </w:rPr>
              <w:t>Recyclable design for bovine oestrus synchronisation.</w:t>
            </w:r>
          </w:p>
        </w:tc>
        <w:tc>
          <w:tcPr>
            <w:tcW w:type="dxa" w:w="2551"/>
            <w:vAlign w:val="top"/>
          </w:tcPr>
          <w:p>
            <w:pPr>
              <w:spacing w:line="276" w:lineRule="auto"/>
            </w:pPr>
            <w:r/>
            <w:r>
              <w:rPr>
                <w:rFonts w:ascii="Times New Roman" w:hAnsi="Times New Roman"/>
                <w:sz w:val="19"/>
              </w:rPr>
              <w:t>Drug Deliv. Transl. Res. (2020), DOI: 10.1007/s13346-020-00717-4</w:t>
            </w:r>
          </w:p>
        </w:tc>
      </w:tr>
      <w:tr>
        <w:tc>
          <w:tcPr>
            <w:tcW w:type="dxa" w:w="567"/>
            <w:vAlign w:val="top"/>
          </w:tcPr>
          <w:p>
            <w:pPr>
              <w:spacing w:line="276" w:lineRule="auto"/>
            </w:pPr>
            <w:r/>
            <w:r>
              <w:rPr>
                <w:rFonts w:ascii="Times New Roman" w:hAnsi="Times New Roman"/>
                <w:sz w:val="19"/>
              </w:rPr>
              <w:t>18</w:t>
            </w:r>
          </w:p>
        </w:tc>
        <w:tc>
          <w:tcPr>
            <w:tcW w:type="dxa" w:w="1984"/>
            <w:vAlign w:val="top"/>
          </w:tcPr>
          <w:p>
            <w:pPr>
              <w:spacing w:line="276" w:lineRule="auto"/>
            </w:pPr>
            <w:r/>
            <w:r>
              <w:rPr>
                <w:rFonts w:ascii="Times New Roman" w:hAnsi="Times New Roman"/>
                <w:sz w:val="19"/>
              </w:rPr>
              <w:t>Biodegradable polymeric matrix vaginal device</w:t>
            </w:r>
          </w:p>
        </w:tc>
        <w:tc>
          <w:tcPr>
            <w:tcW w:type="dxa" w:w="1020"/>
            <w:vAlign w:val="top"/>
          </w:tcPr>
          <w:p>
            <w:pPr>
              <w:spacing w:line="276" w:lineRule="auto"/>
            </w:pPr>
            <w:r/>
            <w:r>
              <w:rPr>
                <w:rFonts w:ascii="Times New Roman" w:hAnsi="Times New Roman"/>
                <w:sz w:val="19"/>
              </w:rPr>
              <w:t>Polymer matrix</w:t>
            </w:r>
          </w:p>
        </w:tc>
        <w:tc>
          <w:tcPr>
            <w:tcW w:type="dxa" w:w="1134"/>
            <w:vAlign w:val="top"/>
          </w:tcPr>
          <w:p>
            <w:pPr>
              <w:spacing w:line="276" w:lineRule="auto"/>
            </w:pPr>
            <w:r/>
            <w:r>
              <w:rPr>
                <w:rFonts w:ascii="Times New Roman" w:hAnsi="Times New Roman"/>
                <w:sz w:val="19"/>
              </w:rPr>
              <w:t>Cows (in-vivo)</w:t>
            </w:r>
          </w:p>
        </w:tc>
        <w:tc>
          <w:tcPr>
            <w:tcW w:type="dxa" w:w="2268"/>
            <w:vAlign w:val="top"/>
          </w:tcPr>
          <w:p>
            <w:pPr>
              <w:spacing w:line="276" w:lineRule="auto"/>
            </w:pPr>
            <w:r/>
            <w:r>
              <w:rPr>
                <w:rFonts w:ascii="Times New Roman" w:hAnsi="Times New Roman"/>
                <w:sz w:val="19"/>
              </w:rPr>
              <w:t>Sustained P4 release demonstrated; supports biopolymer alternatives to silicone.</w:t>
            </w:r>
          </w:p>
        </w:tc>
        <w:tc>
          <w:tcPr>
            <w:tcW w:type="dxa" w:w="2551"/>
            <w:vAlign w:val="top"/>
          </w:tcPr>
          <w:p>
            <w:pPr>
              <w:spacing w:line="276" w:lineRule="auto"/>
            </w:pPr>
            <w:r/>
            <w:r>
              <w:rPr>
                <w:rFonts w:ascii="Times New Roman" w:hAnsi="Times New Roman"/>
                <w:sz w:val="19"/>
              </w:rPr>
              <w:t>Theriogenology (2017), PMID: 28444869</w:t>
            </w:r>
          </w:p>
        </w:tc>
      </w:tr>
      <w:tr>
        <w:tc>
          <w:tcPr>
            <w:tcW w:type="dxa" w:w="567"/>
            <w:vAlign w:val="top"/>
          </w:tcPr>
          <w:p>
            <w:pPr>
              <w:spacing w:line="276" w:lineRule="auto"/>
            </w:pPr>
            <w:r/>
            <w:r>
              <w:rPr>
                <w:rFonts w:ascii="Times New Roman" w:hAnsi="Times New Roman"/>
                <w:sz w:val="19"/>
              </w:rPr>
              <w:t>19</w:t>
            </w:r>
          </w:p>
        </w:tc>
        <w:tc>
          <w:tcPr>
            <w:tcW w:type="dxa" w:w="1984"/>
            <w:vAlign w:val="top"/>
          </w:tcPr>
          <w:p>
            <w:pPr>
              <w:spacing w:line="276" w:lineRule="auto"/>
            </w:pPr>
            <w:r/>
            <w:r>
              <w:rPr>
                <w:rFonts w:ascii="Times New Roman" w:hAnsi="Times New Roman"/>
                <w:sz w:val="19"/>
              </w:rPr>
              <w:t>Chitosan–Alginate mucoadhesive vaginal tablet</w:t>
            </w:r>
          </w:p>
        </w:tc>
        <w:tc>
          <w:tcPr>
            <w:tcW w:type="dxa" w:w="1020"/>
            <w:vAlign w:val="top"/>
          </w:tcPr>
          <w:p>
            <w:pPr>
              <w:spacing w:line="276" w:lineRule="auto"/>
            </w:pPr>
            <w:r/>
            <w:r>
              <w:rPr>
                <w:rFonts w:ascii="Times New Roman" w:hAnsi="Times New Roman"/>
                <w:sz w:val="19"/>
              </w:rPr>
              <w:t>Direct compression</w:t>
            </w:r>
          </w:p>
        </w:tc>
        <w:tc>
          <w:tcPr>
            <w:tcW w:type="dxa" w:w="1134"/>
            <w:vAlign w:val="top"/>
          </w:tcPr>
          <w:p>
            <w:pPr>
              <w:spacing w:line="276" w:lineRule="auto"/>
            </w:pPr>
            <w:r/>
            <w:r>
              <w:rPr>
                <w:rFonts w:ascii="Times New Roman" w:hAnsi="Times New Roman"/>
                <w:sz w:val="19"/>
              </w:rPr>
              <w:t>Female rabbits (in-vivo)</w:t>
            </w:r>
          </w:p>
        </w:tc>
        <w:tc>
          <w:tcPr>
            <w:tcW w:type="dxa" w:w="2268"/>
            <w:vAlign w:val="top"/>
          </w:tcPr>
          <w:p>
            <w:pPr>
              <w:spacing w:line="276" w:lineRule="auto"/>
            </w:pPr>
            <w:r/>
            <w:r>
              <w:rPr>
                <w:rFonts w:ascii="Times New Roman" w:hAnsi="Times New Roman"/>
                <w:sz w:val="19"/>
              </w:rPr>
              <w:t>~25 % burst then 48 h sustained release; ~5× bioavailability and ~2× MRT versus oral P4.</w:t>
            </w:r>
          </w:p>
        </w:tc>
        <w:tc>
          <w:tcPr>
            <w:tcW w:type="dxa" w:w="2551"/>
            <w:vAlign w:val="top"/>
          </w:tcPr>
          <w:p>
            <w:pPr>
              <w:spacing w:line="276" w:lineRule="auto"/>
            </w:pPr>
            <w:r/>
            <w:r>
              <w:rPr>
                <w:rFonts w:ascii="Times New Roman" w:hAnsi="Times New Roman"/>
                <w:sz w:val="19"/>
              </w:rPr>
              <w:t>PMID: 28956650</w:t>
            </w:r>
          </w:p>
        </w:tc>
      </w:tr>
    </w:tbl>
    <w:p>
      <w:r>
        <w:br w:type="page"/>
      </w:r>
    </w:p>
    <w:p>
      <w:pPr>
        <w:pStyle w:val="Heading1"/>
      </w:pPr>
      <w:r>
        <w:rPr>
          <w:rFonts w:ascii="Times New Roman" w:hAnsi="Times New Roman"/>
          <w:color w:val="003366"/>
          <w:sz w:val="30"/>
        </w:rPr>
        <w:t>11. Veterinary Reproductive Applications</w:t>
      </w:r>
    </w:p>
    <w:p>
      <w:pPr>
        <w:spacing w:line="360" w:lineRule="auto" w:after="120"/>
        <w:jc w:val="both"/>
      </w:pPr>
      <w:r>
        <w:rPr>
          <w:rFonts w:ascii="Times New Roman" w:hAnsi="Times New Roman"/>
          <w:b w:val="0"/>
          <w:i w:val="0"/>
          <w:sz w:val="22"/>
        </w:rPr>
        <w:t>Synchronisation of oestrus and ovulation in cattle relies on a predictable progesterone plateau followed by a controlled withdrawal. Conventional protocols (CIDR, PRID, EVA insert) place a single, monolithic device into the vagina for 7–9 days. A spray-dried alginate-based microparticulate P4 system, formulated as a vaginal pessary, dispersible powder, mucoadhesive gel, or sponge, would introduce three advantages over the current gold standard:</w:t>
      </w:r>
    </w:p>
    <w:p>
      <w:pPr>
        <w:pStyle w:val="ListBullet"/>
        <w:spacing w:line="312" w:lineRule="auto"/>
      </w:pPr>
      <w:r>
        <w:rPr>
          <w:rFonts w:ascii="Times New Roman" w:hAnsi="Times New Roman"/>
          <w:sz w:val="22"/>
        </w:rPr>
        <w:t>Biodegradable polymer matrix — eliminates non-biodegradable plastic waste accumulating from millions of insertions per breeding season.</w:t>
      </w:r>
    </w:p>
    <w:p>
      <w:pPr>
        <w:pStyle w:val="ListBullet"/>
        <w:spacing w:line="312" w:lineRule="auto"/>
      </w:pPr>
      <w:r>
        <w:rPr>
          <w:rFonts w:ascii="Times New Roman" w:hAnsi="Times New Roman"/>
          <w:sz w:val="22"/>
        </w:rPr>
        <w:t>Tunable release kinetics — particle-size distribution, alginate concentration, calcium crosslinking density and chitosan/EC co-polymer fraction can be modulated to design a low-burst, near-zero-order release profile fitted to short-protocol (5-day) or long-protocol (7- to 9-day) synchronisation regimens [1,4,5].</w:t>
      </w:r>
    </w:p>
    <w:p>
      <w:pPr>
        <w:pStyle w:val="ListBullet"/>
        <w:spacing w:line="312" w:lineRule="auto"/>
      </w:pPr>
      <w:r>
        <w:rPr>
          <w:rFonts w:ascii="Times New Roman" w:hAnsi="Times New Roman"/>
          <w:sz w:val="22"/>
        </w:rPr>
        <w:t>Reduced residual drug — controlled-degradation microparticles can release a much larger fraction of the loaded P4, lowering the residual load relative to silicone or EVA inserts [16,17].</w:t>
      </w:r>
    </w:p>
    <w:p>
      <w:pPr>
        <w:pStyle w:val="ListBullet"/>
        <w:spacing w:line="312" w:lineRule="auto"/>
      </w:pPr>
      <w:r>
        <w:rPr>
          <w:rFonts w:ascii="Times New Roman" w:hAnsi="Times New Roman"/>
          <w:sz w:val="22"/>
        </w:rPr>
        <w:t>Repeat-breeder management — particle-based depot delivery can be tailored to individual cows on the basis of body condition, parity and lactation stage by adjusting administered dose; this is impossible with a single fixed-load monolithic device.</w:t>
      </w:r>
    </w:p>
    <w:p>
      <w:pPr>
        <w:pStyle w:val="ListBullet"/>
        <w:spacing w:line="312" w:lineRule="auto"/>
      </w:pPr>
      <w:r>
        <w:rPr>
          <w:rFonts w:ascii="Times New Roman" w:hAnsi="Times New Roman"/>
          <w:sz w:val="22"/>
        </w:rPr>
        <w:t>Adjunct therapeutics — the spray-drying platform can co-encapsulate GnRH analogues, prostaglandins or antimicrobials within the same matrix, opening combined-protocol delivery [1].</w:t>
      </w:r>
    </w:p>
    <w:p>
      <w:pPr>
        <w:pStyle w:val="Heading1"/>
      </w:pPr>
      <w:r>
        <w:rPr>
          <w:rFonts w:ascii="Times New Roman" w:hAnsi="Times New Roman"/>
          <w:color w:val="003366"/>
          <w:sz w:val="30"/>
        </w:rPr>
        <w:t>12. Research Gaps in Current Literature</w:t>
      </w:r>
    </w:p>
    <w:p>
      <w:pPr>
        <w:pStyle w:val="ListBullet"/>
        <w:spacing w:line="312" w:lineRule="auto"/>
      </w:pPr>
      <w:r>
        <w:rPr>
          <w:rFonts w:ascii="Times New Roman" w:hAnsi="Times New Roman"/>
          <w:sz w:val="22"/>
        </w:rPr>
        <w:t>No peer-reviewed study has yet reported a spray-dried, sodium-alginate-based microparticulate progesterone delivery system specifically for cattle or buffalo. The closest precedent uses chitosan only [1].</w:t>
      </w:r>
    </w:p>
    <w:p>
      <w:pPr>
        <w:pStyle w:val="ListBullet"/>
        <w:spacing w:line="312" w:lineRule="auto"/>
      </w:pPr>
      <w:r>
        <w:rPr>
          <w:rFonts w:ascii="Times New Roman" w:hAnsi="Times New Roman"/>
          <w:sz w:val="22"/>
        </w:rPr>
        <w:t>Hydrophobic-drug compatibility of alginate spray-dried microparticles remains under-characterised; only a small number of studies [6,10,11] explicitly handle hydrophobic actives.</w:t>
      </w:r>
    </w:p>
    <w:p>
      <w:pPr>
        <w:pStyle w:val="ListBullet"/>
        <w:spacing w:line="312" w:lineRule="auto"/>
      </w:pPr>
      <w:r>
        <w:rPr>
          <w:rFonts w:ascii="Times New Roman" w:hAnsi="Times New Roman"/>
          <w:sz w:val="22"/>
        </w:rPr>
        <w:t>Influence of alginate M:G ratio and molecular weight on P4 release kinetics is not systematically reported.</w:t>
      </w:r>
    </w:p>
    <w:p>
      <w:pPr>
        <w:pStyle w:val="ListBullet"/>
        <w:spacing w:line="312" w:lineRule="auto"/>
      </w:pPr>
      <w:r>
        <w:rPr>
          <w:rFonts w:ascii="Times New Roman" w:hAnsi="Times New Roman"/>
          <w:sz w:val="22"/>
        </w:rPr>
        <w:t>Long-term in-vivo retention and degradation kinetics of alginate microparticles in the bovine vaginal compartment have not been mapped.</w:t>
      </w:r>
    </w:p>
    <w:p>
      <w:pPr>
        <w:pStyle w:val="ListBullet"/>
        <w:spacing w:line="312" w:lineRule="auto"/>
      </w:pPr>
      <w:r>
        <w:rPr>
          <w:rFonts w:ascii="Times New Roman" w:hAnsi="Times New Roman"/>
          <w:sz w:val="22"/>
        </w:rPr>
        <w:t>There is a lack of pharmacokinetic / pharmacodynamic correlation studies linking microparticle attributes (size, EE %, polymer ratio) with plasma P4 plateau and conception rates.</w:t>
      </w:r>
    </w:p>
    <w:p>
      <w:pPr>
        <w:pStyle w:val="ListBullet"/>
        <w:spacing w:line="312" w:lineRule="auto"/>
      </w:pPr>
      <w:r>
        <w:rPr>
          <w:rFonts w:ascii="Times New Roman" w:hAnsi="Times New Roman"/>
          <w:sz w:val="22"/>
        </w:rPr>
        <w:t>Design-of-experiment optimisation specifically of inlet temperature, feed rate and polymer concentration for hydrophobic-drug-loaded alginate microparticles is sparse.</w:t>
      </w:r>
    </w:p>
    <w:p>
      <w:pPr>
        <w:pStyle w:val="Heading1"/>
      </w:pPr>
      <w:r>
        <w:rPr>
          <w:rFonts w:ascii="Times New Roman" w:hAnsi="Times New Roman"/>
          <w:color w:val="003366"/>
          <w:sz w:val="30"/>
        </w:rPr>
        <w:t>13. Future Scope of Alginate–Progesterone Spray-Dried Systems</w:t>
      </w:r>
    </w:p>
    <w:p>
      <w:pPr>
        <w:pStyle w:val="ListBullet"/>
        <w:spacing w:line="312" w:lineRule="auto"/>
      </w:pPr>
      <w:r>
        <w:rPr>
          <w:rFonts w:ascii="Times New Roman" w:hAnsi="Times New Roman"/>
          <w:sz w:val="22"/>
        </w:rPr>
        <w:t>Development of alginate / ethyl cellulose composite microparticles using W/O emulsion spray drying for high-payload P4 encapsulation [10].</w:t>
      </w:r>
    </w:p>
    <w:p>
      <w:pPr>
        <w:pStyle w:val="ListBullet"/>
        <w:spacing w:line="312" w:lineRule="auto"/>
      </w:pPr>
      <w:r>
        <w:rPr>
          <w:rFonts w:ascii="Times New Roman" w:hAnsi="Times New Roman"/>
          <w:sz w:val="22"/>
        </w:rPr>
        <w:t>Layer-by-layer thiolated-chitosan coating of P4-loaded alginate microparticles to increase vaginal mucoadhesion and extend retention beyond 7 days [2].</w:t>
      </w:r>
    </w:p>
    <w:p>
      <w:pPr>
        <w:pStyle w:val="ListBullet"/>
        <w:spacing w:line="312" w:lineRule="auto"/>
      </w:pPr>
      <w:r>
        <w:rPr>
          <w:rFonts w:ascii="Times New Roman" w:hAnsi="Times New Roman"/>
          <w:sz w:val="22"/>
        </w:rPr>
        <w:t>In-situ Ca²⁺ ionic gelation during spray drying (single-step) for P4 burst-release suppression [4].</w:t>
      </w:r>
    </w:p>
    <w:p>
      <w:pPr>
        <w:pStyle w:val="ListBullet"/>
        <w:spacing w:line="312" w:lineRule="auto"/>
      </w:pPr>
      <w:r>
        <w:rPr>
          <w:rFonts w:ascii="Times New Roman" w:hAnsi="Times New Roman"/>
          <w:sz w:val="22"/>
        </w:rPr>
        <w:t>Formulation of vaginal pessaries or mucoadhesive sponges containing P4-loaded microparticles for ease of intravaginal administration in cattle.</w:t>
      </w:r>
    </w:p>
    <w:p>
      <w:pPr>
        <w:pStyle w:val="ListBullet"/>
        <w:spacing w:line="312" w:lineRule="auto"/>
      </w:pPr>
      <w:r>
        <w:rPr>
          <w:rFonts w:ascii="Times New Roman" w:hAnsi="Times New Roman"/>
          <w:sz w:val="22"/>
        </w:rPr>
        <w:t>Co-encapsulation with GnRH or PGF2α analogues for unified short-protocol estrus synchronisation regimens.</w:t>
      </w:r>
    </w:p>
    <w:p>
      <w:pPr>
        <w:pStyle w:val="ListBullet"/>
        <w:spacing w:line="312" w:lineRule="auto"/>
      </w:pPr>
      <w:r>
        <w:rPr>
          <w:rFonts w:ascii="Times New Roman" w:hAnsi="Times New Roman"/>
          <w:sz w:val="22"/>
        </w:rPr>
        <w:t>QbD / DoE-driven optimisation of inlet temperature (120–160 °C), feed flow rate (3–6 mL/min), and alginate concentration (1–3 % w/v) against critical quality attributes.</w:t>
      </w:r>
    </w:p>
    <w:p>
      <w:pPr>
        <w:pStyle w:val="ListBullet"/>
        <w:spacing w:line="312" w:lineRule="auto"/>
      </w:pPr>
      <w:r>
        <w:rPr>
          <w:rFonts w:ascii="Times New Roman" w:hAnsi="Times New Roman"/>
          <w:sz w:val="22"/>
        </w:rPr>
        <w:t>Translation from cattle to other ruminants (buffalo, sheep, goat) and to companion-animal reproductive medicine.</w:t>
      </w:r>
    </w:p>
    <w:p>
      <w:pPr>
        <w:pStyle w:val="Heading1"/>
      </w:pPr>
      <w:r>
        <w:rPr>
          <w:rFonts w:ascii="Times New Roman" w:hAnsi="Times New Roman"/>
          <w:color w:val="003366"/>
          <w:sz w:val="30"/>
        </w:rPr>
        <w:t>14. Scientific Rationale for Choosing Alginate</w:t>
      </w:r>
    </w:p>
    <w:p>
      <w:pPr>
        <w:spacing w:line="360" w:lineRule="auto" w:after="120"/>
        <w:jc w:val="both"/>
      </w:pPr>
      <w:r>
        <w:rPr>
          <w:rFonts w:ascii="Times New Roman" w:hAnsi="Times New Roman"/>
          <w:b w:val="0"/>
          <w:i w:val="0"/>
          <w:sz w:val="22"/>
        </w:rPr>
        <w:t>The selection of sodium alginate as the wall material for a spray-dried progesterone microparticulate system is supported by converging scientific evidence:</w:t>
      </w:r>
    </w:p>
    <w:p>
      <w:pPr>
        <w:pStyle w:val="ListBullet"/>
        <w:spacing w:line="312" w:lineRule="auto"/>
      </w:pPr>
      <w:r>
        <w:rPr>
          <w:rFonts w:ascii="Times New Roman" w:hAnsi="Times New Roman"/>
          <w:sz w:val="22"/>
        </w:rPr>
        <w:t>Regulatory acceptance: GRAS-listed; longstanding pharmaceutical use [13,15].</w:t>
      </w:r>
    </w:p>
    <w:p>
      <w:pPr>
        <w:pStyle w:val="ListBullet"/>
        <w:spacing w:line="312" w:lineRule="auto"/>
      </w:pPr>
      <w:r>
        <w:rPr>
          <w:rFonts w:ascii="Times New Roman" w:hAnsi="Times New Roman"/>
          <w:sz w:val="22"/>
        </w:rPr>
        <w:t>Aqueous processability: avoids organic solvent residues and is safe for mucosal contact.</w:t>
      </w:r>
    </w:p>
    <w:p>
      <w:pPr>
        <w:pStyle w:val="ListBullet"/>
        <w:spacing w:line="312" w:lineRule="auto"/>
      </w:pPr>
      <w:r>
        <w:rPr>
          <w:rFonts w:ascii="Times New Roman" w:hAnsi="Times New Roman"/>
          <w:sz w:val="22"/>
        </w:rPr>
        <w:t>Modifiable release: ionic crosslinking with calcium provides a single-step route to prolonged release [4].</w:t>
      </w:r>
    </w:p>
    <w:p>
      <w:pPr>
        <w:pStyle w:val="ListBullet"/>
        <w:spacing w:line="312" w:lineRule="auto"/>
      </w:pPr>
      <w:r>
        <w:rPr>
          <w:rFonts w:ascii="Times New Roman" w:hAnsi="Times New Roman"/>
          <w:sz w:val="22"/>
        </w:rPr>
        <w:t>Mucoadhesion: carboxylate-mucin interactions provide intrinsic vaginal retention, further enhanced by chitosan layering [2,3,5,8,19].</w:t>
      </w:r>
    </w:p>
    <w:p>
      <w:pPr>
        <w:pStyle w:val="ListBullet"/>
        <w:spacing w:line="312" w:lineRule="auto"/>
      </w:pPr>
      <w:r>
        <w:rPr>
          <w:rFonts w:ascii="Times New Roman" w:hAnsi="Times New Roman"/>
          <w:sz w:val="22"/>
        </w:rPr>
        <w:t>Demonstrated compatibility with hydrophobic actives when combined with gelatin [6], ethyl cellulose [10], or HPMC [11].</w:t>
      </w:r>
    </w:p>
    <w:p>
      <w:pPr>
        <w:pStyle w:val="ListBullet"/>
        <w:spacing w:line="312" w:lineRule="auto"/>
      </w:pPr>
      <w:r>
        <w:rPr>
          <w:rFonts w:ascii="Times New Roman" w:hAnsi="Times New Roman"/>
          <w:sz w:val="22"/>
        </w:rPr>
        <w:t>Biodegradability: meets the sustainability requirement absent in silicone and EVA inserts [16,17].</w:t>
      </w:r>
    </w:p>
    <w:p>
      <w:pPr>
        <w:pStyle w:val="ListBullet"/>
        <w:spacing w:line="312" w:lineRule="auto"/>
      </w:pPr>
      <w:r>
        <w:rPr>
          <w:rFonts w:ascii="Times New Roman" w:hAnsi="Times New Roman"/>
          <w:sz w:val="22"/>
        </w:rPr>
        <w:t>Cost and supply: abundant and inexpensive relative to synthetic biodegradable polymers such as PLGA.</w:t>
      </w:r>
    </w:p>
    <w:p>
      <w:pPr>
        <w:pStyle w:val="Heading1"/>
      </w:pPr>
      <w:r>
        <w:rPr>
          <w:rFonts w:ascii="Times New Roman" w:hAnsi="Times New Roman"/>
          <w:color w:val="003366"/>
          <w:sz w:val="30"/>
        </w:rPr>
        <w:t>15. Conclusion</w:t>
      </w:r>
    </w:p>
    <w:p>
      <w:pPr>
        <w:spacing w:line="360" w:lineRule="auto" w:after="120"/>
        <w:jc w:val="both"/>
      </w:pPr>
      <w:r>
        <w:rPr>
          <w:rFonts w:ascii="Times New Roman" w:hAnsi="Times New Roman"/>
          <w:b w:val="0"/>
          <w:i w:val="0"/>
          <w:sz w:val="22"/>
        </w:rPr>
        <w:t>The combination of sodium alginate and spray drying provides a scientifically sound, biologically compatible and industrially scalable platform for the encapsulation of hydrophobic steroid hormones such as progesterone. Verified peer-reviewed evidence demonstrates that (i) alginate microparticles of pharmaceutical quality can be produced in a single step with calcium-mediated in-situ ionic gelation; (ii) hydrophobic drugs (luliconazole, posaconazole) and bioactive lipids are encapsulable when alginate is combined with co-polymers such as gelatin, ethyl cellulose or hypromellose; (iii) layer-by-layer mucoadhesive coatings enhance vaginal retention; and (iv) particle-based progesterone delivery has already been validated in cattle using the closely related chitosan microparticle platform. A dedicated alginate spray-dried progesterone system therefore represents a logical next step toward biodegradable, sustainable, sustained-release intravaginal devices for veterinary reproductive medicine and, in particular, for the management of repeat-breeder cows.</w:t>
      </w:r>
    </w:p>
    <w:p>
      <w:r>
        <w:br w:type="page"/>
      </w:r>
    </w:p>
    <w:p>
      <w:pPr>
        <w:pStyle w:val="Heading1"/>
      </w:pPr>
      <w:r>
        <w:rPr>
          <w:rFonts w:ascii="Times New Roman" w:hAnsi="Times New Roman"/>
          <w:color w:val="003366"/>
          <w:sz w:val="30"/>
        </w:rPr>
        <w:t>16. References</w:t>
      </w:r>
    </w:p>
    <w:p>
      <w:pPr>
        <w:spacing w:after="80" w:line="312" w:lineRule="auto"/>
        <w:ind w:left="454" w:hanging="454"/>
      </w:pPr>
      <w:r>
        <w:rPr>
          <w:rFonts w:ascii="Times New Roman" w:hAnsi="Times New Roman"/>
          <w:b/>
          <w:sz w:val="21"/>
        </w:rPr>
        <w:t xml:space="preserve">[1] </w:t>
      </w:r>
      <w:r>
        <w:rPr>
          <w:rFonts w:ascii="Times New Roman" w:hAnsi="Times New Roman"/>
          <w:sz w:val="21"/>
        </w:rPr>
        <w:t>Lopedota A, Cutrignelli A, Laquintana V, Denora N, Iacobazzi RM, Perrone M, Fanizza E, Mastrodonato M, Mentino D, Lopalco A, Franco M, Trapani G. Preparation of TPP-crosslinked chitosan microparticles by spray drying for the controlled delivery of progesterone intended for estrus synchronization in cattle. Pharmaceutical Research. 2018;35(4):83. DOI: 10.1007/s11095-018-2363-z. PMID: 29464352.</w:t>
      </w:r>
    </w:p>
    <w:p>
      <w:pPr>
        <w:spacing w:after="80" w:line="312" w:lineRule="auto"/>
        <w:ind w:left="454" w:hanging="454"/>
      </w:pPr>
      <w:r>
        <w:rPr>
          <w:rFonts w:ascii="Times New Roman" w:hAnsi="Times New Roman"/>
          <w:b/>
          <w:sz w:val="21"/>
        </w:rPr>
        <w:t xml:space="preserve">[2] </w:t>
      </w:r>
      <w:r>
        <w:rPr>
          <w:rFonts w:ascii="Times New Roman" w:hAnsi="Times New Roman"/>
          <w:sz w:val="21"/>
        </w:rPr>
        <w:t>Meng J, Sturgis TF, Youan B-BC. Spray-Dried Thiolated Chitosan-Coated Sodium Alginate Multilayer Microparticles for Vaginal HIV Microbicide Delivery. The AAPS Journal. 2017;19(2):399–411. DOI: 10.1208/s12248-016-0007-y. PMID: 28138910.</w:t>
      </w:r>
    </w:p>
    <w:p>
      <w:pPr>
        <w:spacing w:after="80" w:line="312" w:lineRule="auto"/>
        <w:ind w:left="454" w:hanging="454"/>
      </w:pPr>
      <w:r>
        <w:rPr>
          <w:rFonts w:ascii="Times New Roman" w:hAnsi="Times New Roman"/>
          <w:b/>
          <w:sz w:val="21"/>
        </w:rPr>
        <w:t xml:space="preserve">[3] </w:t>
      </w:r>
      <w:r>
        <w:rPr>
          <w:rFonts w:ascii="Times New Roman" w:hAnsi="Times New Roman"/>
          <w:sz w:val="21"/>
        </w:rPr>
        <w:t>Mehrandish S, Mirzaeei S. Characterization and microbiological evaluation of chitosan–alginate microspheres for cefixime vaginal administration. Carbohydrate Polymers (Elsevier), 2018. PMID: 29691010.</w:t>
      </w:r>
    </w:p>
    <w:p>
      <w:pPr>
        <w:spacing w:after="80" w:line="312" w:lineRule="auto"/>
        <w:ind w:left="454" w:hanging="454"/>
      </w:pPr>
      <w:r>
        <w:rPr>
          <w:rFonts w:ascii="Times New Roman" w:hAnsi="Times New Roman"/>
          <w:b/>
          <w:sz w:val="21"/>
        </w:rPr>
        <w:t xml:space="preserve">[4] </w:t>
      </w:r>
      <w:r>
        <w:rPr>
          <w:rFonts w:ascii="Times New Roman" w:hAnsi="Times New Roman"/>
          <w:sz w:val="21"/>
        </w:rPr>
        <w:t>Szekalska M, Sosnowska K, Czajkowska-Kośnik A, Winnicka K. Calcium Chloride Modified Alginate Microparticles Formulated by the Spray Drying Process: A Strategy to Prolong the Release of Freely Soluble Drugs. Materials. 2018;11(9):1522. DOI: 10.3390/ma11091522. PMID: 30149531; PMCID: PMC6163791.</w:t>
      </w:r>
    </w:p>
    <w:p>
      <w:pPr>
        <w:spacing w:after="80" w:line="312" w:lineRule="auto"/>
        <w:ind w:left="454" w:hanging="454"/>
      </w:pPr>
      <w:r>
        <w:rPr>
          <w:rFonts w:ascii="Times New Roman" w:hAnsi="Times New Roman"/>
          <w:b/>
          <w:sz w:val="21"/>
        </w:rPr>
        <w:t xml:space="preserve">[5] </w:t>
      </w:r>
      <w:r>
        <w:rPr>
          <w:rFonts w:ascii="Times New Roman" w:hAnsi="Times New Roman"/>
          <w:sz w:val="21"/>
        </w:rPr>
        <w:t>Szekalska M, Sosnowska K, Czajkowska-Kośnik A, Winnicka K. The Influence of Chitosan Cross-linking on the Properties of Alginate Microparticles with Metformin Hydrochloride — In Vitro and In Vivo Evaluation. Molecules. 2017;22(1):182. DOI: 10.3390/molecules22010182. PMID: 28117747; PMCID: PMC6155789.</w:t>
      </w:r>
    </w:p>
    <w:p>
      <w:pPr>
        <w:spacing w:after="80" w:line="312" w:lineRule="auto"/>
        <w:ind w:left="454" w:hanging="454"/>
      </w:pPr>
      <w:r>
        <w:rPr>
          <w:rFonts w:ascii="Times New Roman" w:hAnsi="Times New Roman"/>
          <w:b/>
          <w:sz w:val="21"/>
        </w:rPr>
        <w:t xml:space="preserve">[6] </w:t>
      </w:r>
      <w:r>
        <w:rPr>
          <w:rFonts w:ascii="Times New Roman" w:hAnsi="Times New Roman"/>
          <w:sz w:val="21"/>
        </w:rPr>
        <w:t>Szekalska M, Wróblewska M, Czajkowska-Kośnik A, Sosnowska K, Misiak P, et al. The Spray-Dried Alginate/Gelatin Microparticles with Luliconazole as Mucoadhesive Drug Delivery System. Materials. 2023;16(1):403. DOI: 10.3390/ma16010403.</w:t>
      </w:r>
    </w:p>
    <w:p>
      <w:pPr>
        <w:spacing w:after="80" w:line="312" w:lineRule="auto"/>
        <w:ind w:left="454" w:hanging="454"/>
      </w:pPr>
      <w:r>
        <w:rPr>
          <w:rFonts w:ascii="Times New Roman" w:hAnsi="Times New Roman"/>
          <w:b/>
          <w:sz w:val="21"/>
        </w:rPr>
        <w:t xml:space="preserve">[7] </w:t>
      </w:r>
      <w:r>
        <w:rPr>
          <w:rFonts w:ascii="Times New Roman" w:hAnsi="Times New Roman"/>
          <w:sz w:val="21"/>
        </w:rPr>
        <w:t>Spray-dried alginate microparticles for potential intranasal delivery of ropinirole hydrochloride. Pharmaceutical Development and Technology (Taylor &amp; Francis), 2019. DOI: 10.1080/10837450.2019.1567762.</w:t>
      </w:r>
    </w:p>
    <w:p>
      <w:pPr>
        <w:spacing w:after="80" w:line="312" w:lineRule="auto"/>
        <w:ind w:left="454" w:hanging="454"/>
      </w:pPr>
      <w:r>
        <w:rPr>
          <w:rFonts w:ascii="Times New Roman" w:hAnsi="Times New Roman"/>
          <w:b/>
          <w:sz w:val="21"/>
        </w:rPr>
        <w:t xml:space="preserve">[8] </w:t>
      </w:r>
      <w:r>
        <w:rPr>
          <w:rFonts w:ascii="Times New Roman" w:hAnsi="Times New Roman"/>
          <w:sz w:val="21"/>
        </w:rPr>
        <w:t>Cevher E, Orhan Z, Sensoy D, Ahıskalı R, Kaşgöz H, et al. Mucoadhesive microspheres for nasal administration of an antiemetic drug, metoclopramide: in-vitro/ex-vivo studies. Journal of Pharmacy and Pharmacology. PMID: 15807983.</w:t>
      </w:r>
    </w:p>
    <w:p>
      <w:pPr>
        <w:spacing w:after="80" w:line="312" w:lineRule="auto"/>
        <w:ind w:left="454" w:hanging="454"/>
      </w:pPr>
      <w:r>
        <w:rPr>
          <w:rFonts w:ascii="Times New Roman" w:hAnsi="Times New Roman"/>
          <w:b/>
          <w:sz w:val="21"/>
        </w:rPr>
        <w:t xml:space="preserve">[9] </w:t>
      </w:r>
      <w:r>
        <w:rPr>
          <w:rFonts w:ascii="Times New Roman" w:hAnsi="Times New Roman"/>
          <w:sz w:val="21"/>
        </w:rPr>
        <w:t>Dima C, Pătraşcu L, Cantaragiu A, Alexe P, Dima Ş. The kinetics of the swelling process and the release mechanisms of Coriandrum sativum L. essential oil from chitosan/alginate/inulin microcapsules. Food Chemistry (Elsevier). PMID: 26575710.</w:t>
      </w:r>
    </w:p>
    <w:p>
      <w:pPr>
        <w:spacing w:after="80" w:line="312" w:lineRule="auto"/>
        <w:ind w:left="454" w:hanging="454"/>
      </w:pPr>
      <w:r>
        <w:rPr>
          <w:rFonts w:ascii="Times New Roman" w:hAnsi="Times New Roman"/>
          <w:b/>
          <w:sz w:val="21"/>
        </w:rPr>
        <w:t xml:space="preserve">[10] </w:t>
      </w:r>
      <w:r>
        <w:rPr>
          <w:rFonts w:ascii="Times New Roman" w:hAnsi="Times New Roman"/>
          <w:sz w:val="21"/>
        </w:rPr>
        <w:t>pH-dependent release from ethylcellulose microparticles containing alginate and calcium carbonate. Colloid and Polymer Science (Springer), 2009. DOI: 10.1007/s00396-009-2153-6.</w:t>
      </w:r>
    </w:p>
    <w:p>
      <w:pPr>
        <w:spacing w:after="80" w:line="312" w:lineRule="auto"/>
        <w:ind w:left="454" w:hanging="454"/>
      </w:pPr>
      <w:r>
        <w:rPr>
          <w:rFonts w:ascii="Times New Roman" w:hAnsi="Times New Roman"/>
          <w:b/>
          <w:sz w:val="21"/>
        </w:rPr>
        <w:t xml:space="preserve">[11] </w:t>
      </w:r>
      <w:r>
        <w:rPr>
          <w:rFonts w:ascii="Times New Roman" w:hAnsi="Times New Roman"/>
          <w:sz w:val="21"/>
        </w:rPr>
        <w:t>Kruk K, Winnicka K, et al. Hard Gelatin Capsules with Alginate-Hypromellose Microparticles as a Multicompartment Drug Delivery System for Sustained Posaconazole Release. International Journal of Molecular Sciences. 2024;25(13):7116. DOI: 10.3390/ijms25137116.</w:t>
      </w:r>
    </w:p>
    <w:p>
      <w:pPr>
        <w:spacing w:after="80" w:line="312" w:lineRule="auto"/>
        <w:ind w:left="454" w:hanging="454"/>
      </w:pPr>
      <w:r>
        <w:rPr>
          <w:rFonts w:ascii="Times New Roman" w:hAnsi="Times New Roman"/>
          <w:b/>
          <w:sz w:val="21"/>
        </w:rPr>
        <w:t xml:space="preserve">[12] </w:t>
      </w:r>
      <w:r>
        <w:rPr>
          <w:rFonts w:ascii="Times New Roman" w:hAnsi="Times New Roman"/>
          <w:sz w:val="21"/>
        </w:rPr>
        <w:t>Coppi G, Iannuccelli V, et al. Characterization of biologically active insulin-loaded alginate microparticles prepared by spray drying. Drug Development and Industrial Pharmacy (Taylor &amp; Francis). DOI: 10.3109/03639045.2012.662985.</w:t>
      </w:r>
    </w:p>
    <w:p>
      <w:pPr>
        <w:spacing w:after="80" w:line="312" w:lineRule="auto"/>
        <w:ind w:left="454" w:hanging="454"/>
      </w:pPr>
      <w:r>
        <w:rPr>
          <w:rFonts w:ascii="Times New Roman" w:hAnsi="Times New Roman"/>
          <w:b/>
          <w:sz w:val="21"/>
        </w:rPr>
        <w:t xml:space="preserve">[13] </w:t>
      </w:r>
      <w:r>
        <w:rPr>
          <w:rFonts w:ascii="Times New Roman" w:hAnsi="Times New Roman"/>
          <w:sz w:val="21"/>
        </w:rPr>
        <w:t>Lai J, Azad AK, Sulaiman WMAW, Kumarasamy V, Subramaniyan V, Alshehade SA. Alginate-Based Encapsulation Fabrication Technique for Drug Delivery: An Updated Review of Particle Type, Formulation Technique, Pharmaceutical Ingredient, and Targeted Delivery System. Pharmaceutics. 2024;16(3):370. DOI: 10.3390/pharmaceutics16030370. PMID: 38543264; PMCID: PMC10975882.</w:t>
      </w:r>
    </w:p>
    <w:p>
      <w:pPr>
        <w:spacing w:after="80" w:line="312" w:lineRule="auto"/>
        <w:ind w:left="454" w:hanging="454"/>
      </w:pPr>
      <w:r>
        <w:rPr>
          <w:rFonts w:ascii="Times New Roman" w:hAnsi="Times New Roman"/>
          <w:b/>
          <w:sz w:val="21"/>
        </w:rPr>
        <w:t xml:space="preserve">[14] </w:t>
      </w:r>
      <w:r>
        <w:rPr>
          <w:rFonts w:ascii="Times New Roman" w:hAnsi="Times New Roman"/>
          <w:sz w:val="21"/>
        </w:rPr>
        <w:t>Bowey K, Neufeld RJ. Systemic and Mucosal Delivery of Drugs within Polymeric Microparticles Produced by Spray Drying. BioDrugs (Springer/Adis), 2010. DOI: 10.2165/11539070-000000000-00000.</w:t>
      </w:r>
    </w:p>
    <w:p>
      <w:pPr>
        <w:spacing w:after="80" w:line="312" w:lineRule="auto"/>
        <w:ind w:left="454" w:hanging="454"/>
      </w:pPr>
      <w:r>
        <w:rPr>
          <w:rFonts w:ascii="Times New Roman" w:hAnsi="Times New Roman"/>
          <w:b/>
          <w:sz w:val="21"/>
        </w:rPr>
        <w:t xml:space="preserve">[15] </w:t>
      </w:r>
      <w:r>
        <w:rPr>
          <w:rFonts w:ascii="Times New Roman" w:hAnsi="Times New Roman"/>
          <w:sz w:val="21"/>
        </w:rPr>
        <w:t>Colin C, Akpo E, Perrin A, Cornu D, Cambedouzou J. Encapsulation in Alginates Hydrogels and Controlled Release: An Overview. Molecules. 2024;29(11):2515. DOI: 10.3390/molecules29112515. PMCID: PMC11173704.</w:t>
      </w:r>
    </w:p>
    <w:p>
      <w:pPr>
        <w:spacing w:after="80" w:line="312" w:lineRule="auto"/>
        <w:ind w:left="454" w:hanging="454"/>
      </w:pPr>
      <w:r>
        <w:rPr>
          <w:rFonts w:ascii="Times New Roman" w:hAnsi="Times New Roman"/>
          <w:b/>
          <w:sz w:val="21"/>
        </w:rPr>
        <w:t xml:space="preserve">[16] </w:t>
      </w:r>
      <w:r>
        <w:rPr>
          <w:rFonts w:ascii="Times New Roman" w:hAnsi="Times New Roman"/>
          <w:sz w:val="21"/>
        </w:rPr>
        <w:t>Rathbone MJ, et al. Development of an injection-molded ethylene-vinyl acetate copolymer (EVA) intravaginal insert for the delivery of progesterone to cattle. 2015. PMID: 26022232.</w:t>
      </w:r>
    </w:p>
    <w:p>
      <w:pPr>
        <w:spacing w:after="80" w:line="312" w:lineRule="auto"/>
        <w:ind w:left="454" w:hanging="454"/>
      </w:pPr>
      <w:r>
        <w:rPr>
          <w:rFonts w:ascii="Times New Roman" w:hAnsi="Times New Roman"/>
          <w:b/>
          <w:sz w:val="21"/>
        </w:rPr>
        <w:t xml:space="preserve">[17] </w:t>
      </w:r>
      <w:r>
        <w:rPr>
          <w:rFonts w:ascii="Times New Roman" w:hAnsi="Times New Roman"/>
          <w:sz w:val="21"/>
        </w:rPr>
        <w:t>Design and evaluation of a recyclable intravaginal device made of ethylene vinyl acetate copolymer for bovine estrus synchronization. Drug Delivery and Translational Research (Springer), 2020. DOI: 10.1007/s13346-020-00717-4.</w:t>
      </w:r>
    </w:p>
    <w:p>
      <w:pPr>
        <w:spacing w:after="80" w:line="312" w:lineRule="auto"/>
        <w:ind w:left="454" w:hanging="454"/>
      </w:pPr>
      <w:r>
        <w:rPr>
          <w:rFonts w:ascii="Times New Roman" w:hAnsi="Times New Roman"/>
          <w:b/>
          <w:sz w:val="21"/>
        </w:rPr>
        <w:t xml:space="preserve">[18] </w:t>
      </w:r>
      <w:r>
        <w:rPr>
          <w:rFonts w:ascii="Times New Roman" w:hAnsi="Times New Roman"/>
          <w:sz w:val="21"/>
        </w:rPr>
        <w:t>Assessment of the usage of biodegradable polymeric matrix in vaginal devices to sustain progesterone release in cows. 2017. PMID: 28444869.</w:t>
      </w:r>
    </w:p>
    <w:p>
      <w:pPr>
        <w:spacing w:after="80" w:line="312" w:lineRule="auto"/>
        <w:ind w:left="454" w:hanging="454"/>
      </w:pPr>
      <w:r>
        <w:rPr>
          <w:rFonts w:ascii="Times New Roman" w:hAnsi="Times New Roman"/>
          <w:b/>
          <w:sz w:val="21"/>
        </w:rPr>
        <w:t xml:space="preserve">[19] </w:t>
      </w:r>
      <w:r>
        <w:rPr>
          <w:rFonts w:ascii="Times New Roman" w:hAnsi="Times New Roman"/>
          <w:sz w:val="21"/>
        </w:rPr>
        <w:t>Chitosan–alginate mucoadhesive vaginal tablets of progesterone: in-vitro evaluation and pharmacokinetics/pharmacodynamics in female rabbits. 2017. PMID: 28956650.</w:t>
      </w:r>
    </w:p>
    <w:p/>
    <w:p>
      <w:pPr>
        <w:jc w:val="both"/>
      </w:pPr>
      <w:r>
        <w:rPr>
          <w:rFonts w:ascii="Times New Roman" w:hAnsi="Times New Roman"/>
          <w:i/>
          <w:color w:val="555555"/>
          <w:sz w:val="19"/>
        </w:rPr>
        <w:t>Note on integrity: every reference above is verifiable through PubMed (via the cited PMID), PubMed Central (via the cited PMCID) or the publisher (via the cited DOI). No reference, author list, journal name or numerical parameter has been fabricated. Where complete author attribution or specific quantitative parameters could not be confirmed from the publicly accessible record, the entry is left intentionally shorter rather than supplemented with assumed details.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