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F4E78"/>
          <w:sz w:val="40"/>
        </w:rPr>
        <w:t>RESEARCH SYNOPSIS</w:t>
      </w:r>
    </w:p>
    <w:p>
      <w:pPr>
        <w:jc w:val="center"/>
      </w:pPr>
      <w:r>
        <w:rPr>
          <w:i/>
          <w:sz w:val="24"/>
        </w:rPr>
        <w:t>Submitted in partial fulfilment of the requirements</w:t>
        <w:br/>
        <w:t>for the degree of</w:t>
        <w:br/>
        <w:t>Master of Veterinary Science / Doctor of Philosophy</w:t>
        <w:br/>
        <w:t>(Animal Reproduction, Gynaecology and Obstetrics)</w:t>
      </w:r>
    </w:p>
    <w:p/>
    <w:p/>
    <w:p>
      <w:pPr>
        <w:jc w:val="center"/>
      </w:pPr>
      <w:r>
        <w:rPr>
          <w:rFonts w:ascii="Times New Roman" w:hAnsi="Times New Roman"/>
          <w:b/>
          <w:color w:val="1F1F1F"/>
          <w:sz w:val="36"/>
        </w:rPr>
        <w:t>Biopolymers Compatible for Progesterone Encapsulation using the Spray Drying Method</w:t>
      </w:r>
    </w:p>
    <w:p/>
    <w:p/>
    <w:p/>
    <w:tbl>
      <w:tblPr>
        <w:tblW w:type="auto" w:w="0"/>
        <w:jc w:val="center"/>
        <w:tblLook w:firstColumn="1" w:firstRow="1" w:lastColumn="0" w:lastRow="0" w:noHBand="0" w:noVBand="1" w:val="04A0"/>
      </w:tblPr>
      <w:tblGrid>
        <w:gridCol w:w="4561"/>
        <w:gridCol w:w="4561"/>
      </w:tblGrid>
      <w:tr>
        <w:tc>
          <w:tcPr>
            <w:tcW w:type="dxa" w:w="4561"/>
            <w:vAlign w:val="center"/>
          </w:tcPr>
          <w:p>
            <w:pPr>
              <w:spacing w:after="0"/>
              <w:jc w:val="left"/>
            </w:pPr>
            <w:r>
              <w:rPr>
                <w:rFonts w:ascii="Times New Roman" w:hAnsi="Times New Roman"/>
                <w:b/>
                <w:sz w:val="24"/>
              </w:rPr>
              <w:t>Submitted by</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Registration / Roll No.</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Major Advisor / Guide</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Co-Advisor</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Department</w:t>
            </w:r>
          </w:p>
        </w:tc>
        <w:tc>
          <w:tcPr>
            <w:tcW w:type="dxa" w:w="4561"/>
            <w:vAlign w:val="center"/>
          </w:tcPr>
          <w:p>
            <w:pPr>
              <w:spacing w:after="0"/>
              <w:jc w:val="left"/>
            </w:pPr>
            <w:r>
              <w:rPr>
                <w:rFonts w:ascii="Times New Roman" w:hAnsi="Times New Roman"/>
                <w:b w:val="0"/>
                <w:sz w:val="24"/>
              </w:rPr>
              <w:t>Animal Reproduction, Gynaecology and Obstetrics</w:t>
            </w:r>
          </w:p>
        </w:tc>
      </w:tr>
      <w:tr>
        <w:tc>
          <w:tcPr>
            <w:tcW w:type="dxa" w:w="4561"/>
            <w:vAlign w:val="center"/>
          </w:tcPr>
          <w:p>
            <w:pPr>
              <w:spacing w:after="0"/>
              <w:jc w:val="left"/>
            </w:pPr>
            <w:r>
              <w:rPr>
                <w:rFonts w:ascii="Times New Roman" w:hAnsi="Times New Roman"/>
                <w:b/>
                <w:sz w:val="24"/>
              </w:rPr>
              <w:t>College / Institute</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University</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Year of Submission</w:t>
            </w:r>
          </w:p>
        </w:tc>
        <w:tc>
          <w:tcPr>
            <w:tcW w:type="dxa" w:w="4561"/>
            <w:vAlign w:val="center"/>
          </w:tcPr>
          <w:p>
            <w:pPr>
              <w:spacing w:after="0"/>
              <w:jc w:val="left"/>
            </w:pPr>
            <w:r>
              <w:rPr>
                <w:rFonts w:ascii="Times New Roman" w:hAnsi="Times New Roman"/>
                <w:b w:val="0"/>
                <w:sz w:val="24"/>
              </w:rPr>
              <w:t>____________________________________</w:t>
            </w:r>
          </w:p>
        </w:tc>
      </w:tr>
    </w:tbl>
    <w:p>
      <w:r>
        <w:br w:type="page"/>
      </w:r>
    </w:p>
    <w:p>
      <w:pPr>
        <w:pStyle w:val="Heading1"/>
        <w:jc w:val="left"/>
      </w:pPr>
      <w:r>
        <w:t>1. INTRODUCTION</w:t>
      </w:r>
    </w:p>
    <w:p>
      <w:r>
        <w:rPr>
          <w:rFonts w:ascii="Times New Roman" w:hAnsi="Times New Roman"/>
          <w:b w:val="0"/>
          <w:i w:val="0"/>
        </w:rPr>
        <w:t>Progesterone (P4), a C21 pregnane steroid synthesised principally by the corpus luteum and, during pregnancy, by the placenta, is the central regulator of the oestrous and menstrual cycles, the establishment and maintenance of pregnancy, and uterine quiescence. In veterinary reproductive practice, exogenous progesterone supplementation underpins almost every protocol for oestrus synchronisation, fixed-time artificial insemination, treatment of post-partum anoestrus, and management of repeat-breeding in cattle, buffalo, sheep and goats [1,8,9].</w:t>
      </w:r>
    </w:p>
    <w:p>
      <w:r>
        <w:rPr>
          <w:rFonts w:ascii="Times New Roman" w:hAnsi="Times New Roman"/>
          <w:b w:val="0"/>
          <w:i w:val="0"/>
        </w:rPr>
        <w:t>Despite its physiological importance, progesterone is a Biopharmaceutics Classification System Class II molecule: it exhibits very low aqueous solubility (approximately 8.8 mg/L at 25 deg C), high lipophilicity (log P approximately 3.9), extensive first-pass hepatic metabolism, and a short circulating half-life. Conventional dosage forms therefore deliver poor and erratic systemic exposure when given orally, and parenteral oily depot injections produce unpredictable plasma profiles with frequent injection-site reactions [2,3].</w:t>
      </w:r>
    </w:p>
    <w:p>
      <w:r>
        <w:rPr>
          <w:rFonts w:ascii="Times New Roman" w:hAnsi="Times New Roman"/>
          <w:b w:val="0"/>
          <w:i w:val="0"/>
        </w:rPr>
        <w:t>These pharmacokinetic limitations have driven the development of intravaginal controlled-release devices, of which the Controlled Internal Drug Release (CIDR) insert and the Progesterone Releasing Intravaginal Device (PRID) are the most widely adopted. Both are based on silicone elastomer matrices loaded with crystalline progesterone and have transformed reproductive management in dairy and beef herds. However, these devices are non-biodegradable, relatively expensive, exhibit a substantial initial burst, suffer progressive payload exhaustion over the seven- to nine-day treatment window, and generate non-recyclable polymer waste after use [8,9,10].</w:t>
      </w:r>
    </w:p>
    <w:p>
      <w:r>
        <w:rPr>
          <w:rFonts w:ascii="Times New Roman" w:hAnsi="Times New Roman"/>
          <w:b w:val="0"/>
          <w:i w:val="0"/>
        </w:rPr>
        <w:t>Microparticulate biopolymer-based delivery systems offer a fundamentally different paradigm: progesterone is dispersed at molecular or sub-micron scale within a biocompatible, biodegradable polymer matrix that protects the steroid from premature degradation, modulates its diffusion, and is ultimately metabolised by the host tissue [14,17,18,19]. Such systems can in principle be administered intravaginally, intrauterinely, subcutaneously or even orally, depending on the polymer chosen, and can be tuned to deliver first-order, zero-order or pulsatile release profiles.</w:t>
      </w:r>
    </w:p>
    <w:p>
      <w:r>
        <w:rPr>
          <w:rFonts w:ascii="Times New Roman" w:hAnsi="Times New Roman"/>
          <w:b w:val="0"/>
          <w:i w:val="0"/>
        </w:rPr>
        <w:t>Among the available encapsulation technologies, spray drying is uniquely attractive for hormone delivery because it converts a liquid feed into a dry, free-flowing microparticulate powder in a single, continuous, organic-solvent-tolerant operation. It is scalable from milligram laboratory batches (Buchi B-290, Buchi B-90 Nano) to multi-tonne industrial throughput, gives narrow particle size distributions, achieves high encapsulation efficiency for lipophilic actives such as progesterone, and produces particles with low residual moisture and high storage stability [1,3,4,5,11]. Critically, the residence time of any given droplet inside the drying chamber is on the order of seconds, so the active ingredient is exposed to elevated temperature only briefly, which protects thermally sensitive steroids during processing [3].</w:t>
      </w:r>
    </w:p>
    <w:p>
      <w:r>
        <w:rPr>
          <w:rFonts w:ascii="Times New Roman" w:hAnsi="Times New Roman"/>
          <w:b w:val="0"/>
          <w:i w:val="0"/>
        </w:rPr>
        <w:t>The performance of a spray-dried progesterone microparticle, however, is dictated less by the dryer than by the choice of wall material. The ideal biopolymer must dissolve or disperse in a feed system in which progesterone can also be molecularly dispersed, must form a coherent, low-permeability shell around the drug, must be biocompatible and biodegradable, must be available at pharmaceutical or food grade, and must be amenable to the high shear and atomisation pressure encountered in the dryer. No single polymer simultaneously satisfies every one of these requirements, which is why systematic compatibility screening of biopolymers with progesterone is a precondition for any rational formulation programme [2,6,11,15,16,17,18,19].</w:t>
      </w:r>
    </w:p>
    <w:p>
      <w:r>
        <w:rPr>
          <w:rFonts w:ascii="Times New Roman" w:hAnsi="Times New Roman"/>
          <w:b w:val="0"/>
          <w:i w:val="0"/>
        </w:rPr>
        <w:t>The present study is conceived against this background. It seeks to identify, formulate and characterise progesterone-loaded microparticles produced by spray drying using a panel of biocompatible, biodegradable polymers of natural, synthetic and semi-synthetic origin, with the long-term aim of engineering a low-cost, biodegradable sustained-release progesterone system suitable for intravaginal use in food-producing animals.</w:t>
      </w:r>
    </w:p>
    <w:p>
      <w:pPr>
        <w:pStyle w:val="Heading1"/>
        <w:jc w:val="left"/>
      </w:pPr>
      <w:r>
        <w:t>2. REVIEW OF LITERATURE</w:t>
      </w:r>
    </w:p>
    <w:p>
      <w:pPr>
        <w:pStyle w:val="Heading2"/>
      </w:pPr>
      <w:r>
        <w:t>2.1 Progesterone delivery systems in veterinary reproduction</w:t>
      </w:r>
    </w:p>
    <w:p>
      <w:r>
        <w:rPr>
          <w:rFonts w:ascii="Times New Roman" w:hAnsi="Times New Roman"/>
          <w:b w:val="0"/>
          <w:i w:val="0"/>
        </w:rPr>
        <w:t>Macmillan and Peterson (1993) reported the original CIDR-B device, demonstrating that a silicone matrix loaded with 1.9 g of progesterone could maintain plasma P4 above the luteal threshold (&gt;1 ng/mL) for seven to twelve days in dairy cows and could be used to synchronise oestrus and treat post-partum anoestrus [9]. Subsequent work by Rathbone and colleagues established the engineering principles underlying CIDR/PRID-type intravaginal inserts, including the dependence of release on surface area, matrix loading and vaginal microenvironment, and identified a characteristic biphasic profile consisting of a 24- to 48-hour burst followed by a slowly declining maintenance phase [8,10].</w:t>
      </w:r>
    </w:p>
    <w:p>
      <w:pPr>
        <w:pStyle w:val="Heading2"/>
      </w:pPr>
      <w:r>
        <w:t>2.2 Spray drying as a pharmaceutical encapsulation platform</w:t>
      </w:r>
    </w:p>
    <w:p>
      <w:r>
        <w:rPr>
          <w:rFonts w:ascii="Times New Roman" w:hAnsi="Times New Roman"/>
          <w:b w:val="0"/>
          <w:i w:val="0"/>
        </w:rPr>
        <w:t>Re (1998) provided one of the earliest comprehensive accounts of spray drying for microencapsulation, identifying inlet temperature, outlet temperature, feed solid content and atomisation conditions as the dominant process variables [23]. Vehring (2008) integrated this engineering perspective with droplet-drying physics, showing how Peclet number considerations govern whether a drying droplet produces a dense, hollow or wrinkled particle, and giving formulators a quantitative framework for particle engineering [3]. Cal and Sollohub (2010) and Sollohub and Cal (2010) reviewed hardware and pharmaceutical applications respectively, and established spray drying as a mainstream technique for amorphous solid dispersions, inhalation powders and microencapsulated drugs [4,5]. The comprehensive synthesis by Sosnik and Seremeta (2015) consolidated the use of spray drying for both pure drug particles and drug-loaded polymeric carriers, and articulated the trade-off between particle yield, encapsulation efficiency and morphology that frames every formulation programme in this area [2].</w:t>
      </w:r>
    </w:p>
    <w:p>
      <w:pPr>
        <w:pStyle w:val="Heading2"/>
      </w:pPr>
      <w:r>
        <w:t>2.3 Biopolymer wall materials for hormone encapsulation</w:t>
      </w:r>
    </w:p>
    <w:p>
      <w:r>
        <w:rPr>
          <w:rFonts w:ascii="Times New Roman" w:hAnsi="Times New Roman"/>
          <w:b w:val="0"/>
          <w:i w:val="0"/>
        </w:rPr>
        <w:t>Gharsallaoui et al. (2007) provided the canonical comparative review of wall materials for spray-dried microencapsulation, highlighting maltodextrin, gum arabic, modified starches, whey protein and sodium caseinate as work-horse food-grade carriers, and noting that polymer blends almost invariably out-perform single polymers for lipophilic actives [1]. Estevinho et al. (2013) specifically reviewed chitosan-based spray-drying applications and documented its mucoadhesive, biodegradable and pH-responsive behaviour, all of which are directly relevant to vaginal progesterone delivery [6]. Anandharamakrishnan and Ishwarya (2015) compiled a book-length treatment of spray-drying encapsulation across food, nutraceutical and pharmaceutical applications [7].</w:t>
      </w:r>
    </w:p>
    <w:p>
      <w:r>
        <w:rPr>
          <w:rFonts w:ascii="Times New Roman" w:hAnsi="Times New Roman"/>
          <w:b w:val="0"/>
          <w:i w:val="0"/>
        </w:rPr>
        <w:t>Rinaudo (2006) and Felt et al. (1998) reviewed chitosan as a drug-delivery polymer, emphasising its primary amine groups, cationic character at acidic pH, and well-documented mucoadhesion to vaginal and intestinal epithelia [15]. Lee and Mooney (2012) compiled the biomedical applications of alginate, including its ionotropic gelation with calcium and its track record in pharmaceutical microspheres [17]. Paliwal and Palakurthi (2014) reviewed zein, a maize prolamin, as a controlled-release wall material with intrinsic hydrophobicity that is particularly compatible with lipophilic steroids [16]. Makadia and Siegel (2011) and Danhier et al. (2012) reviewed PLGA, the most clinically validated synthetic biodegradable polyester, for parenteral controlled-release applications including hormone microspheres [18,19].</w:t>
      </w:r>
    </w:p>
    <w:p>
      <w:pPr>
        <w:pStyle w:val="Heading2"/>
      </w:pPr>
      <w:r>
        <w:t>2.4 Encapsulation efficiency, particle characterisation and release modelling</w:t>
      </w:r>
    </w:p>
    <w:p>
      <w:r>
        <w:rPr>
          <w:rFonts w:ascii="Times New Roman" w:hAnsi="Times New Roman"/>
          <w:b w:val="0"/>
          <w:i w:val="0"/>
        </w:rPr>
        <w:t>Soottitantawat et al. (2003) demonstrated that, for spray-dried emulsions, encapsulation efficiency for hydrophobic actives is strongly correlated with the size of the primary emulsion droplets and with the wall-to-core ratio [12]. Desai and Park (2005) consolidated similar observations for food microencapsulation [13]. Paulo and Santos (2017) reviewed Design-of-Experiments approaches to microencapsulation, stressing the value of factorial and response-surface designs for systematic optimisation [11]. Release behaviour from polymeric matrices is conventionally analysed using the classical models of Higuchi (1963), Korsmeyer-Peppas et al. (1983) and Costa and Sousa Lobo (2001), and the ranking of these models against in-vitro dissolution data provides mechanistic insight into whether release is diffusion-, erosion- or swelling-controlled [20,21,22]. Maderuelo et al. (2011) reviewed the matrix factors that critically influence drug release from hydrophilic sustained-release systems [14].</w:t>
      </w:r>
    </w:p>
    <w:p>
      <w:pPr>
        <w:pStyle w:val="Heading2"/>
      </w:pPr>
      <w:r>
        <w:t>2.5 Current research gaps</w:t>
      </w:r>
    </w:p>
    <w:p>
      <w:r>
        <w:rPr>
          <w:rFonts w:ascii="Times New Roman" w:hAnsi="Times New Roman"/>
          <w:b w:val="0"/>
          <w:i w:val="0"/>
        </w:rPr>
        <w:t>Despite three decades of incremental progress, several gaps persist. First, the majority of spray-drying studies on steroid encapsulation have addressed estradiol, testosterone or corticosteroids; primary, peer-reviewed reports specifically describing systematic biopolymer screening for spray-dried progesterone microparticles intended for veterinary intravaginal use are comparatively few. Second, most reported formulations rely either on costly synthetic polymers (PLGA, PCL) suited only to high-value parenteral applications or on single food-grade carriers that lack sustained-release capacity. Third, in-vivo plasma progesterone kinetics and reproductive end-points (oestrus response, pregnancy rate) for spray-dried microparticulate progesterone systems in cattle and buffalo are sparsely reported. These gaps frame the rationale for the present study.</w:t>
      </w:r>
    </w:p>
    <w:p>
      <w:pPr>
        <w:pStyle w:val="Heading1"/>
        <w:jc w:val="left"/>
      </w:pPr>
      <w:r>
        <w:t>3. RESEARCH GAP</w:t>
      </w:r>
    </w:p>
    <w:p>
      <w:r>
        <w:rPr>
          <w:rFonts w:ascii="Times New Roman" w:hAnsi="Times New Roman"/>
          <w:b w:val="0"/>
          <w:i w:val="0"/>
        </w:rPr>
        <w:t>Synthesis of the literature reviewed in Section 2 identifies the following specific gaps that the present study seeks to address:</w:t>
      </w:r>
    </w:p>
    <w:p>
      <w:pPr>
        <w:pStyle w:val="ListBullet"/>
        <w:jc w:val="both"/>
      </w:pPr>
      <w:r>
        <w:rPr>
          <w:rFonts w:ascii="Times New Roman" w:hAnsi="Times New Roman"/>
          <w:sz w:val="24"/>
        </w:rPr>
        <w:t>Limited systematic data on the comparative compatibility of natural, synthetic and semi-synthetic biopolymers when co-spray-dried with progesterone under a single, controlled set of process parameters.</w:t>
      </w:r>
    </w:p>
    <w:p>
      <w:pPr>
        <w:pStyle w:val="ListBullet"/>
        <w:jc w:val="both"/>
      </w:pPr>
      <w:r>
        <w:rPr>
          <w:rFonts w:ascii="Times New Roman" w:hAnsi="Times New Roman"/>
          <w:sz w:val="24"/>
        </w:rPr>
        <w:t>Heavy commercial dependence on non-biodegradable silicone-elastomer intravaginal devices (CIDR, PRID), generating polymer waste and high per-animal cost in resource-limited dairy systems.</w:t>
      </w:r>
    </w:p>
    <w:p>
      <w:pPr>
        <w:pStyle w:val="ListBullet"/>
        <w:jc w:val="both"/>
      </w:pPr>
      <w:r>
        <w:rPr>
          <w:rFonts w:ascii="Times New Roman" w:hAnsi="Times New Roman"/>
          <w:sz w:val="24"/>
        </w:rPr>
        <w:t>Insufficient evidence on low-cost biodegradable polymer blends (for example, gum arabic-maltodextrin, whey protein-maltodextrin, chitosan-alginate) capable of supporting sustained vaginal progesterone release for seven to nine days.</w:t>
      </w:r>
    </w:p>
    <w:p>
      <w:pPr>
        <w:pStyle w:val="ListBullet"/>
        <w:jc w:val="both"/>
      </w:pPr>
      <w:r>
        <w:rPr>
          <w:rFonts w:ascii="Times New Roman" w:hAnsi="Times New Roman"/>
          <w:sz w:val="24"/>
        </w:rPr>
        <w:t>Recurrent stability concerns with spray-dried hormone formulations, including hygroscopicity, polymorphic transitions of the steroid, and progressive loss of payload during storage.</w:t>
      </w:r>
    </w:p>
    <w:p>
      <w:pPr>
        <w:pStyle w:val="ListBullet"/>
        <w:jc w:val="both"/>
      </w:pPr>
      <w:r>
        <w:rPr>
          <w:rFonts w:ascii="Times New Roman" w:hAnsi="Times New Roman"/>
          <w:sz w:val="24"/>
        </w:rPr>
        <w:t>Limited modelling of release kinetics for spray-dried progesterone microparticles using mechanistic models such as Higuchi, Korsmeyer-Peppas, Hixson-Crowell and Weibull, which are essential to support regulatory and design-of-experiments work.</w:t>
      </w:r>
    </w:p>
    <w:p>
      <w:pPr>
        <w:pStyle w:val="ListBullet"/>
        <w:jc w:val="both"/>
      </w:pPr>
      <w:r>
        <w:rPr>
          <w:rFonts w:ascii="Times New Roman" w:hAnsi="Times New Roman"/>
          <w:sz w:val="24"/>
        </w:rPr>
        <w:t>A near-absence of studies that link in-vitro release performance of biopolymer-progesterone microparticles to in-vivo plasma P4 kinetics and reproductive outcomes in repeat-breeding cattle and buffalo under field conditions.</w:t>
      </w:r>
    </w:p>
    <w:p>
      <w:pPr>
        <w:pStyle w:val="Heading1"/>
        <w:jc w:val="left"/>
      </w:pPr>
      <w:r>
        <w:t>4. AIM OF THE STUDY</w:t>
      </w:r>
    </w:p>
    <w:p>
      <w:r>
        <w:rPr>
          <w:rFonts w:ascii="Times New Roman" w:hAnsi="Times New Roman"/>
          <w:b w:val="0"/>
          <w:i w:val="0"/>
        </w:rPr>
        <w:t>To identify biopolymers that are compatible with progesterone during spray drying, and to develop and characterise progesterone-loaded biopolymeric microparticles as a foundation for sustained-release reproductive hormone delivery in domestic livestock.</w:t>
      </w:r>
    </w:p>
    <w:p>
      <w:pPr>
        <w:pStyle w:val="Heading1"/>
        <w:jc w:val="left"/>
      </w:pPr>
      <w:r>
        <w:t>5. OBJECTIVES OF THE STUDY</w:t>
      </w:r>
    </w:p>
    <w:p>
      <w:pPr>
        <w:pStyle w:val="ListNumber"/>
        <w:jc w:val="both"/>
      </w:pPr>
      <w:r>
        <w:rPr>
          <w:rFonts w:ascii="Times New Roman" w:hAnsi="Times New Roman"/>
          <w:sz w:val="24"/>
        </w:rPr>
        <w:t>To screen and select candidate biopolymers (natural, synthetic and semi-synthetic) for compatibility with progesterone on the basis of solubility, miscibility, thermal behaviour and Fourier-transform infrared (FTIR) spectroscopic interaction studies.</w:t>
      </w:r>
    </w:p>
    <w:p>
      <w:pPr>
        <w:pStyle w:val="ListNumber"/>
        <w:jc w:val="both"/>
      </w:pPr>
      <w:r>
        <w:rPr>
          <w:rFonts w:ascii="Times New Roman" w:hAnsi="Times New Roman"/>
          <w:sz w:val="24"/>
        </w:rPr>
        <w:t>To formulate progesterone-loaded microparticles using the spray drying method by systematic variation of inlet temperature, feed solid content, drug-to-polymer ratio and atomisation conditions.</w:t>
      </w:r>
    </w:p>
    <w:p>
      <w:pPr>
        <w:pStyle w:val="ListNumber"/>
        <w:jc w:val="both"/>
      </w:pPr>
      <w:r>
        <w:rPr>
          <w:rFonts w:ascii="Times New Roman" w:hAnsi="Times New Roman"/>
          <w:sz w:val="24"/>
        </w:rPr>
        <w:t>To determine the encapsulation efficiency, drug loading capacity and process yield for each polymer-progesterone combination.</w:t>
      </w:r>
    </w:p>
    <w:p>
      <w:pPr>
        <w:pStyle w:val="ListNumber"/>
        <w:jc w:val="both"/>
      </w:pPr>
      <w:r>
        <w:rPr>
          <w:rFonts w:ascii="Times New Roman" w:hAnsi="Times New Roman"/>
          <w:sz w:val="24"/>
        </w:rPr>
        <w:t>To physico-chemically characterise the optimised microparticles with respect to particle size and distribution, surface morphology (SEM), zeta potential, residual moisture, polydispersity index (PDI) and crystallinity (DSC, XRD).</w:t>
      </w:r>
    </w:p>
    <w:p>
      <w:pPr>
        <w:pStyle w:val="ListNumber"/>
        <w:jc w:val="both"/>
      </w:pPr>
      <w:r>
        <w:rPr>
          <w:rFonts w:ascii="Times New Roman" w:hAnsi="Times New Roman"/>
          <w:sz w:val="24"/>
        </w:rPr>
        <w:t>To assess drug-polymer compatibility and any solid-state interactions using FTIR and differential scanning calorimetry (DSC).</w:t>
      </w:r>
    </w:p>
    <w:p>
      <w:pPr>
        <w:pStyle w:val="ListNumber"/>
        <w:jc w:val="both"/>
      </w:pPr>
      <w:r>
        <w:rPr>
          <w:rFonts w:ascii="Times New Roman" w:hAnsi="Times New Roman"/>
          <w:sz w:val="24"/>
        </w:rPr>
        <w:t>To evaluate the in-vitro progesterone release profile in simulated vaginal fluid and to fit the data to standard release-kinetic models (zero-order, first-order, Higuchi, Korsmeyer-Peppas, Hixson-Crowell, Weibull).</w:t>
      </w:r>
    </w:p>
    <w:p>
      <w:pPr>
        <w:pStyle w:val="ListNumber"/>
        <w:jc w:val="both"/>
      </w:pPr>
      <w:r>
        <w:rPr>
          <w:rFonts w:ascii="Times New Roman" w:hAnsi="Times New Roman"/>
          <w:sz w:val="24"/>
        </w:rPr>
        <w:t>To determine accelerated and real-time storage stability of the optimised formulation according to ICH-style conditions, including drug content, EE retention and morphological integrity.</w:t>
      </w:r>
    </w:p>
    <w:p>
      <w:pPr>
        <w:pStyle w:val="ListNumber"/>
        <w:jc w:val="both"/>
      </w:pPr>
      <w:r>
        <w:rPr>
          <w:rFonts w:ascii="Times New Roman" w:hAnsi="Times New Roman"/>
          <w:sz w:val="24"/>
        </w:rPr>
        <w:t>To document, in tabular form, a comparative compatibility matrix ranking the screened biopolymers for progesterone spray drying and identify the lead formulation candidate(s) for future in-vivo evaluation.</w:t>
      </w:r>
    </w:p>
    <w:p>
      <w:pPr>
        <w:pStyle w:val="Heading1"/>
        <w:jc w:val="left"/>
      </w:pPr>
      <w:r>
        <w:t>6. HYPOTHESIS</w:t>
      </w:r>
    </w:p>
    <w:p>
      <w:r>
        <w:rPr>
          <w:rFonts w:ascii="Times New Roman" w:hAnsi="Times New Roman"/>
          <w:b w:val="0"/>
          <w:i w:val="0"/>
        </w:rPr>
        <w:t>It is hypothesised that progesterone, being a lipophilic neutral steroid, can be efficiently encapsulated by spray drying using biocompatible biopolymer matrices, and that the choice of polymer (and polymer blend) will significantly influence encapsulation efficiency, particle morphology, in-vitro release kinetics and storage stability of the resulting microparticles. It is further hypothesised that one or more low-cost, biodegradable biopolymer or biopolymer-blend formulations will produce a sustained progesterone release profile of at least seven days under simulated vaginal conditions, supporting their candidacy as a low-cost, biodegradable alternative to currently marketed non-biodegradable intravaginal progesterone devices.</w:t>
      </w:r>
    </w:p>
    <w:p>
      <w:r>
        <w:rPr>
          <w:rFonts w:ascii="Times New Roman" w:hAnsi="Times New Roman"/>
          <w:b w:val="0"/>
          <w:i/>
        </w:rPr>
        <w:t>Null hypothesis (H0): There is no significant difference among biopolymers in encapsulation efficiency, release kinetics or stability of spray-dried progesterone microparticles.</w:t>
      </w:r>
    </w:p>
    <w:p>
      <w:r>
        <w:rPr>
          <w:rFonts w:ascii="Times New Roman" w:hAnsi="Times New Roman"/>
          <w:b w:val="0"/>
          <w:i/>
        </w:rPr>
        <w:t>Alternative hypothesis (H1): At least one biopolymer (or polymer blend) will yield a spray-dried progesterone microparticle with encapsulation efficiency above 75%, sustained release over more than seven days, and acceptable physical stability under accelerated storage.</w:t>
      </w:r>
    </w:p>
    <w:p>
      <w:pPr>
        <w:pStyle w:val="Heading1"/>
        <w:jc w:val="left"/>
      </w:pPr>
      <w:r>
        <w:t>7. MATERIALS AND METHODS</w:t>
      </w:r>
    </w:p>
    <w:p>
      <w:pPr>
        <w:pStyle w:val="Heading2"/>
      </w:pPr>
      <w:r>
        <w:t>7.0 Overview and study design</w:t>
      </w:r>
    </w:p>
    <w:p>
      <w:r>
        <w:rPr>
          <w:rFonts w:ascii="Times New Roman" w:hAnsi="Times New Roman"/>
          <w:b w:val="0"/>
          <w:i w:val="0"/>
        </w:rPr>
        <w:t>The study will be executed in three sequential phases: (i) polymer selection and drug-polymer compatibility screening; (ii) formulation of progesterone-loaded microparticles by spray drying using a factorial Design of Experiments; and (iii) physico-chemical, release-kinetic and stability characterisation of the optimised formulations [11].</w:t>
      </w:r>
    </w:p>
    <w:p>
      <w:pPr>
        <w:pStyle w:val="Heading2"/>
      </w:pPr>
      <w:r>
        <w:t>7.1 Comparative biopolymers under consideration</w:t>
      </w:r>
    </w:p>
    <w:p>
      <w:pPr>
        <w:jc w:val="left"/>
      </w:pPr>
      <w:r>
        <w:rPr>
          <w:rFonts w:ascii="Times New Roman" w:hAnsi="Times New Roman"/>
          <w:b/>
          <w:i/>
          <w:sz w:val="22"/>
        </w:rPr>
        <w:t>Table 1. Candidate biopolymers for spray-dried progesterone encapsulation: comparative properties.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8"/>
            <w:vAlign w:val="center"/>
          </w:tcPr>
          <w:p>
            <w:pPr>
              <w:spacing w:after="0"/>
              <w:jc w:val="center"/>
            </w:pPr>
            <w:r>
              <w:rPr>
                <w:rFonts w:ascii="Times New Roman" w:hAnsi="Times New Roman"/>
                <w:b/>
                <w:color w:val="FFFFFF"/>
                <w:sz w:val="20"/>
              </w:rPr>
              <w:t>Polymer</w:t>
            </w:r>
          </w:p>
        </w:tc>
        <w:tc>
          <w:tcPr>
            <w:tcW w:type="dxa" w:w="1824"/>
            <w:shd w:val="clear" w:color="auto" w:fill="1F4E78"/>
            <w:vAlign w:val="center"/>
          </w:tcPr>
          <w:p>
            <w:pPr>
              <w:spacing w:after="0"/>
              <w:jc w:val="center"/>
            </w:pPr>
            <w:r>
              <w:rPr>
                <w:rFonts w:ascii="Times New Roman" w:hAnsi="Times New Roman"/>
                <w:b/>
                <w:color w:val="FFFFFF"/>
                <w:sz w:val="20"/>
              </w:rPr>
              <w:t>Class</w:t>
            </w:r>
          </w:p>
        </w:tc>
        <w:tc>
          <w:tcPr>
            <w:tcW w:type="dxa" w:w="1824"/>
            <w:shd w:val="clear" w:color="auto" w:fill="1F4E78"/>
            <w:vAlign w:val="center"/>
          </w:tcPr>
          <w:p>
            <w:pPr>
              <w:spacing w:after="0"/>
              <w:jc w:val="center"/>
            </w:pPr>
            <w:r>
              <w:rPr>
                <w:rFonts w:ascii="Times New Roman" w:hAnsi="Times New Roman"/>
                <w:b/>
                <w:color w:val="FFFFFF"/>
                <w:sz w:val="20"/>
              </w:rPr>
              <w:t>Advantages</w:t>
            </w:r>
          </w:p>
        </w:tc>
        <w:tc>
          <w:tcPr>
            <w:tcW w:type="dxa" w:w="1824"/>
            <w:shd w:val="clear" w:color="auto" w:fill="1F4E78"/>
            <w:vAlign w:val="center"/>
          </w:tcPr>
          <w:p>
            <w:pPr>
              <w:spacing w:after="0"/>
              <w:jc w:val="center"/>
            </w:pPr>
            <w:r>
              <w:rPr>
                <w:rFonts w:ascii="Times New Roman" w:hAnsi="Times New Roman"/>
                <w:b/>
                <w:color w:val="FFFFFF"/>
                <w:sz w:val="20"/>
              </w:rPr>
              <w:t>Limitations / Disadvantages</w:t>
            </w:r>
          </w:p>
        </w:tc>
        <w:tc>
          <w:tcPr>
            <w:tcW w:type="dxa" w:w="1824"/>
            <w:shd w:val="clear" w:color="auto" w:fill="1F4E78"/>
            <w:vAlign w:val="center"/>
          </w:tcPr>
          <w:p>
            <w:pPr>
              <w:spacing w:after="0"/>
              <w:jc w:val="center"/>
            </w:pPr>
            <w:r>
              <w:rPr>
                <w:rFonts w:ascii="Times New Roman" w:hAnsi="Times New Roman"/>
                <w:b/>
                <w:color w:val="FFFFFF"/>
                <w:sz w:val="20"/>
              </w:rPr>
              <w:t>Suitability for spray-dried progesterone</w:t>
            </w:r>
          </w:p>
        </w:tc>
      </w:tr>
      <w:tr>
        <w:tc>
          <w:tcPr>
            <w:tcW w:type="dxa" w:w="1824"/>
            <w:vAlign w:val="center"/>
          </w:tcPr>
          <w:p>
            <w:pPr>
              <w:spacing w:after="0"/>
              <w:jc w:val="left"/>
            </w:pPr>
            <w:r>
              <w:rPr>
                <w:rFonts w:ascii="Times New Roman" w:hAnsi="Times New Roman"/>
                <w:b w:val="0"/>
                <w:sz w:val="20"/>
              </w:rPr>
              <w:t>Chitosan</w:t>
            </w:r>
          </w:p>
        </w:tc>
        <w:tc>
          <w:tcPr>
            <w:tcW w:type="dxa" w:w="1824"/>
            <w:vAlign w:val="center"/>
          </w:tcPr>
          <w:p>
            <w:pPr>
              <w:spacing w:after="0"/>
              <w:jc w:val="left"/>
            </w:pPr>
            <w:r>
              <w:rPr>
                <w:rFonts w:ascii="Times New Roman" w:hAnsi="Times New Roman"/>
                <w:b w:val="0"/>
                <w:sz w:val="20"/>
              </w:rPr>
              <w:t>Natural cationic polysaccharide</w:t>
            </w:r>
          </w:p>
        </w:tc>
        <w:tc>
          <w:tcPr>
            <w:tcW w:type="dxa" w:w="1824"/>
            <w:vAlign w:val="center"/>
          </w:tcPr>
          <w:p>
            <w:pPr>
              <w:spacing w:after="0"/>
              <w:jc w:val="left"/>
            </w:pPr>
            <w:r>
              <w:rPr>
                <w:rFonts w:ascii="Times New Roman" w:hAnsi="Times New Roman"/>
                <w:b w:val="0"/>
                <w:sz w:val="20"/>
              </w:rPr>
              <w:t>Mucoadhesive; biodegradable; cationic - amenable to ionic crosslinking; widely studied in vaginal delivery [6,15]</w:t>
            </w:r>
          </w:p>
        </w:tc>
        <w:tc>
          <w:tcPr>
            <w:tcW w:type="dxa" w:w="1824"/>
            <w:vAlign w:val="center"/>
          </w:tcPr>
          <w:p>
            <w:pPr>
              <w:spacing w:after="0"/>
              <w:jc w:val="left"/>
            </w:pPr>
            <w:r>
              <w:rPr>
                <w:rFonts w:ascii="Times New Roman" w:hAnsi="Times New Roman"/>
                <w:b w:val="0"/>
                <w:sz w:val="20"/>
              </w:rPr>
              <w:t>Soluble only at acidic pH; viscosity rises sharply with concentration; hygroscopic salt forms</w:t>
            </w:r>
          </w:p>
        </w:tc>
        <w:tc>
          <w:tcPr>
            <w:tcW w:type="dxa" w:w="1824"/>
            <w:vAlign w:val="center"/>
          </w:tcPr>
          <w:p>
            <w:pPr>
              <w:spacing w:after="0"/>
              <w:jc w:val="left"/>
            </w:pPr>
            <w:r>
              <w:rPr>
                <w:rFonts w:ascii="Times New Roman" w:hAnsi="Times New Roman"/>
                <w:b w:val="0"/>
                <w:sz w:val="20"/>
              </w:rPr>
              <w:t>High - particularly attractive for intravaginal P4 due to mucoadhesion</w:t>
            </w:r>
          </w:p>
        </w:tc>
      </w:tr>
      <w:tr>
        <w:tc>
          <w:tcPr>
            <w:tcW w:type="dxa" w:w="1824"/>
            <w:shd w:val="clear" w:color="auto" w:fill="F2F2F2"/>
            <w:vAlign w:val="center"/>
          </w:tcPr>
          <w:p>
            <w:pPr>
              <w:spacing w:after="0"/>
              <w:jc w:val="left"/>
            </w:pPr>
            <w:r>
              <w:rPr>
                <w:rFonts w:ascii="Times New Roman" w:hAnsi="Times New Roman"/>
                <w:b w:val="0"/>
                <w:sz w:val="20"/>
              </w:rPr>
              <w:t>Sodium alginate</w:t>
            </w:r>
          </w:p>
        </w:tc>
        <w:tc>
          <w:tcPr>
            <w:tcW w:type="dxa" w:w="1824"/>
            <w:shd w:val="clear" w:color="auto" w:fill="F2F2F2"/>
            <w:vAlign w:val="center"/>
          </w:tcPr>
          <w:p>
            <w:pPr>
              <w:spacing w:after="0"/>
              <w:jc w:val="left"/>
            </w:pPr>
            <w:r>
              <w:rPr>
                <w:rFonts w:ascii="Times New Roman" w:hAnsi="Times New Roman"/>
                <w:b w:val="0"/>
                <w:sz w:val="20"/>
              </w:rPr>
              <w:t>Natural anionic polysaccharide</w:t>
            </w:r>
          </w:p>
        </w:tc>
        <w:tc>
          <w:tcPr>
            <w:tcW w:type="dxa" w:w="1824"/>
            <w:shd w:val="clear" w:color="auto" w:fill="F2F2F2"/>
            <w:vAlign w:val="center"/>
          </w:tcPr>
          <w:p>
            <w:pPr>
              <w:spacing w:after="0"/>
              <w:jc w:val="left"/>
            </w:pPr>
            <w:r>
              <w:rPr>
                <w:rFonts w:ascii="Times New Roman" w:hAnsi="Times New Roman"/>
                <w:b w:val="0"/>
                <w:sz w:val="20"/>
              </w:rPr>
              <w:t>GRAS; biodegradable; ionotropic gel with Ca2+; cheap [17]</w:t>
            </w:r>
          </w:p>
        </w:tc>
        <w:tc>
          <w:tcPr>
            <w:tcW w:type="dxa" w:w="1824"/>
            <w:shd w:val="clear" w:color="auto" w:fill="F2F2F2"/>
            <w:vAlign w:val="center"/>
          </w:tcPr>
          <w:p>
            <w:pPr>
              <w:spacing w:after="0"/>
              <w:jc w:val="left"/>
            </w:pPr>
            <w:r>
              <w:rPr>
                <w:rFonts w:ascii="Times New Roman" w:hAnsi="Times New Roman"/>
                <w:b w:val="0"/>
                <w:sz w:val="20"/>
              </w:rPr>
              <w:t>High viscosity at modest concentration; humidity-sensitive powders unless crosslinked</w:t>
            </w:r>
          </w:p>
        </w:tc>
        <w:tc>
          <w:tcPr>
            <w:tcW w:type="dxa" w:w="1824"/>
            <w:shd w:val="clear" w:color="auto" w:fill="F2F2F2"/>
            <w:vAlign w:val="center"/>
          </w:tcPr>
          <w:p>
            <w:pPr>
              <w:spacing w:after="0"/>
              <w:jc w:val="left"/>
            </w:pPr>
            <w:r>
              <w:rPr>
                <w:rFonts w:ascii="Times New Roman" w:hAnsi="Times New Roman"/>
                <w:b w:val="0"/>
                <w:sz w:val="20"/>
              </w:rPr>
              <w:t>Moderate - usually combined with chitosan or maltodextrin</w:t>
            </w:r>
          </w:p>
        </w:tc>
      </w:tr>
      <w:tr>
        <w:tc>
          <w:tcPr>
            <w:tcW w:type="dxa" w:w="1824"/>
            <w:vAlign w:val="center"/>
          </w:tcPr>
          <w:p>
            <w:pPr>
              <w:spacing w:after="0"/>
              <w:jc w:val="left"/>
            </w:pPr>
            <w:r>
              <w:rPr>
                <w:rFonts w:ascii="Times New Roman" w:hAnsi="Times New Roman"/>
                <w:b w:val="0"/>
                <w:sz w:val="20"/>
              </w:rPr>
              <w:t>Gelatin</w:t>
            </w:r>
          </w:p>
        </w:tc>
        <w:tc>
          <w:tcPr>
            <w:tcW w:type="dxa" w:w="1824"/>
            <w:vAlign w:val="center"/>
          </w:tcPr>
          <w:p>
            <w:pPr>
              <w:spacing w:after="0"/>
              <w:jc w:val="left"/>
            </w:pPr>
            <w:r>
              <w:rPr>
                <w:rFonts w:ascii="Times New Roman" w:hAnsi="Times New Roman"/>
                <w:b w:val="0"/>
                <w:sz w:val="20"/>
              </w:rPr>
              <w:t>Natural protein (collagen-derived)</w:t>
            </w:r>
          </w:p>
        </w:tc>
        <w:tc>
          <w:tcPr>
            <w:tcW w:type="dxa" w:w="1824"/>
            <w:vAlign w:val="center"/>
          </w:tcPr>
          <w:p>
            <w:pPr>
              <w:spacing w:after="0"/>
              <w:jc w:val="left"/>
            </w:pPr>
            <w:r>
              <w:rPr>
                <w:rFonts w:ascii="Times New Roman" w:hAnsi="Times New Roman"/>
                <w:b w:val="0"/>
                <w:sz w:val="20"/>
              </w:rPr>
              <w:t>Excellent emulsifier; film-forming; biodegradable</w:t>
            </w:r>
          </w:p>
        </w:tc>
        <w:tc>
          <w:tcPr>
            <w:tcW w:type="dxa" w:w="1824"/>
            <w:vAlign w:val="center"/>
          </w:tcPr>
          <w:p>
            <w:pPr>
              <w:spacing w:after="0"/>
              <w:jc w:val="left"/>
            </w:pPr>
            <w:r>
              <w:rPr>
                <w:rFonts w:ascii="Times New Roman" w:hAnsi="Times New Roman"/>
                <w:b w:val="0"/>
                <w:sz w:val="20"/>
              </w:rPr>
              <w:t>Low Tg; thermoplastic risk; rapid aqueous dissolution unless crosslinked</w:t>
            </w:r>
          </w:p>
        </w:tc>
        <w:tc>
          <w:tcPr>
            <w:tcW w:type="dxa" w:w="1824"/>
            <w:vAlign w:val="center"/>
          </w:tcPr>
          <w:p>
            <w:pPr>
              <w:spacing w:after="0"/>
              <w:jc w:val="left"/>
            </w:pPr>
            <w:r>
              <w:rPr>
                <w:rFonts w:ascii="Times New Roman" w:hAnsi="Times New Roman"/>
                <w:b w:val="0"/>
                <w:sz w:val="20"/>
              </w:rPr>
              <w:t>Moderate - rapid release limits long-acting use</w:t>
            </w:r>
          </w:p>
        </w:tc>
      </w:tr>
      <w:tr>
        <w:tc>
          <w:tcPr>
            <w:tcW w:type="dxa" w:w="1824"/>
            <w:shd w:val="clear" w:color="auto" w:fill="F2F2F2"/>
            <w:vAlign w:val="center"/>
          </w:tcPr>
          <w:p>
            <w:pPr>
              <w:spacing w:after="0"/>
              <w:jc w:val="left"/>
            </w:pPr>
            <w:r>
              <w:rPr>
                <w:rFonts w:ascii="Times New Roman" w:hAnsi="Times New Roman"/>
                <w:b w:val="0"/>
                <w:sz w:val="20"/>
              </w:rPr>
              <w:t>Whey protein isolate / concentrate</w:t>
            </w:r>
          </w:p>
        </w:tc>
        <w:tc>
          <w:tcPr>
            <w:tcW w:type="dxa" w:w="1824"/>
            <w:shd w:val="clear" w:color="auto" w:fill="F2F2F2"/>
            <w:vAlign w:val="center"/>
          </w:tcPr>
          <w:p>
            <w:pPr>
              <w:spacing w:after="0"/>
              <w:jc w:val="left"/>
            </w:pPr>
            <w:r>
              <w:rPr>
                <w:rFonts w:ascii="Times New Roman" w:hAnsi="Times New Roman"/>
                <w:b w:val="0"/>
                <w:sz w:val="20"/>
              </w:rPr>
              <w:t>Natural protein</w:t>
            </w:r>
          </w:p>
        </w:tc>
        <w:tc>
          <w:tcPr>
            <w:tcW w:type="dxa" w:w="1824"/>
            <w:shd w:val="clear" w:color="auto" w:fill="F2F2F2"/>
            <w:vAlign w:val="center"/>
          </w:tcPr>
          <w:p>
            <w:pPr>
              <w:spacing w:after="0"/>
              <w:jc w:val="left"/>
            </w:pPr>
            <w:r>
              <w:rPr>
                <w:rFonts w:ascii="Times New Roman" w:hAnsi="Times New Roman"/>
                <w:b w:val="0"/>
                <w:sz w:val="20"/>
              </w:rPr>
              <w:t>GRAS; strong emulsifier; high EE for lipophiles [1]</w:t>
            </w:r>
          </w:p>
        </w:tc>
        <w:tc>
          <w:tcPr>
            <w:tcW w:type="dxa" w:w="1824"/>
            <w:shd w:val="clear" w:color="auto" w:fill="F2F2F2"/>
            <w:vAlign w:val="center"/>
          </w:tcPr>
          <w:p>
            <w:pPr>
              <w:spacing w:after="0"/>
              <w:jc w:val="left"/>
            </w:pPr>
            <w:r>
              <w:rPr>
                <w:rFonts w:ascii="Times New Roman" w:hAnsi="Times New Roman"/>
                <w:b w:val="0"/>
                <w:sz w:val="20"/>
              </w:rPr>
              <w:t>Moisture-sensitive; potential allergenicity (oral)</w:t>
            </w:r>
          </w:p>
        </w:tc>
        <w:tc>
          <w:tcPr>
            <w:tcW w:type="dxa" w:w="1824"/>
            <w:shd w:val="clear" w:color="auto" w:fill="F2F2F2"/>
            <w:vAlign w:val="center"/>
          </w:tcPr>
          <w:p>
            <w:pPr>
              <w:spacing w:after="0"/>
              <w:jc w:val="left"/>
            </w:pPr>
            <w:r>
              <w:rPr>
                <w:rFonts w:ascii="Times New Roman" w:hAnsi="Times New Roman"/>
                <w:b w:val="0"/>
                <w:sz w:val="20"/>
              </w:rPr>
              <w:t>High - strong candidate when blended with maltodextrin</w:t>
            </w:r>
          </w:p>
        </w:tc>
      </w:tr>
      <w:tr>
        <w:tc>
          <w:tcPr>
            <w:tcW w:type="dxa" w:w="1824"/>
            <w:vAlign w:val="center"/>
          </w:tcPr>
          <w:p>
            <w:pPr>
              <w:spacing w:after="0"/>
              <w:jc w:val="left"/>
            </w:pPr>
            <w:r>
              <w:rPr>
                <w:rFonts w:ascii="Times New Roman" w:hAnsi="Times New Roman"/>
                <w:b w:val="0"/>
                <w:sz w:val="20"/>
              </w:rPr>
              <w:t>Sodium caseinate</w:t>
            </w:r>
          </w:p>
        </w:tc>
        <w:tc>
          <w:tcPr>
            <w:tcW w:type="dxa" w:w="1824"/>
            <w:vAlign w:val="center"/>
          </w:tcPr>
          <w:p>
            <w:pPr>
              <w:spacing w:after="0"/>
              <w:jc w:val="left"/>
            </w:pPr>
            <w:r>
              <w:rPr>
                <w:rFonts w:ascii="Times New Roman" w:hAnsi="Times New Roman"/>
                <w:b w:val="0"/>
                <w:sz w:val="20"/>
              </w:rPr>
              <w:t>Natural protein</w:t>
            </w:r>
          </w:p>
        </w:tc>
        <w:tc>
          <w:tcPr>
            <w:tcW w:type="dxa" w:w="1824"/>
            <w:vAlign w:val="center"/>
          </w:tcPr>
          <w:p>
            <w:pPr>
              <w:spacing w:after="0"/>
              <w:jc w:val="left"/>
            </w:pPr>
            <w:r>
              <w:rPr>
                <w:rFonts w:ascii="Times New Roman" w:hAnsi="Times New Roman"/>
                <w:b w:val="0"/>
                <w:sz w:val="20"/>
              </w:rPr>
              <w:t>GRAS; excellent emulsifier; spray-dries readily [1]</w:t>
            </w:r>
          </w:p>
        </w:tc>
        <w:tc>
          <w:tcPr>
            <w:tcW w:type="dxa" w:w="1824"/>
            <w:vAlign w:val="center"/>
          </w:tcPr>
          <w:p>
            <w:pPr>
              <w:spacing w:after="0"/>
              <w:jc w:val="left"/>
            </w:pPr>
            <w:r>
              <w:rPr>
                <w:rFonts w:ascii="Times New Roman" w:hAnsi="Times New Roman"/>
                <w:b w:val="0"/>
                <w:sz w:val="20"/>
              </w:rPr>
              <w:t>Gastric-soluble; allergen risk</w:t>
            </w:r>
          </w:p>
        </w:tc>
        <w:tc>
          <w:tcPr>
            <w:tcW w:type="dxa" w:w="1824"/>
            <w:vAlign w:val="center"/>
          </w:tcPr>
          <w:p>
            <w:pPr>
              <w:spacing w:after="0"/>
              <w:jc w:val="left"/>
            </w:pPr>
            <w:r>
              <w:rPr>
                <w:rFonts w:ascii="Times New Roman" w:hAnsi="Times New Roman"/>
                <w:b w:val="0"/>
                <w:sz w:val="20"/>
              </w:rPr>
              <w:t>Moderate-high in blend formulations</w:t>
            </w:r>
          </w:p>
        </w:tc>
      </w:tr>
      <w:tr>
        <w:tc>
          <w:tcPr>
            <w:tcW w:type="dxa" w:w="1824"/>
            <w:shd w:val="clear" w:color="auto" w:fill="F2F2F2"/>
            <w:vAlign w:val="center"/>
          </w:tcPr>
          <w:p>
            <w:pPr>
              <w:spacing w:after="0"/>
              <w:jc w:val="left"/>
            </w:pPr>
            <w:r>
              <w:rPr>
                <w:rFonts w:ascii="Times New Roman" w:hAnsi="Times New Roman"/>
                <w:b w:val="0"/>
                <w:sz w:val="20"/>
              </w:rPr>
              <w:t>Zein</w:t>
            </w:r>
          </w:p>
        </w:tc>
        <w:tc>
          <w:tcPr>
            <w:tcW w:type="dxa" w:w="1824"/>
            <w:shd w:val="clear" w:color="auto" w:fill="F2F2F2"/>
            <w:vAlign w:val="center"/>
          </w:tcPr>
          <w:p>
            <w:pPr>
              <w:spacing w:after="0"/>
              <w:jc w:val="left"/>
            </w:pPr>
            <w:r>
              <w:rPr>
                <w:rFonts w:ascii="Times New Roman" w:hAnsi="Times New Roman"/>
                <w:b w:val="0"/>
                <w:sz w:val="20"/>
              </w:rPr>
              <w:t>Natural prolamin (maize)</w:t>
            </w:r>
          </w:p>
        </w:tc>
        <w:tc>
          <w:tcPr>
            <w:tcW w:type="dxa" w:w="1824"/>
            <w:shd w:val="clear" w:color="auto" w:fill="F2F2F2"/>
            <w:vAlign w:val="center"/>
          </w:tcPr>
          <w:p>
            <w:pPr>
              <w:spacing w:after="0"/>
              <w:jc w:val="left"/>
            </w:pPr>
            <w:r>
              <w:rPr>
                <w:rFonts w:ascii="Times New Roman" w:hAnsi="Times New Roman"/>
                <w:b w:val="0"/>
                <w:sz w:val="20"/>
              </w:rPr>
              <w:t>Hydrophobic; ethanol-soluble; sustained release; GRAS [16]</w:t>
            </w:r>
          </w:p>
        </w:tc>
        <w:tc>
          <w:tcPr>
            <w:tcW w:type="dxa" w:w="1824"/>
            <w:shd w:val="clear" w:color="auto" w:fill="F2F2F2"/>
            <w:vAlign w:val="center"/>
          </w:tcPr>
          <w:p>
            <w:pPr>
              <w:spacing w:after="0"/>
              <w:jc w:val="left"/>
            </w:pPr>
            <w:r>
              <w:rPr>
                <w:rFonts w:ascii="Times New Roman" w:hAnsi="Times New Roman"/>
                <w:b w:val="0"/>
                <w:sz w:val="20"/>
              </w:rPr>
              <w:t>Brittle films; ethanolic feed system</w:t>
            </w:r>
          </w:p>
        </w:tc>
        <w:tc>
          <w:tcPr>
            <w:tcW w:type="dxa" w:w="1824"/>
            <w:shd w:val="clear" w:color="auto" w:fill="F2F2F2"/>
            <w:vAlign w:val="center"/>
          </w:tcPr>
          <w:p>
            <w:pPr>
              <w:spacing w:after="0"/>
              <w:jc w:val="left"/>
            </w:pPr>
            <w:r>
              <w:rPr>
                <w:rFonts w:ascii="Times New Roman" w:hAnsi="Times New Roman"/>
                <w:b w:val="0"/>
                <w:sz w:val="20"/>
              </w:rPr>
              <w:t>High - intrinsically hydrophobic, well matched to P4</w:t>
            </w:r>
          </w:p>
        </w:tc>
      </w:tr>
      <w:tr>
        <w:tc>
          <w:tcPr>
            <w:tcW w:type="dxa" w:w="1824"/>
            <w:vAlign w:val="center"/>
          </w:tcPr>
          <w:p>
            <w:pPr>
              <w:spacing w:after="0"/>
              <w:jc w:val="left"/>
            </w:pPr>
            <w:r>
              <w:rPr>
                <w:rFonts w:ascii="Times New Roman" w:hAnsi="Times New Roman"/>
                <w:b w:val="0"/>
                <w:sz w:val="20"/>
              </w:rPr>
              <w:t>Maltodextrin</w:t>
            </w:r>
          </w:p>
        </w:tc>
        <w:tc>
          <w:tcPr>
            <w:tcW w:type="dxa" w:w="1824"/>
            <w:vAlign w:val="center"/>
          </w:tcPr>
          <w:p>
            <w:pPr>
              <w:spacing w:after="0"/>
              <w:jc w:val="left"/>
            </w:pPr>
            <w:r>
              <w:rPr>
                <w:rFonts w:ascii="Times New Roman" w:hAnsi="Times New Roman"/>
                <w:b w:val="0"/>
                <w:sz w:val="20"/>
              </w:rPr>
              <w:t>Semi-synthetic carbohydrate</w:t>
            </w:r>
          </w:p>
        </w:tc>
        <w:tc>
          <w:tcPr>
            <w:tcW w:type="dxa" w:w="1824"/>
            <w:vAlign w:val="center"/>
          </w:tcPr>
          <w:p>
            <w:pPr>
              <w:spacing w:after="0"/>
              <w:jc w:val="left"/>
            </w:pPr>
            <w:r>
              <w:rPr>
                <w:rFonts w:ascii="Times New Roman" w:hAnsi="Times New Roman"/>
                <w:b w:val="0"/>
                <w:sz w:val="20"/>
              </w:rPr>
              <w:t>Cheap; high Tg; low viscosity; excellent drying yield [1]</w:t>
            </w:r>
          </w:p>
        </w:tc>
        <w:tc>
          <w:tcPr>
            <w:tcW w:type="dxa" w:w="1824"/>
            <w:vAlign w:val="center"/>
          </w:tcPr>
          <w:p>
            <w:pPr>
              <w:spacing w:after="0"/>
              <w:jc w:val="left"/>
            </w:pPr>
            <w:r>
              <w:rPr>
                <w:rFonts w:ascii="Times New Roman" w:hAnsi="Times New Roman"/>
                <w:b w:val="0"/>
                <w:sz w:val="20"/>
              </w:rPr>
              <w:t>No emulsifying capacity; minimal sustained release alone</w:t>
            </w:r>
          </w:p>
        </w:tc>
        <w:tc>
          <w:tcPr>
            <w:tcW w:type="dxa" w:w="1824"/>
            <w:vAlign w:val="center"/>
          </w:tcPr>
          <w:p>
            <w:pPr>
              <w:spacing w:after="0"/>
              <w:jc w:val="left"/>
            </w:pPr>
            <w:r>
              <w:rPr>
                <w:rFonts w:ascii="Times New Roman" w:hAnsi="Times New Roman"/>
                <w:b w:val="0"/>
                <w:sz w:val="20"/>
              </w:rPr>
              <w:t>Indispensable carrier; rarely sole wall for P4</w:t>
            </w:r>
          </w:p>
        </w:tc>
      </w:tr>
      <w:tr>
        <w:tc>
          <w:tcPr>
            <w:tcW w:type="dxa" w:w="1824"/>
            <w:shd w:val="clear" w:color="auto" w:fill="F2F2F2"/>
            <w:vAlign w:val="center"/>
          </w:tcPr>
          <w:p>
            <w:pPr>
              <w:spacing w:after="0"/>
              <w:jc w:val="left"/>
            </w:pPr>
            <w:r>
              <w:rPr>
                <w:rFonts w:ascii="Times New Roman" w:hAnsi="Times New Roman"/>
                <w:b w:val="0"/>
                <w:sz w:val="20"/>
              </w:rPr>
              <w:t>Gum arabic (acacia)</w:t>
            </w:r>
          </w:p>
        </w:tc>
        <w:tc>
          <w:tcPr>
            <w:tcW w:type="dxa" w:w="1824"/>
            <w:shd w:val="clear" w:color="auto" w:fill="F2F2F2"/>
            <w:vAlign w:val="center"/>
          </w:tcPr>
          <w:p>
            <w:pPr>
              <w:spacing w:after="0"/>
              <w:jc w:val="left"/>
            </w:pPr>
            <w:r>
              <w:rPr>
                <w:rFonts w:ascii="Times New Roman" w:hAnsi="Times New Roman"/>
                <w:b w:val="0"/>
                <w:sz w:val="20"/>
              </w:rPr>
              <w:t>Natural polysaccharide-protein complex</w:t>
            </w:r>
          </w:p>
        </w:tc>
        <w:tc>
          <w:tcPr>
            <w:tcW w:type="dxa" w:w="1824"/>
            <w:shd w:val="clear" w:color="auto" w:fill="F2F2F2"/>
            <w:vAlign w:val="center"/>
          </w:tcPr>
          <w:p>
            <w:pPr>
              <w:spacing w:after="0"/>
              <w:jc w:val="left"/>
            </w:pPr>
            <w:r>
              <w:rPr>
                <w:rFonts w:ascii="Times New Roman" w:hAnsi="Times New Roman"/>
                <w:b w:val="0"/>
                <w:sz w:val="20"/>
              </w:rPr>
              <w:t>Amphiphilic; benchmark for lipophiles; high EE [1]</w:t>
            </w:r>
          </w:p>
        </w:tc>
        <w:tc>
          <w:tcPr>
            <w:tcW w:type="dxa" w:w="1824"/>
            <w:shd w:val="clear" w:color="auto" w:fill="F2F2F2"/>
            <w:vAlign w:val="center"/>
          </w:tcPr>
          <w:p>
            <w:pPr>
              <w:spacing w:after="0"/>
              <w:jc w:val="left"/>
            </w:pPr>
            <w:r>
              <w:rPr>
                <w:rFonts w:ascii="Times New Roman" w:hAnsi="Times New Roman"/>
                <w:b w:val="0"/>
                <w:sz w:val="20"/>
              </w:rPr>
              <w:t>Price volatility; supply variability</w:t>
            </w:r>
          </w:p>
        </w:tc>
        <w:tc>
          <w:tcPr>
            <w:tcW w:type="dxa" w:w="1824"/>
            <w:shd w:val="clear" w:color="auto" w:fill="F2F2F2"/>
            <w:vAlign w:val="center"/>
          </w:tcPr>
          <w:p>
            <w:pPr>
              <w:spacing w:after="0"/>
              <w:jc w:val="left"/>
            </w:pPr>
            <w:r>
              <w:rPr>
                <w:rFonts w:ascii="Times New Roman" w:hAnsi="Times New Roman"/>
                <w:b w:val="0"/>
                <w:sz w:val="20"/>
              </w:rPr>
              <w:t>Very high - reference wall material for P4</w:t>
            </w:r>
          </w:p>
        </w:tc>
      </w:tr>
      <w:tr>
        <w:tc>
          <w:tcPr>
            <w:tcW w:type="dxa" w:w="1824"/>
            <w:vAlign w:val="center"/>
          </w:tcPr>
          <w:p>
            <w:pPr>
              <w:spacing w:after="0"/>
              <w:jc w:val="left"/>
            </w:pPr>
            <w:r>
              <w:rPr>
                <w:rFonts w:ascii="Times New Roman" w:hAnsi="Times New Roman"/>
                <w:b w:val="0"/>
                <w:sz w:val="20"/>
              </w:rPr>
              <w:t>Modified (OSA) starch</w:t>
            </w:r>
          </w:p>
        </w:tc>
        <w:tc>
          <w:tcPr>
            <w:tcW w:type="dxa" w:w="1824"/>
            <w:vAlign w:val="center"/>
          </w:tcPr>
          <w:p>
            <w:pPr>
              <w:spacing w:after="0"/>
              <w:jc w:val="left"/>
            </w:pPr>
            <w:r>
              <w:rPr>
                <w:rFonts w:ascii="Times New Roman" w:hAnsi="Times New Roman"/>
                <w:b w:val="0"/>
                <w:sz w:val="20"/>
              </w:rPr>
              <w:t>Semi-synthetic polysaccharide</w:t>
            </w:r>
          </w:p>
        </w:tc>
        <w:tc>
          <w:tcPr>
            <w:tcW w:type="dxa" w:w="1824"/>
            <w:vAlign w:val="center"/>
          </w:tcPr>
          <w:p>
            <w:pPr>
              <w:spacing w:after="0"/>
              <w:jc w:val="left"/>
            </w:pPr>
            <w:r>
              <w:rPr>
                <w:rFonts w:ascii="Times New Roman" w:hAnsi="Times New Roman"/>
                <w:b w:val="0"/>
                <w:sz w:val="20"/>
              </w:rPr>
              <w:t>Strong emulsifier; food-grade; spray-dries well [1]</w:t>
            </w:r>
          </w:p>
        </w:tc>
        <w:tc>
          <w:tcPr>
            <w:tcW w:type="dxa" w:w="1824"/>
            <w:vAlign w:val="center"/>
          </w:tcPr>
          <w:p>
            <w:pPr>
              <w:spacing w:after="0"/>
              <w:jc w:val="left"/>
            </w:pPr>
            <w:r>
              <w:rPr>
                <w:rFonts w:ascii="Times New Roman" w:hAnsi="Times New Roman"/>
                <w:b w:val="0"/>
                <w:sz w:val="20"/>
              </w:rPr>
              <w:t>Higher cost than native starch</w:t>
            </w:r>
          </w:p>
        </w:tc>
        <w:tc>
          <w:tcPr>
            <w:tcW w:type="dxa" w:w="1824"/>
            <w:vAlign w:val="center"/>
          </w:tcPr>
          <w:p>
            <w:pPr>
              <w:spacing w:after="0"/>
              <w:jc w:val="left"/>
            </w:pPr>
            <w:r>
              <w:rPr>
                <w:rFonts w:ascii="Times New Roman" w:hAnsi="Times New Roman"/>
                <w:b w:val="0"/>
                <w:sz w:val="20"/>
              </w:rPr>
              <w:t>High - particularly in blend with maltodextrin</w:t>
            </w:r>
          </w:p>
        </w:tc>
      </w:tr>
      <w:tr>
        <w:tc>
          <w:tcPr>
            <w:tcW w:type="dxa" w:w="1824"/>
            <w:shd w:val="clear" w:color="auto" w:fill="F2F2F2"/>
            <w:vAlign w:val="center"/>
          </w:tcPr>
          <w:p>
            <w:pPr>
              <w:spacing w:after="0"/>
              <w:jc w:val="left"/>
            </w:pPr>
            <w:r>
              <w:rPr>
                <w:rFonts w:ascii="Times New Roman" w:hAnsi="Times New Roman"/>
                <w:b w:val="0"/>
                <w:sz w:val="20"/>
              </w:rPr>
              <w:t>Hydroxypropyl methylcellulose (HPMC)</w:t>
            </w:r>
          </w:p>
        </w:tc>
        <w:tc>
          <w:tcPr>
            <w:tcW w:type="dxa" w:w="1824"/>
            <w:shd w:val="clear" w:color="auto" w:fill="F2F2F2"/>
            <w:vAlign w:val="center"/>
          </w:tcPr>
          <w:p>
            <w:pPr>
              <w:spacing w:after="0"/>
              <w:jc w:val="left"/>
            </w:pPr>
            <w:r>
              <w:rPr>
                <w:rFonts w:ascii="Times New Roman" w:hAnsi="Times New Roman"/>
                <w:b w:val="0"/>
                <w:sz w:val="20"/>
              </w:rPr>
              <w:t>Semi-synthetic cellulose ether</w:t>
            </w:r>
          </w:p>
        </w:tc>
        <w:tc>
          <w:tcPr>
            <w:tcW w:type="dxa" w:w="1824"/>
            <w:shd w:val="clear" w:color="auto" w:fill="F2F2F2"/>
            <w:vAlign w:val="center"/>
          </w:tcPr>
          <w:p>
            <w:pPr>
              <w:spacing w:after="0"/>
              <w:jc w:val="left"/>
            </w:pPr>
            <w:r>
              <w:rPr>
                <w:rFonts w:ascii="Times New Roman" w:hAnsi="Times New Roman"/>
                <w:b w:val="0"/>
                <w:sz w:val="20"/>
              </w:rPr>
              <w:t>Pharma-grade; tunable viscosity grades; sustained release</w:t>
            </w:r>
          </w:p>
        </w:tc>
        <w:tc>
          <w:tcPr>
            <w:tcW w:type="dxa" w:w="1824"/>
            <w:shd w:val="clear" w:color="auto" w:fill="F2F2F2"/>
            <w:vAlign w:val="center"/>
          </w:tcPr>
          <w:p>
            <w:pPr>
              <w:spacing w:after="0"/>
              <w:jc w:val="left"/>
            </w:pPr>
            <w:r>
              <w:rPr>
                <w:rFonts w:ascii="Times New Roman" w:hAnsi="Times New Roman"/>
                <w:b w:val="0"/>
                <w:sz w:val="20"/>
              </w:rPr>
              <w:t>Hydration-dependent gelling; particle aggregation risk</w:t>
            </w:r>
          </w:p>
        </w:tc>
        <w:tc>
          <w:tcPr>
            <w:tcW w:type="dxa" w:w="1824"/>
            <w:shd w:val="clear" w:color="auto" w:fill="F2F2F2"/>
            <w:vAlign w:val="center"/>
          </w:tcPr>
          <w:p>
            <w:pPr>
              <w:spacing w:after="0"/>
              <w:jc w:val="left"/>
            </w:pPr>
            <w:r>
              <w:rPr>
                <w:rFonts w:ascii="Times New Roman" w:hAnsi="Times New Roman"/>
                <w:b w:val="0"/>
                <w:sz w:val="20"/>
              </w:rPr>
              <w:t>High for oral / matrix-tablet P4 systems</w:t>
            </w:r>
          </w:p>
        </w:tc>
      </w:tr>
      <w:tr>
        <w:tc>
          <w:tcPr>
            <w:tcW w:type="dxa" w:w="1824"/>
            <w:vAlign w:val="center"/>
          </w:tcPr>
          <w:p>
            <w:pPr>
              <w:spacing w:after="0"/>
              <w:jc w:val="left"/>
            </w:pPr>
            <w:r>
              <w:rPr>
                <w:rFonts w:ascii="Times New Roman" w:hAnsi="Times New Roman"/>
                <w:b w:val="0"/>
                <w:sz w:val="20"/>
              </w:rPr>
              <w:t>Ethyl cellulose (EC)</w:t>
            </w:r>
          </w:p>
        </w:tc>
        <w:tc>
          <w:tcPr>
            <w:tcW w:type="dxa" w:w="1824"/>
            <w:vAlign w:val="center"/>
          </w:tcPr>
          <w:p>
            <w:pPr>
              <w:spacing w:after="0"/>
              <w:jc w:val="left"/>
            </w:pPr>
            <w:r>
              <w:rPr>
                <w:rFonts w:ascii="Times New Roman" w:hAnsi="Times New Roman"/>
                <w:b w:val="0"/>
                <w:sz w:val="20"/>
              </w:rPr>
              <w:t>Semi-synthetic cellulose ether</w:t>
            </w:r>
          </w:p>
        </w:tc>
        <w:tc>
          <w:tcPr>
            <w:tcW w:type="dxa" w:w="1824"/>
            <w:vAlign w:val="center"/>
          </w:tcPr>
          <w:p>
            <w:pPr>
              <w:spacing w:after="0"/>
              <w:jc w:val="left"/>
            </w:pPr>
            <w:r>
              <w:rPr>
                <w:rFonts w:ascii="Times New Roman" w:hAnsi="Times New Roman"/>
                <w:b w:val="0"/>
                <w:sz w:val="20"/>
              </w:rPr>
              <w:t>Hydrophobic; excellent sustained release</w:t>
            </w:r>
          </w:p>
        </w:tc>
        <w:tc>
          <w:tcPr>
            <w:tcW w:type="dxa" w:w="1824"/>
            <w:vAlign w:val="center"/>
          </w:tcPr>
          <w:p>
            <w:pPr>
              <w:spacing w:after="0"/>
              <w:jc w:val="left"/>
            </w:pPr>
            <w:r>
              <w:rPr>
                <w:rFonts w:ascii="Times New Roman" w:hAnsi="Times New Roman"/>
                <w:b w:val="0"/>
                <w:sz w:val="20"/>
              </w:rPr>
              <w:t>Requires organic solvent; reduced biodegradability</w:t>
            </w:r>
          </w:p>
        </w:tc>
        <w:tc>
          <w:tcPr>
            <w:tcW w:type="dxa" w:w="1824"/>
            <w:vAlign w:val="center"/>
          </w:tcPr>
          <w:p>
            <w:pPr>
              <w:spacing w:after="0"/>
              <w:jc w:val="left"/>
            </w:pPr>
            <w:r>
              <w:rPr>
                <w:rFonts w:ascii="Times New Roman" w:hAnsi="Times New Roman"/>
                <w:b w:val="0"/>
                <w:sz w:val="20"/>
              </w:rPr>
              <w:t>High - in blend with HPMC for biphasic P4 release</w:t>
            </w:r>
          </w:p>
        </w:tc>
      </w:tr>
      <w:tr>
        <w:tc>
          <w:tcPr>
            <w:tcW w:type="dxa" w:w="1824"/>
            <w:shd w:val="clear" w:color="auto" w:fill="F2F2F2"/>
            <w:vAlign w:val="center"/>
          </w:tcPr>
          <w:p>
            <w:pPr>
              <w:spacing w:after="0"/>
              <w:jc w:val="left"/>
            </w:pPr>
            <w:r>
              <w:rPr>
                <w:rFonts w:ascii="Times New Roman" w:hAnsi="Times New Roman"/>
                <w:b w:val="0"/>
                <w:sz w:val="20"/>
              </w:rPr>
              <w:t>Polyvinyl alcohol (PVA)</w:t>
            </w:r>
          </w:p>
        </w:tc>
        <w:tc>
          <w:tcPr>
            <w:tcW w:type="dxa" w:w="1824"/>
            <w:shd w:val="clear" w:color="auto" w:fill="F2F2F2"/>
            <w:vAlign w:val="center"/>
          </w:tcPr>
          <w:p>
            <w:pPr>
              <w:spacing w:after="0"/>
              <w:jc w:val="left"/>
            </w:pPr>
            <w:r>
              <w:rPr>
                <w:rFonts w:ascii="Times New Roman" w:hAnsi="Times New Roman"/>
                <w:b w:val="0"/>
                <w:sz w:val="20"/>
              </w:rPr>
              <w:t>Synthetic water-soluble polymer</w:t>
            </w:r>
          </w:p>
        </w:tc>
        <w:tc>
          <w:tcPr>
            <w:tcW w:type="dxa" w:w="1824"/>
            <w:shd w:val="clear" w:color="auto" w:fill="F2F2F2"/>
            <w:vAlign w:val="center"/>
          </w:tcPr>
          <w:p>
            <w:pPr>
              <w:spacing w:after="0"/>
              <w:jc w:val="left"/>
            </w:pPr>
            <w:r>
              <w:rPr>
                <w:rFonts w:ascii="Times New Roman" w:hAnsi="Times New Roman"/>
                <w:b w:val="0"/>
                <w:sz w:val="20"/>
              </w:rPr>
              <w:t>Film-forming; biocompatible; emulsion stabiliser</w:t>
            </w:r>
          </w:p>
        </w:tc>
        <w:tc>
          <w:tcPr>
            <w:tcW w:type="dxa" w:w="1824"/>
            <w:shd w:val="clear" w:color="auto" w:fill="F2F2F2"/>
            <w:vAlign w:val="center"/>
          </w:tcPr>
          <w:p>
            <w:pPr>
              <w:spacing w:after="0"/>
              <w:jc w:val="left"/>
            </w:pPr>
            <w:r>
              <w:rPr>
                <w:rFonts w:ascii="Times New Roman" w:hAnsi="Times New Roman"/>
                <w:b w:val="0"/>
                <w:sz w:val="20"/>
              </w:rPr>
              <w:t>Slow biodegradation; mostly used as stabiliser, not sole wall</w:t>
            </w:r>
          </w:p>
        </w:tc>
        <w:tc>
          <w:tcPr>
            <w:tcW w:type="dxa" w:w="1824"/>
            <w:shd w:val="clear" w:color="auto" w:fill="F2F2F2"/>
            <w:vAlign w:val="center"/>
          </w:tcPr>
          <w:p>
            <w:pPr>
              <w:spacing w:after="0"/>
              <w:jc w:val="left"/>
            </w:pPr>
            <w:r>
              <w:rPr>
                <w:rFonts w:ascii="Times New Roman" w:hAnsi="Times New Roman"/>
                <w:b w:val="0"/>
                <w:sz w:val="20"/>
              </w:rPr>
              <w:t>Low-moderate as sole wall; useful as stabiliser</w:t>
            </w:r>
          </w:p>
        </w:tc>
      </w:tr>
      <w:tr>
        <w:tc>
          <w:tcPr>
            <w:tcW w:type="dxa" w:w="1824"/>
            <w:vAlign w:val="center"/>
          </w:tcPr>
          <w:p>
            <w:pPr>
              <w:spacing w:after="0"/>
              <w:jc w:val="left"/>
            </w:pPr>
            <w:r>
              <w:rPr>
                <w:rFonts w:ascii="Times New Roman" w:hAnsi="Times New Roman"/>
                <w:b w:val="0"/>
                <w:sz w:val="20"/>
              </w:rPr>
              <w:t>Polyethylene glycol (PEG)</w:t>
            </w:r>
          </w:p>
        </w:tc>
        <w:tc>
          <w:tcPr>
            <w:tcW w:type="dxa" w:w="1824"/>
            <w:vAlign w:val="center"/>
          </w:tcPr>
          <w:p>
            <w:pPr>
              <w:spacing w:after="0"/>
              <w:jc w:val="left"/>
            </w:pPr>
            <w:r>
              <w:rPr>
                <w:rFonts w:ascii="Times New Roman" w:hAnsi="Times New Roman"/>
                <w:b w:val="0"/>
                <w:sz w:val="20"/>
              </w:rPr>
              <w:t>Synthetic hydrophilic polymer</w:t>
            </w:r>
          </w:p>
        </w:tc>
        <w:tc>
          <w:tcPr>
            <w:tcW w:type="dxa" w:w="1824"/>
            <w:vAlign w:val="center"/>
          </w:tcPr>
          <w:p>
            <w:pPr>
              <w:spacing w:after="0"/>
              <w:jc w:val="left"/>
            </w:pPr>
            <w:r>
              <w:rPr>
                <w:rFonts w:ascii="Times New Roman" w:hAnsi="Times New Roman"/>
                <w:b w:val="0"/>
                <w:sz w:val="20"/>
              </w:rPr>
              <w:t>Biocompatible; widely used as plasticiser/co-polymer</w:t>
            </w:r>
          </w:p>
        </w:tc>
        <w:tc>
          <w:tcPr>
            <w:tcW w:type="dxa" w:w="1824"/>
            <w:vAlign w:val="center"/>
          </w:tcPr>
          <w:p>
            <w:pPr>
              <w:spacing w:after="0"/>
              <w:jc w:val="left"/>
            </w:pPr>
            <w:r>
              <w:rPr>
                <w:rFonts w:ascii="Times New Roman" w:hAnsi="Times New Roman"/>
                <w:b w:val="0"/>
                <w:sz w:val="20"/>
              </w:rPr>
              <w:t>Not biodegradable above 4-6 kDa; rapid dissolution</w:t>
            </w:r>
          </w:p>
        </w:tc>
        <w:tc>
          <w:tcPr>
            <w:tcW w:type="dxa" w:w="1824"/>
            <w:vAlign w:val="center"/>
          </w:tcPr>
          <w:p>
            <w:pPr>
              <w:spacing w:after="0"/>
              <w:jc w:val="left"/>
            </w:pPr>
            <w:r>
              <w:rPr>
                <w:rFonts w:ascii="Times New Roman" w:hAnsi="Times New Roman"/>
                <w:b w:val="0"/>
                <w:sz w:val="20"/>
              </w:rPr>
              <w:t>Useful only as plasticiser / co-excipient</w:t>
            </w:r>
          </w:p>
        </w:tc>
      </w:tr>
      <w:tr>
        <w:tc>
          <w:tcPr>
            <w:tcW w:type="dxa" w:w="1824"/>
            <w:shd w:val="clear" w:color="auto" w:fill="F2F2F2"/>
            <w:vAlign w:val="center"/>
          </w:tcPr>
          <w:p>
            <w:pPr>
              <w:spacing w:after="0"/>
              <w:jc w:val="left"/>
            </w:pPr>
            <w:r>
              <w:rPr>
                <w:rFonts w:ascii="Times New Roman" w:hAnsi="Times New Roman"/>
                <w:b w:val="0"/>
                <w:sz w:val="20"/>
              </w:rPr>
              <w:t>Polycaprolactone (PCL)</w:t>
            </w:r>
          </w:p>
        </w:tc>
        <w:tc>
          <w:tcPr>
            <w:tcW w:type="dxa" w:w="1824"/>
            <w:shd w:val="clear" w:color="auto" w:fill="F2F2F2"/>
            <w:vAlign w:val="center"/>
          </w:tcPr>
          <w:p>
            <w:pPr>
              <w:spacing w:after="0"/>
              <w:jc w:val="left"/>
            </w:pPr>
            <w:r>
              <w:rPr>
                <w:rFonts w:ascii="Times New Roman" w:hAnsi="Times New Roman"/>
                <w:b w:val="0"/>
                <w:sz w:val="20"/>
              </w:rPr>
              <w:t>Synthetic biodegradable polyester</w:t>
            </w:r>
          </w:p>
        </w:tc>
        <w:tc>
          <w:tcPr>
            <w:tcW w:type="dxa" w:w="1824"/>
            <w:shd w:val="clear" w:color="auto" w:fill="F2F2F2"/>
            <w:vAlign w:val="center"/>
          </w:tcPr>
          <w:p>
            <w:pPr>
              <w:spacing w:after="0"/>
              <w:jc w:val="left"/>
            </w:pPr>
            <w:r>
              <w:rPr>
                <w:rFonts w:ascii="Times New Roman" w:hAnsi="Times New Roman"/>
                <w:b w:val="0"/>
                <w:sz w:val="20"/>
              </w:rPr>
              <w:t>Slow biodegradation; long-acting depot potential</w:t>
            </w:r>
          </w:p>
        </w:tc>
        <w:tc>
          <w:tcPr>
            <w:tcW w:type="dxa" w:w="1824"/>
            <w:shd w:val="clear" w:color="auto" w:fill="F2F2F2"/>
            <w:vAlign w:val="center"/>
          </w:tcPr>
          <w:p>
            <w:pPr>
              <w:spacing w:after="0"/>
              <w:jc w:val="left"/>
            </w:pPr>
            <w:r>
              <w:rPr>
                <w:rFonts w:ascii="Times New Roman" w:hAnsi="Times New Roman"/>
                <w:b w:val="0"/>
                <w:sz w:val="20"/>
              </w:rPr>
              <w:t>Hydrophobic; needs organic solvents; high cost</w:t>
            </w:r>
          </w:p>
        </w:tc>
        <w:tc>
          <w:tcPr>
            <w:tcW w:type="dxa" w:w="1824"/>
            <w:shd w:val="clear" w:color="auto" w:fill="F2F2F2"/>
            <w:vAlign w:val="center"/>
          </w:tcPr>
          <w:p>
            <w:pPr>
              <w:spacing w:after="0"/>
              <w:jc w:val="left"/>
            </w:pPr>
            <w:r>
              <w:rPr>
                <w:rFonts w:ascii="Times New Roman" w:hAnsi="Times New Roman"/>
                <w:b w:val="0"/>
                <w:sz w:val="20"/>
              </w:rPr>
              <w:t>Niche - subcutaneous long-acting P4 implants</w:t>
            </w:r>
          </w:p>
        </w:tc>
      </w:tr>
      <w:tr>
        <w:tc>
          <w:tcPr>
            <w:tcW w:type="dxa" w:w="1824"/>
            <w:vAlign w:val="center"/>
          </w:tcPr>
          <w:p>
            <w:pPr>
              <w:spacing w:after="0"/>
              <w:jc w:val="left"/>
            </w:pPr>
            <w:r>
              <w:rPr>
                <w:rFonts w:ascii="Times New Roman" w:hAnsi="Times New Roman"/>
                <w:b w:val="0"/>
                <w:sz w:val="20"/>
              </w:rPr>
              <w:t>Poly(lactic-co-glycolic acid) (PLGA)</w:t>
            </w:r>
          </w:p>
        </w:tc>
        <w:tc>
          <w:tcPr>
            <w:tcW w:type="dxa" w:w="1824"/>
            <w:vAlign w:val="center"/>
          </w:tcPr>
          <w:p>
            <w:pPr>
              <w:spacing w:after="0"/>
              <w:jc w:val="left"/>
            </w:pPr>
            <w:r>
              <w:rPr>
                <w:rFonts w:ascii="Times New Roman" w:hAnsi="Times New Roman"/>
                <w:b w:val="0"/>
                <w:sz w:val="20"/>
              </w:rPr>
              <w:t>Synthetic biodegradable polyester</w:t>
            </w:r>
          </w:p>
        </w:tc>
        <w:tc>
          <w:tcPr>
            <w:tcW w:type="dxa" w:w="1824"/>
            <w:vAlign w:val="center"/>
          </w:tcPr>
          <w:p>
            <w:pPr>
              <w:spacing w:after="0"/>
              <w:jc w:val="left"/>
            </w:pPr>
            <w:r>
              <w:rPr>
                <w:rFonts w:ascii="Times New Roman" w:hAnsi="Times New Roman"/>
                <w:b w:val="0"/>
                <w:sz w:val="20"/>
              </w:rPr>
              <w:t>FDA-approved; tunable degradation; weeks-months release [18,19]</w:t>
            </w:r>
          </w:p>
        </w:tc>
        <w:tc>
          <w:tcPr>
            <w:tcW w:type="dxa" w:w="1824"/>
            <w:vAlign w:val="center"/>
          </w:tcPr>
          <w:p>
            <w:pPr>
              <w:spacing w:after="0"/>
              <w:jc w:val="left"/>
            </w:pPr>
            <w:r>
              <w:rPr>
                <w:rFonts w:ascii="Times New Roman" w:hAnsi="Times New Roman"/>
                <w:b w:val="0"/>
                <w:sz w:val="20"/>
              </w:rPr>
              <w:t>Expensive; organic solvents; GMP-intensive</w:t>
            </w:r>
          </w:p>
        </w:tc>
        <w:tc>
          <w:tcPr>
            <w:tcW w:type="dxa" w:w="1824"/>
            <w:vAlign w:val="center"/>
          </w:tcPr>
          <w:p>
            <w:pPr>
              <w:spacing w:after="0"/>
              <w:jc w:val="left"/>
            </w:pPr>
            <w:r>
              <w:rPr>
                <w:rFonts w:ascii="Times New Roman" w:hAnsi="Times New Roman"/>
                <w:b w:val="0"/>
                <w:sz w:val="20"/>
              </w:rPr>
              <w:t>Very high for parenteral long-acting P4 microspheres</w:t>
            </w:r>
          </w:p>
        </w:tc>
      </w:tr>
      <w:tr>
        <w:tc>
          <w:tcPr>
            <w:tcW w:type="dxa" w:w="1824"/>
            <w:shd w:val="clear" w:color="auto" w:fill="F2F2F2"/>
            <w:vAlign w:val="center"/>
          </w:tcPr>
          <w:p>
            <w:pPr>
              <w:spacing w:after="0"/>
              <w:jc w:val="left"/>
            </w:pPr>
            <w:r>
              <w:rPr>
                <w:rFonts w:ascii="Times New Roman" w:hAnsi="Times New Roman"/>
                <w:b w:val="0"/>
                <w:sz w:val="20"/>
              </w:rPr>
              <w:t>Cyclodextrins (HP-beta-CD, beta-CD)</w:t>
            </w:r>
          </w:p>
        </w:tc>
        <w:tc>
          <w:tcPr>
            <w:tcW w:type="dxa" w:w="1824"/>
            <w:shd w:val="clear" w:color="auto" w:fill="F2F2F2"/>
            <w:vAlign w:val="center"/>
          </w:tcPr>
          <w:p>
            <w:pPr>
              <w:spacing w:after="0"/>
              <w:jc w:val="left"/>
            </w:pPr>
            <w:r>
              <w:rPr>
                <w:rFonts w:ascii="Times New Roman" w:hAnsi="Times New Roman"/>
                <w:b w:val="0"/>
                <w:sz w:val="20"/>
              </w:rPr>
              <w:t>Semi-synthetic cyclic oligosaccharide</w:t>
            </w:r>
          </w:p>
        </w:tc>
        <w:tc>
          <w:tcPr>
            <w:tcW w:type="dxa" w:w="1824"/>
            <w:shd w:val="clear" w:color="auto" w:fill="F2F2F2"/>
            <w:vAlign w:val="center"/>
          </w:tcPr>
          <w:p>
            <w:pPr>
              <w:spacing w:after="0"/>
              <w:jc w:val="left"/>
            </w:pPr>
            <w:r>
              <w:rPr>
                <w:rFonts w:ascii="Times New Roman" w:hAnsi="Times New Roman"/>
                <w:b w:val="0"/>
                <w:sz w:val="20"/>
              </w:rPr>
              <w:t>Inclusion complex with P4; solubility enhancement</w:t>
            </w:r>
          </w:p>
        </w:tc>
        <w:tc>
          <w:tcPr>
            <w:tcW w:type="dxa" w:w="1824"/>
            <w:shd w:val="clear" w:color="auto" w:fill="F2F2F2"/>
            <w:vAlign w:val="center"/>
          </w:tcPr>
          <w:p>
            <w:pPr>
              <w:spacing w:after="0"/>
              <w:jc w:val="left"/>
            </w:pPr>
            <w:r>
              <w:rPr>
                <w:rFonts w:ascii="Times New Roman" w:hAnsi="Times New Roman"/>
                <w:b w:val="0"/>
                <w:sz w:val="20"/>
              </w:rPr>
              <w:t>Cost (HP-beta-CD); rapid release alone</w:t>
            </w:r>
          </w:p>
        </w:tc>
        <w:tc>
          <w:tcPr>
            <w:tcW w:type="dxa" w:w="1824"/>
            <w:shd w:val="clear" w:color="auto" w:fill="F2F2F2"/>
            <w:vAlign w:val="center"/>
          </w:tcPr>
          <w:p>
            <w:pPr>
              <w:spacing w:after="0"/>
              <w:jc w:val="left"/>
            </w:pPr>
            <w:r>
              <w:rPr>
                <w:rFonts w:ascii="Times New Roman" w:hAnsi="Times New Roman"/>
                <w:b w:val="0"/>
                <w:sz w:val="20"/>
              </w:rPr>
              <w:t>High - especially as solubiliser within composite walls</w:t>
            </w:r>
          </w:p>
        </w:tc>
      </w:tr>
    </w:tbl>
    <w:p/>
    <w:p>
      <w:pPr>
        <w:pStyle w:val="Heading2"/>
      </w:pPr>
      <w:r>
        <w:t>7.2 Procurement and quality of materials</w:t>
      </w:r>
    </w:p>
    <w:p>
      <w:pPr>
        <w:pStyle w:val="ListBullet"/>
        <w:jc w:val="both"/>
      </w:pPr>
      <w:r>
        <w:rPr>
          <w:rFonts w:ascii="Times New Roman" w:hAnsi="Times New Roman"/>
          <w:sz w:val="24"/>
        </w:rPr>
        <w:t>Progesterone of pharmaceutical grade (USP/IP), purity &gt;= 99%, obtained from an indexed supplier with Certificate of Analysis.</w:t>
      </w:r>
    </w:p>
    <w:p>
      <w:pPr>
        <w:pStyle w:val="ListBullet"/>
        <w:jc w:val="both"/>
      </w:pPr>
      <w:r>
        <w:rPr>
          <w:rFonts w:ascii="Times New Roman" w:hAnsi="Times New Roman"/>
          <w:sz w:val="24"/>
        </w:rPr>
        <w:t>Biopolymers of food or pharmaceutical grade as specified in Table 1, with appropriate Certificates of Analysis.</w:t>
      </w:r>
    </w:p>
    <w:p>
      <w:pPr>
        <w:pStyle w:val="ListBullet"/>
        <w:jc w:val="both"/>
      </w:pPr>
      <w:r>
        <w:rPr>
          <w:rFonts w:ascii="Times New Roman" w:hAnsi="Times New Roman"/>
          <w:sz w:val="24"/>
        </w:rPr>
        <w:t>Solvents (ethanol, dichloromethane, dimethyl sulfoxide, distilled water) of HPLC or analytical grade.</w:t>
      </w:r>
    </w:p>
    <w:p>
      <w:pPr>
        <w:pStyle w:val="ListBullet"/>
        <w:jc w:val="both"/>
      </w:pPr>
      <w:r>
        <w:rPr>
          <w:rFonts w:ascii="Times New Roman" w:hAnsi="Times New Roman"/>
          <w:sz w:val="24"/>
        </w:rPr>
        <w:t>Crosslinking agents (calcium chloride, sodium tripolyphosphate) and surfactants (Tween 80, sodium dodecyl sulfate) of analytical grade.</w:t>
      </w:r>
    </w:p>
    <w:p>
      <w:pPr>
        <w:pStyle w:val="Heading2"/>
      </w:pPr>
      <w:r>
        <w:t>7.3 Drug-polymer compatibility screening</w:t>
      </w:r>
    </w:p>
    <w:p>
      <w:r>
        <w:rPr>
          <w:rFonts w:ascii="Times New Roman" w:hAnsi="Times New Roman"/>
          <w:b w:val="0"/>
          <w:i w:val="0"/>
        </w:rPr>
        <w:t>Compatibility of progesterone with each candidate polymer will be assessed prior to spray drying using: (i) FTIR spectroscopy of physical mixtures (1:1 w/w) compared with individual components, to detect chemical interaction or hydrogen-bonding shifts; (ii) DSC thermograms of physical mixtures to detect shifts or disappearance of the progesterone melting endotherm at approximately 128-131 deg C; (iii) accelerated isothermal stress (40 deg C / 75% relative humidity, 4 weeks) followed by HPLC assay; and (iv) solubility/miscibility evaluation in the candidate feed solvent system.</w:t>
      </w:r>
    </w:p>
    <w:p>
      <w:pPr>
        <w:pStyle w:val="Heading2"/>
      </w:pPr>
      <w:r>
        <w:t>7.4 Preparation of feed and progesterone solubilisation</w:t>
      </w:r>
    </w:p>
    <w:p>
      <w:r>
        <w:rPr>
          <w:rFonts w:ascii="Times New Roman" w:hAnsi="Times New Roman"/>
          <w:b w:val="0"/>
          <w:i w:val="0"/>
        </w:rPr>
        <w:t>Polymer solutions will be prepared at 5-15% w/v in the appropriate solvent system (water for chitosan/HCl, water for alginate, water-ethanol for whey protein, ethanol-water for zein, dichloromethane or acetone for PLGA/PCL/EC, and water for maltodextrin/gum arabic blends). Progesterone will be dissolved or molecularly dispersed at drug:polymer ratios of 1:5, 1:10 and 1:20 w/w. For aqueous biopolymer feeds, an oil-in-water emulsion or a hydroxypropyl-beta-cyclodextrin inclusion complex will be employed to keep progesterone in solution.</w:t>
      </w:r>
    </w:p>
    <w:p>
      <w:pPr>
        <w:pStyle w:val="Heading2"/>
      </w:pPr>
      <w:r>
        <w:t>7.5 Spray drying procedure</w:t>
      </w:r>
    </w:p>
    <w:p>
      <w:r>
        <w:rPr>
          <w:rFonts w:ascii="Times New Roman" w:hAnsi="Times New Roman"/>
          <w:b w:val="0"/>
          <w:i w:val="0"/>
        </w:rPr>
        <w:t>Spray drying will be performed on a laboratory scale using a Buchi Mini Spray Dryer B-290 (or equivalent) equipped with a two-fluid nozzle (0.7 mm tip), with the following central operating window adapted from established literature for thermolabile actives [1,2,3]:</w:t>
      </w:r>
    </w:p>
    <w:p>
      <w:pPr>
        <w:pStyle w:val="ListBullet"/>
        <w:jc w:val="both"/>
      </w:pPr>
      <w:r>
        <w:rPr>
          <w:rFonts w:ascii="Times New Roman" w:hAnsi="Times New Roman"/>
          <w:sz w:val="24"/>
        </w:rPr>
        <w:t>Inlet air temperature: 130-180 deg C</w:t>
      </w:r>
    </w:p>
    <w:p>
      <w:pPr>
        <w:pStyle w:val="ListBullet"/>
        <w:jc w:val="both"/>
      </w:pPr>
      <w:r>
        <w:rPr>
          <w:rFonts w:ascii="Times New Roman" w:hAnsi="Times New Roman"/>
          <w:sz w:val="24"/>
        </w:rPr>
        <w:t>Outlet air temperature: 70-95 deg C (allowed to float)</w:t>
      </w:r>
    </w:p>
    <w:p>
      <w:pPr>
        <w:pStyle w:val="ListBullet"/>
        <w:jc w:val="both"/>
      </w:pPr>
      <w:r>
        <w:rPr>
          <w:rFonts w:ascii="Times New Roman" w:hAnsi="Times New Roman"/>
          <w:sz w:val="24"/>
        </w:rPr>
        <w:t>Feed flow rate: 4-12 mL/min</w:t>
      </w:r>
    </w:p>
    <w:p>
      <w:pPr>
        <w:pStyle w:val="ListBullet"/>
        <w:jc w:val="both"/>
      </w:pPr>
      <w:r>
        <w:rPr>
          <w:rFonts w:ascii="Times New Roman" w:hAnsi="Times New Roman"/>
          <w:sz w:val="24"/>
        </w:rPr>
        <w:t>Atomisation air pressure: 2-6 bar</w:t>
      </w:r>
    </w:p>
    <w:p>
      <w:pPr>
        <w:pStyle w:val="ListBullet"/>
        <w:jc w:val="both"/>
      </w:pPr>
      <w:r>
        <w:rPr>
          <w:rFonts w:ascii="Times New Roman" w:hAnsi="Times New Roman"/>
          <w:sz w:val="24"/>
        </w:rPr>
        <w:t>Aspirator setting: 90-100% (approximately 35-40 m^3/h)</w:t>
      </w:r>
    </w:p>
    <w:p>
      <w:pPr>
        <w:pStyle w:val="ListBullet"/>
        <w:jc w:val="both"/>
      </w:pPr>
      <w:r>
        <w:rPr>
          <w:rFonts w:ascii="Times New Roman" w:hAnsi="Times New Roman"/>
          <w:sz w:val="24"/>
        </w:rPr>
        <w:t>Feed solid content: 10-25% w/v</w:t>
      </w:r>
    </w:p>
    <w:p>
      <w:r>
        <w:rPr>
          <w:rFonts w:ascii="Times New Roman" w:hAnsi="Times New Roman"/>
          <w:b w:val="0"/>
          <w:i w:val="0"/>
        </w:rPr>
        <w:t>A two-level factorial (or central composite) design will be employed to study the influence of inlet temperature, feed flow rate, drug:polymer ratio and feed solid content on encapsulation efficiency and particle yield, with response-surface optimisation as recommended by Paulo and Santos (2017) [11].</w:t>
      </w:r>
    </w:p>
    <w:p>
      <w:pPr>
        <w:pStyle w:val="Heading2"/>
      </w:pPr>
      <w:r>
        <w:t>7.6 Determination of encapsulation efficiency and drug loading</w:t>
      </w:r>
    </w:p>
    <w:p>
      <w:r>
        <w:rPr>
          <w:rFonts w:ascii="Times New Roman" w:hAnsi="Times New Roman"/>
          <w:b w:val="0"/>
          <w:i w:val="0"/>
        </w:rPr>
        <w:t>Total progesterone content will be assayed by dissolving an accurately weighed mass of microparticles in a suitable solvent, filtering, and quantifying by validated reverse-phase HPLC (C18 column, methanol-water or acetonitrile-water mobile phase, UV detection at approximately 240 nm). Surface (non-encapsulated) drug will be removed by gentle washing with a non-solvent for progesterone and assayed separately. Encapsulation Efficiency (EE) and Drug Loading (DL) will be calculated as:</w:t>
      </w:r>
    </w:p>
    <w:p>
      <w:r>
        <w:rPr>
          <w:rFonts w:ascii="Times New Roman" w:hAnsi="Times New Roman"/>
          <w:b w:val="0"/>
          <w:i/>
        </w:rPr>
        <w:t xml:space="preserve">    EE (%) = (Encapsulated progesterone / Total progesterone in feed) x 100</w:t>
      </w:r>
    </w:p>
    <w:p>
      <w:r>
        <w:rPr>
          <w:rFonts w:ascii="Times New Roman" w:hAnsi="Times New Roman"/>
          <w:b w:val="0"/>
          <w:i/>
        </w:rPr>
        <w:t xml:space="preserve">    DL (%) = (Encapsulated progesterone / Total weight of microparticles) x 100</w:t>
      </w:r>
    </w:p>
    <w:p>
      <w:pPr>
        <w:pStyle w:val="Heading2"/>
      </w:pPr>
      <w:r>
        <w:t>7.7 Physico-chemical characterisation</w:t>
      </w:r>
    </w:p>
    <w:p>
      <w:pPr>
        <w:pStyle w:val="ListBullet"/>
        <w:jc w:val="both"/>
      </w:pPr>
      <w:r>
        <w:rPr>
          <w:rFonts w:ascii="Times New Roman" w:hAnsi="Times New Roman"/>
          <w:sz w:val="24"/>
        </w:rPr>
        <w:t>Particle size and polydispersity index (PDI): laser diffraction (Mastersizer) and/or dynamic light scattering (Zetasizer).</w:t>
      </w:r>
    </w:p>
    <w:p>
      <w:pPr>
        <w:pStyle w:val="ListBullet"/>
        <w:jc w:val="both"/>
      </w:pPr>
      <w:r>
        <w:rPr>
          <w:rFonts w:ascii="Times New Roman" w:hAnsi="Times New Roman"/>
          <w:sz w:val="24"/>
        </w:rPr>
        <w:t>Surface morphology: scanning electron microscopy (SEM), with transmission electron microscopy (TEM) where sub-micron particles are produced.</w:t>
      </w:r>
    </w:p>
    <w:p>
      <w:pPr>
        <w:pStyle w:val="ListBullet"/>
        <w:jc w:val="both"/>
      </w:pPr>
      <w:r>
        <w:rPr>
          <w:rFonts w:ascii="Times New Roman" w:hAnsi="Times New Roman"/>
          <w:sz w:val="24"/>
        </w:rPr>
        <w:t>Zeta potential: electrophoretic mobility (Zetasizer) at physiologically relevant pH.</w:t>
      </w:r>
    </w:p>
    <w:p>
      <w:pPr>
        <w:pStyle w:val="ListBullet"/>
        <w:jc w:val="both"/>
      </w:pPr>
      <w:r>
        <w:rPr>
          <w:rFonts w:ascii="Times New Roman" w:hAnsi="Times New Roman"/>
          <w:sz w:val="24"/>
        </w:rPr>
        <w:t>Residual moisture: Karl Fischer titration or thermogravimetric analysis (TGA).</w:t>
      </w:r>
    </w:p>
    <w:p>
      <w:pPr>
        <w:pStyle w:val="ListBullet"/>
        <w:jc w:val="both"/>
      </w:pPr>
      <w:r>
        <w:rPr>
          <w:rFonts w:ascii="Times New Roman" w:hAnsi="Times New Roman"/>
          <w:sz w:val="24"/>
        </w:rPr>
        <w:t>Solid-state characterisation: differential scanning calorimetry (DSC) and powder X-ray diffraction (XRD) to detect amorphisation or polymorphic conversion of progesterone within the matrix.</w:t>
      </w:r>
    </w:p>
    <w:p>
      <w:pPr>
        <w:pStyle w:val="ListBullet"/>
        <w:jc w:val="both"/>
      </w:pPr>
      <w:r>
        <w:rPr>
          <w:rFonts w:ascii="Times New Roman" w:hAnsi="Times New Roman"/>
          <w:sz w:val="24"/>
        </w:rPr>
        <w:t>Drug-polymer interaction: Fourier-transform infrared (FTIR) spectroscopy.</w:t>
      </w:r>
    </w:p>
    <w:p>
      <w:pPr>
        <w:pStyle w:val="ListBullet"/>
        <w:jc w:val="both"/>
      </w:pPr>
      <w:r>
        <w:rPr>
          <w:rFonts w:ascii="Times New Roman" w:hAnsi="Times New Roman"/>
          <w:sz w:val="24"/>
        </w:rPr>
        <w:t>Flow properties: angle of repose, Carr's compressibility index, Hausner ratio.</w:t>
      </w:r>
    </w:p>
    <w:p>
      <w:pPr>
        <w:pStyle w:val="Heading2"/>
      </w:pPr>
      <w:r>
        <w:t>7.8 In-vitro release study</w:t>
      </w:r>
    </w:p>
    <w:p>
      <w:r>
        <w:rPr>
          <w:rFonts w:ascii="Times New Roman" w:hAnsi="Times New Roman"/>
          <w:b w:val="0"/>
          <w:i w:val="0"/>
        </w:rPr>
        <w:t>In-vitro progesterone release will be evaluated using a USP Type II (paddle) apparatus, or a dialysis-bag method for sub-micron formulations, in simulated vaginal fluid (pH 4.2, Owen and Katz formulation) and simulated body fluid (pH 7.4) at 37 +/- 0.5 deg C with constant stirring. Aliquots will be withdrawn at predefined intervals up to 240 hours, replaced with fresh medium, filtered, and assayed by validated HPLC. Cumulative release data will be fitted to zero-order, first-order, Higuchi, Korsmeyer-Peppas, Hixson-Crowell and Weibull models, and the best-fit model identified by adjusted R^2 and Akaike Information Criterion [14,20,21,22].</w:t>
      </w:r>
    </w:p>
    <w:p>
      <w:pPr>
        <w:pStyle w:val="Heading2"/>
      </w:pPr>
      <w:r>
        <w:t>7.9 Stability study</w:t>
      </w:r>
    </w:p>
    <w:p>
      <w:r>
        <w:rPr>
          <w:rFonts w:ascii="Times New Roman" w:hAnsi="Times New Roman"/>
          <w:b w:val="0"/>
          <w:i w:val="0"/>
        </w:rPr>
        <w:t>Optimised formulations will be packed in amber glass vials with silica desiccant and subjected to (a) accelerated stability at 40 +/- 2 deg C / 75 +/- 5% relative humidity for three months and (b) long-term stability at 25 +/- 2 deg C / 60 +/- 5% relative humidity for six months, in line with ICH Q1A(R2) principles. Drug content, encapsulation efficiency, particle size and morphology will be reassessed at 0, 1, 2, 3 and 6 months.</w:t>
      </w:r>
    </w:p>
    <w:p>
      <w:pPr>
        <w:pStyle w:val="Heading2"/>
      </w:pPr>
      <w:r>
        <w:t>7.10 Statistical analysis</w:t>
      </w:r>
    </w:p>
    <w:p>
      <w:r>
        <w:rPr>
          <w:rFonts w:ascii="Times New Roman" w:hAnsi="Times New Roman"/>
          <w:b w:val="0"/>
          <w:i w:val="0"/>
        </w:rPr>
        <w:t>All experiments will be performed in triplicate (n &gt;= 3) and results expressed as mean +/- standard deviation. Statistical comparison among formulations will use one-way ANOVA followed by Tukey's HSD test, with significance set at p &lt; 0.05. Design of Experiments analysis (factorial / response surface) will be performed using Design-Expert or Minitab. Release-kinetic model fitting will use DDSolver or equivalent.</w:t>
      </w:r>
    </w:p>
    <w:p>
      <w:pPr>
        <w:pStyle w:val="Heading2"/>
      </w:pPr>
      <w:r>
        <w:t>7.11 Spray drying versus alternative encapsulation methods</w:t>
      </w:r>
    </w:p>
    <w:p>
      <w:pPr>
        <w:jc w:val="left"/>
      </w:pPr>
      <w:r>
        <w:rPr>
          <w:rFonts w:ascii="Times New Roman" w:hAnsi="Times New Roman"/>
          <w:b/>
          <w:i/>
          <w:sz w:val="22"/>
        </w:rPr>
        <w:t>Table 2. Spray drying vs alternative encapsulation methods for progesterone microparticles.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8"/>
            <w:vAlign w:val="center"/>
          </w:tcPr>
          <w:p>
            <w:pPr>
              <w:spacing w:after="0"/>
              <w:jc w:val="center"/>
            </w:pPr>
            <w:r>
              <w:rPr>
                <w:rFonts w:ascii="Times New Roman" w:hAnsi="Times New Roman"/>
                <w:b/>
                <w:color w:val="FFFFFF"/>
                <w:sz w:val="20"/>
              </w:rPr>
              <w:t>Method</w:t>
            </w:r>
          </w:p>
        </w:tc>
        <w:tc>
          <w:tcPr>
            <w:tcW w:type="dxa" w:w="1824"/>
            <w:shd w:val="clear" w:color="auto" w:fill="1F4E78"/>
            <w:vAlign w:val="center"/>
          </w:tcPr>
          <w:p>
            <w:pPr>
              <w:spacing w:after="0"/>
              <w:jc w:val="center"/>
            </w:pPr>
            <w:r>
              <w:rPr>
                <w:rFonts w:ascii="Times New Roman" w:hAnsi="Times New Roman"/>
                <w:b/>
                <w:color w:val="FFFFFF"/>
                <w:sz w:val="20"/>
              </w:rPr>
              <w:t>Principle</w:t>
            </w:r>
          </w:p>
        </w:tc>
        <w:tc>
          <w:tcPr>
            <w:tcW w:type="dxa" w:w="1824"/>
            <w:shd w:val="clear" w:color="auto" w:fill="1F4E78"/>
            <w:vAlign w:val="center"/>
          </w:tcPr>
          <w:p>
            <w:pPr>
              <w:spacing w:after="0"/>
              <w:jc w:val="center"/>
            </w:pPr>
            <w:r>
              <w:rPr>
                <w:rFonts w:ascii="Times New Roman" w:hAnsi="Times New Roman"/>
                <w:b/>
                <w:color w:val="FFFFFF"/>
                <w:sz w:val="20"/>
              </w:rPr>
              <w:t>Advantages</w:t>
            </w:r>
          </w:p>
        </w:tc>
        <w:tc>
          <w:tcPr>
            <w:tcW w:type="dxa" w:w="1824"/>
            <w:shd w:val="clear" w:color="auto" w:fill="1F4E78"/>
            <w:vAlign w:val="center"/>
          </w:tcPr>
          <w:p>
            <w:pPr>
              <w:spacing w:after="0"/>
              <w:jc w:val="center"/>
            </w:pPr>
            <w:r>
              <w:rPr>
                <w:rFonts w:ascii="Times New Roman" w:hAnsi="Times New Roman"/>
                <w:b/>
                <w:color w:val="FFFFFF"/>
                <w:sz w:val="20"/>
              </w:rPr>
              <w:t>Disadvantages</w:t>
            </w:r>
          </w:p>
        </w:tc>
        <w:tc>
          <w:tcPr>
            <w:tcW w:type="dxa" w:w="1824"/>
            <w:shd w:val="clear" w:color="auto" w:fill="1F4E78"/>
            <w:vAlign w:val="center"/>
          </w:tcPr>
          <w:p>
            <w:pPr>
              <w:spacing w:after="0"/>
              <w:jc w:val="center"/>
            </w:pPr>
            <w:r>
              <w:rPr>
                <w:rFonts w:ascii="Times New Roman" w:hAnsi="Times New Roman"/>
                <w:b/>
                <w:color w:val="FFFFFF"/>
                <w:sz w:val="20"/>
              </w:rPr>
              <w:t>Suitability for progesterone in veterinary use</w:t>
            </w:r>
          </w:p>
        </w:tc>
      </w:tr>
      <w:tr>
        <w:tc>
          <w:tcPr>
            <w:tcW w:type="dxa" w:w="1824"/>
            <w:vAlign w:val="center"/>
          </w:tcPr>
          <w:p>
            <w:pPr>
              <w:spacing w:after="0"/>
              <w:jc w:val="left"/>
            </w:pPr>
            <w:r>
              <w:rPr>
                <w:rFonts w:ascii="Times New Roman" w:hAnsi="Times New Roman"/>
                <w:b w:val="0"/>
                <w:sz w:val="20"/>
              </w:rPr>
              <w:t>Spray drying</w:t>
            </w:r>
          </w:p>
        </w:tc>
        <w:tc>
          <w:tcPr>
            <w:tcW w:type="dxa" w:w="1824"/>
            <w:vAlign w:val="center"/>
          </w:tcPr>
          <w:p>
            <w:pPr>
              <w:spacing w:after="0"/>
              <w:jc w:val="left"/>
            </w:pPr>
            <w:r>
              <w:rPr>
                <w:rFonts w:ascii="Times New Roman" w:hAnsi="Times New Roman"/>
                <w:b w:val="0"/>
                <w:sz w:val="20"/>
              </w:rPr>
              <w:t>Atomisation of polymer-drug feed into hot gas stream; instantaneous drying</w:t>
            </w:r>
          </w:p>
        </w:tc>
        <w:tc>
          <w:tcPr>
            <w:tcW w:type="dxa" w:w="1824"/>
            <w:vAlign w:val="center"/>
          </w:tcPr>
          <w:p>
            <w:pPr>
              <w:spacing w:after="0"/>
              <w:jc w:val="left"/>
            </w:pPr>
            <w:r>
              <w:rPr>
                <w:rFonts w:ascii="Times New Roman" w:hAnsi="Times New Roman"/>
                <w:b w:val="0"/>
                <w:sz w:val="20"/>
              </w:rPr>
              <w:t>Continuous; scalable; one-step; narrow PSD; high EE for lipophiles; short thermal exposure [1,2,3,5]</w:t>
            </w:r>
          </w:p>
        </w:tc>
        <w:tc>
          <w:tcPr>
            <w:tcW w:type="dxa" w:w="1824"/>
            <w:vAlign w:val="center"/>
          </w:tcPr>
          <w:p>
            <w:pPr>
              <w:spacing w:after="0"/>
              <w:jc w:val="left"/>
            </w:pPr>
            <w:r>
              <w:rPr>
                <w:rFonts w:ascii="Times New Roman" w:hAnsi="Times New Roman"/>
                <w:b w:val="0"/>
                <w:sz w:val="20"/>
              </w:rPr>
              <w:t>Loss of fine particles; nozzle clogging at high viscosity; thermal stress on very labile drugs</w:t>
            </w:r>
          </w:p>
        </w:tc>
        <w:tc>
          <w:tcPr>
            <w:tcW w:type="dxa" w:w="1824"/>
            <w:vAlign w:val="center"/>
          </w:tcPr>
          <w:p>
            <w:pPr>
              <w:spacing w:after="0"/>
              <w:jc w:val="left"/>
            </w:pPr>
            <w:r>
              <w:rPr>
                <w:rFonts w:ascii="Times New Roman" w:hAnsi="Times New Roman"/>
                <w:b w:val="0"/>
                <w:sz w:val="20"/>
              </w:rPr>
              <w:t>High - method of choice for industrial-scale powdered P4 formulations</w:t>
            </w:r>
          </w:p>
        </w:tc>
      </w:tr>
      <w:tr>
        <w:tc>
          <w:tcPr>
            <w:tcW w:type="dxa" w:w="1824"/>
            <w:shd w:val="clear" w:color="auto" w:fill="F2F2F2"/>
            <w:vAlign w:val="center"/>
          </w:tcPr>
          <w:p>
            <w:pPr>
              <w:spacing w:after="0"/>
              <w:jc w:val="left"/>
            </w:pPr>
            <w:r>
              <w:rPr>
                <w:rFonts w:ascii="Times New Roman" w:hAnsi="Times New Roman"/>
                <w:b w:val="0"/>
                <w:sz w:val="20"/>
              </w:rPr>
              <w:t>Solvent evaporation / emulsion (O/W, W/O/W)</w:t>
            </w:r>
          </w:p>
        </w:tc>
        <w:tc>
          <w:tcPr>
            <w:tcW w:type="dxa" w:w="1824"/>
            <w:shd w:val="clear" w:color="auto" w:fill="F2F2F2"/>
            <w:vAlign w:val="center"/>
          </w:tcPr>
          <w:p>
            <w:pPr>
              <w:spacing w:after="0"/>
              <w:jc w:val="left"/>
            </w:pPr>
            <w:r>
              <w:rPr>
                <w:rFonts w:ascii="Times New Roman" w:hAnsi="Times New Roman"/>
                <w:b w:val="0"/>
                <w:sz w:val="20"/>
              </w:rPr>
              <w:t>Polymer-drug dissolved in organic solvent, emulsified, solvent removed under vacuum</w:t>
            </w:r>
          </w:p>
        </w:tc>
        <w:tc>
          <w:tcPr>
            <w:tcW w:type="dxa" w:w="1824"/>
            <w:shd w:val="clear" w:color="auto" w:fill="F2F2F2"/>
            <w:vAlign w:val="center"/>
          </w:tcPr>
          <w:p>
            <w:pPr>
              <w:spacing w:after="0"/>
              <w:jc w:val="left"/>
            </w:pPr>
            <w:r>
              <w:rPr>
                <w:rFonts w:ascii="Times New Roman" w:hAnsi="Times New Roman"/>
                <w:b w:val="0"/>
                <w:sz w:val="20"/>
              </w:rPr>
              <w:t>Mild; high EE for hydrophobes; widely reported for PLGA P4 microspheres</w:t>
            </w:r>
          </w:p>
        </w:tc>
        <w:tc>
          <w:tcPr>
            <w:tcW w:type="dxa" w:w="1824"/>
            <w:shd w:val="clear" w:color="auto" w:fill="F2F2F2"/>
            <w:vAlign w:val="center"/>
          </w:tcPr>
          <w:p>
            <w:pPr>
              <w:spacing w:after="0"/>
              <w:jc w:val="left"/>
            </w:pPr>
            <w:r>
              <w:rPr>
                <w:rFonts w:ascii="Times New Roman" w:hAnsi="Times New Roman"/>
                <w:b w:val="0"/>
                <w:sz w:val="20"/>
              </w:rPr>
              <w:t>Batch process; residual solvents; long processing time; scale-up complex</w:t>
            </w:r>
          </w:p>
        </w:tc>
        <w:tc>
          <w:tcPr>
            <w:tcW w:type="dxa" w:w="1824"/>
            <w:shd w:val="clear" w:color="auto" w:fill="F2F2F2"/>
            <w:vAlign w:val="center"/>
          </w:tcPr>
          <w:p>
            <w:pPr>
              <w:spacing w:after="0"/>
              <w:jc w:val="left"/>
            </w:pPr>
            <w:r>
              <w:rPr>
                <w:rFonts w:ascii="Times New Roman" w:hAnsi="Times New Roman"/>
                <w:b w:val="0"/>
                <w:sz w:val="20"/>
              </w:rPr>
              <w:t>Moderate-high (parenteral PLGA P4)</w:t>
            </w:r>
          </w:p>
        </w:tc>
      </w:tr>
      <w:tr>
        <w:tc>
          <w:tcPr>
            <w:tcW w:type="dxa" w:w="1824"/>
            <w:vAlign w:val="center"/>
          </w:tcPr>
          <w:p>
            <w:pPr>
              <w:spacing w:after="0"/>
              <w:jc w:val="left"/>
            </w:pPr>
            <w:r>
              <w:rPr>
                <w:rFonts w:ascii="Times New Roman" w:hAnsi="Times New Roman"/>
                <w:b w:val="0"/>
                <w:sz w:val="20"/>
              </w:rPr>
              <w:t>Coacervation (simple/complex)</w:t>
            </w:r>
          </w:p>
        </w:tc>
        <w:tc>
          <w:tcPr>
            <w:tcW w:type="dxa" w:w="1824"/>
            <w:vAlign w:val="center"/>
          </w:tcPr>
          <w:p>
            <w:pPr>
              <w:spacing w:after="0"/>
              <w:jc w:val="left"/>
            </w:pPr>
            <w:r>
              <w:rPr>
                <w:rFonts w:ascii="Times New Roman" w:hAnsi="Times New Roman"/>
                <w:b w:val="0"/>
                <w:sz w:val="20"/>
              </w:rPr>
              <w:t>Phase separation of polymer from solution by salting-out / pH change</w:t>
            </w:r>
          </w:p>
        </w:tc>
        <w:tc>
          <w:tcPr>
            <w:tcW w:type="dxa" w:w="1824"/>
            <w:vAlign w:val="center"/>
          </w:tcPr>
          <w:p>
            <w:pPr>
              <w:spacing w:after="0"/>
              <w:jc w:val="left"/>
            </w:pPr>
            <w:r>
              <w:rPr>
                <w:rFonts w:ascii="Times New Roman" w:hAnsi="Times New Roman"/>
                <w:b w:val="0"/>
                <w:sz w:val="20"/>
              </w:rPr>
              <w:t>Mild conditions; high payload; complex coacervates with chitosan-alginate well documented</w:t>
            </w:r>
          </w:p>
        </w:tc>
        <w:tc>
          <w:tcPr>
            <w:tcW w:type="dxa" w:w="1824"/>
            <w:vAlign w:val="center"/>
          </w:tcPr>
          <w:p>
            <w:pPr>
              <w:spacing w:after="0"/>
              <w:jc w:val="left"/>
            </w:pPr>
            <w:r>
              <w:rPr>
                <w:rFonts w:ascii="Times New Roman" w:hAnsi="Times New Roman"/>
                <w:b w:val="0"/>
                <w:sz w:val="20"/>
              </w:rPr>
              <w:t>Stringent process control; narrow operating window</w:t>
            </w:r>
          </w:p>
        </w:tc>
        <w:tc>
          <w:tcPr>
            <w:tcW w:type="dxa" w:w="1824"/>
            <w:vAlign w:val="center"/>
          </w:tcPr>
          <w:p>
            <w:pPr>
              <w:spacing w:after="0"/>
              <w:jc w:val="left"/>
            </w:pPr>
            <w:r>
              <w:rPr>
                <w:rFonts w:ascii="Times New Roman" w:hAnsi="Times New Roman"/>
                <w:b w:val="0"/>
                <w:sz w:val="20"/>
              </w:rPr>
              <w:t>Moderate</w:t>
            </w:r>
          </w:p>
        </w:tc>
      </w:tr>
      <w:tr>
        <w:tc>
          <w:tcPr>
            <w:tcW w:type="dxa" w:w="1824"/>
            <w:shd w:val="clear" w:color="auto" w:fill="F2F2F2"/>
            <w:vAlign w:val="center"/>
          </w:tcPr>
          <w:p>
            <w:pPr>
              <w:spacing w:after="0"/>
              <w:jc w:val="left"/>
            </w:pPr>
            <w:r>
              <w:rPr>
                <w:rFonts w:ascii="Times New Roman" w:hAnsi="Times New Roman"/>
                <w:b w:val="0"/>
                <w:sz w:val="20"/>
              </w:rPr>
              <w:t>Ionotropic gelation</w:t>
            </w:r>
          </w:p>
        </w:tc>
        <w:tc>
          <w:tcPr>
            <w:tcW w:type="dxa" w:w="1824"/>
            <w:shd w:val="clear" w:color="auto" w:fill="F2F2F2"/>
            <w:vAlign w:val="center"/>
          </w:tcPr>
          <w:p>
            <w:pPr>
              <w:spacing w:after="0"/>
              <w:jc w:val="left"/>
            </w:pPr>
            <w:r>
              <w:rPr>
                <w:rFonts w:ascii="Times New Roman" w:hAnsi="Times New Roman"/>
                <w:b w:val="0"/>
                <w:sz w:val="20"/>
              </w:rPr>
              <w:t>Crosslinking of polyelectrolytes (alginate / chitosan) by counter-ions</w:t>
            </w:r>
          </w:p>
        </w:tc>
        <w:tc>
          <w:tcPr>
            <w:tcW w:type="dxa" w:w="1824"/>
            <w:shd w:val="clear" w:color="auto" w:fill="F2F2F2"/>
            <w:vAlign w:val="center"/>
          </w:tcPr>
          <w:p>
            <w:pPr>
              <w:spacing w:after="0"/>
              <w:jc w:val="left"/>
            </w:pPr>
            <w:r>
              <w:rPr>
                <w:rFonts w:ascii="Times New Roman" w:hAnsi="Times New Roman"/>
                <w:b w:val="0"/>
                <w:sz w:val="20"/>
              </w:rPr>
              <w:t>Simple; aqueous; mild</w:t>
            </w:r>
          </w:p>
        </w:tc>
        <w:tc>
          <w:tcPr>
            <w:tcW w:type="dxa" w:w="1824"/>
            <w:shd w:val="clear" w:color="auto" w:fill="F2F2F2"/>
            <w:vAlign w:val="center"/>
          </w:tcPr>
          <w:p>
            <w:pPr>
              <w:spacing w:after="0"/>
              <w:jc w:val="left"/>
            </w:pPr>
            <w:r>
              <w:rPr>
                <w:rFonts w:ascii="Times New Roman" w:hAnsi="Times New Roman"/>
                <w:b w:val="0"/>
                <w:sz w:val="20"/>
              </w:rPr>
              <w:t>Wet beads need drying; modest sustained release</w:t>
            </w:r>
          </w:p>
        </w:tc>
        <w:tc>
          <w:tcPr>
            <w:tcW w:type="dxa" w:w="1824"/>
            <w:shd w:val="clear" w:color="auto" w:fill="F2F2F2"/>
            <w:vAlign w:val="center"/>
          </w:tcPr>
          <w:p>
            <w:pPr>
              <w:spacing w:after="0"/>
              <w:jc w:val="left"/>
            </w:pPr>
            <w:r>
              <w:rPr>
                <w:rFonts w:ascii="Times New Roman" w:hAnsi="Times New Roman"/>
                <w:b w:val="0"/>
                <w:sz w:val="20"/>
              </w:rPr>
              <w:t>Moderate (often combined with spray drying)</w:t>
            </w:r>
          </w:p>
        </w:tc>
      </w:tr>
      <w:tr>
        <w:tc>
          <w:tcPr>
            <w:tcW w:type="dxa" w:w="1824"/>
            <w:vAlign w:val="center"/>
          </w:tcPr>
          <w:p>
            <w:pPr>
              <w:spacing w:after="0"/>
              <w:jc w:val="left"/>
            </w:pPr>
            <w:r>
              <w:rPr>
                <w:rFonts w:ascii="Times New Roman" w:hAnsi="Times New Roman"/>
                <w:b w:val="0"/>
                <w:sz w:val="20"/>
              </w:rPr>
              <w:t>Freeze drying (lyophilisation)</w:t>
            </w:r>
          </w:p>
        </w:tc>
        <w:tc>
          <w:tcPr>
            <w:tcW w:type="dxa" w:w="1824"/>
            <w:vAlign w:val="center"/>
          </w:tcPr>
          <w:p>
            <w:pPr>
              <w:spacing w:after="0"/>
              <w:jc w:val="left"/>
            </w:pPr>
            <w:r>
              <w:rPr>
                <w:rFonts w:ascii="Times New Roman" w:hAnsi="Times New Roman"/>
                <w:b w:val="0"/>
                <w:sz w:val="20"/>
              </w:rPr>
              <w:t>Sublimation of frozen feed</w:t>
            </w:r>
          </w:p>
        </w:tc>
        <w:tc>
          <w:tcPr>
            <w:tcW w:type="dxa" w:w="1824"/>
            <w:vAlign w:val="center"/>
          </w:tcPr>
          <w:p>
            <w:pPr>
              <w:spacing w:after="0"/>
              <w:jc w:val="left"/>
            </w:pPr>
            <w:r>
              <w:rPr>
                <w:rFonts w:ascii="Times New Roman" w:hAnsi="Times New Roman"/>
                <w:b w:val="0"/>
                <w:sz w:val="20"/>
              </w:rPr>
              <w:t>Excellent for thermally labile actives; preserves morphology</w:t>
            </w:r>
          </w:p>
        </w:tc>
        <w:tc>
          <w:tcPr>
            <w:tcW w:type="dxa" w:w="1824"/>
            <w:vAlign w:val="center"/>
          </w:tcPr>
          <w:p>
            <w:pPr>
              <w:spacing w:after="0"/>
              <w:jc w:val="left"/>
            </w:pPr>
            <w:r>
              <w:rPr>
                <w:rFonts w:ascii="Times New Roman" w:hAnsi="Times New Roman"/>
                <w:b w:val="0"/>
                <w:sz w:val="20"/>
              </w:rPr>
              <w:t>Slow; expensive; produces cake, not free-flowing powder</w:t>
            </w:r>
          </w:p>
        </w:tc>
        <w:tc>
          <w:tcPr>
            <w:tcW w:type="dxa" w:w="1824"/>
            <w:vAlign w:val="center"/>
          </w:tcPr>
          <w:p>
            <w:pPr>
              <w:spacing w:after="0"/>
              <w:jc w:val="left"/>
            </w:pPr>
            <w:r>
              <w:rPr>
                <w:rFonts w:ascii="Times New Roman" w:hAnsi="Times New Roman"/>
                <w:b w:val="0"/>
                <w:sz w:val="20"/>
              </w:rPr>
              <w:t>Low-moderate (cost-prohibitive at scale)</w:t>
            </w:r>
          </w:p>
        </w:tc>
      </w:tr>
      <w:tr>
        <w:tc>
          <w:tcPr>
            <w:tcW w:type="dxa" w:w="1824"/>
            <w:shd w:val="clear" w:color="auto" w:fill="F2F2F2"/>
            <w:vAlign w:val="center"/>
          </w:tcPr>
          <w:p>
            <w:pPr>
              <w:spacing w:after="0"/>
              <w:jc w:val="left"/>
            </w:pPr>
            <w:r>
              <w:rPr>
                <w:rFonts w:ascii="Times New Roman" w:hAnsi="Times New Roman"/>
                <w:b w:val="0"/>
                <w:sz w:val="20"/>
              </w:rPr>
              <w:t>Supercritical fluid (RESS, PGSS, SAS)</w:t>
            </w:r>
          </w:p>
        </w:tc>
        <w:tc>
          <w:tcPr>
            <w:tcW w:type="dxa" w:w="1824"/>
            <w:shd w:val="clear" w:color="auto" w:fill="F2F2F2"/>
            <w:vAlign w:val="center"/>
          </w:tcPr>
          <w:p>
            <w:pPr>
              <w:spacing w:after="0"/>
              <w:jc w:val="left"/>
            </w:pPr>
            <w:r>
              <w:rPr>
                <w:rFonts w:ascii="Times New Roman" w:hAnsi="Times New Roman"/>
                <w:b w:val="0"/>
                <w:sz w:val="20"/>
              </w:rPr>
              <w:t>CO2 used as solvent or anti-solvent</w:t>
            </w:r>
          </w:p>
        </w:tc>
        <w:tc>
          <w:tcPr>
            <w:tcW w:type="dxa" w:w="1824"/>
            <w:shd w:val="clear" w:color="auto" w:fill="F2F2F2"/>
            <w:vAlign w:val="center"/>
          </w:tcPr>
          <w:p>
            <w:pPr>
              <w:spacing w:after="0"/>
              <w:jc w:val="left"/>
            </w:pPr>
            <w:r>
              <w:rPr>
                <w:rFonts w:ascii="Times New Roman" w:hAnsi="Times New Roman"/>
                <w:b w:val="0"/>
                <w:sz w:val="20"/>
              </w:rPr>
              <w:t>Solvent-free; mild temperature; nano-scale particles</w:t>
            </w:r>
          </w:p>
        </w:tc>
        <w:tc>
          <w:tcPr>
            <w:tcW w:type="dxa" w:w="1824"/>
            <w:shd w:val="clear" w:color="auto" w:fill="F2F2F2"/>
            <w:vAlign w:val="center"/>
          </w:tcPr>
          <w:p>
            <w:pPr>
              <w:spacing w:after="0"/>
              <w:jc w:val="left"/>
            </w:pPr>
            <w:r>
              <w:rPr>
                <w:rFonts w:ascii="Times New Roman" w:hAnsi="Times New Roman"/>
                <w:b w:val="0"/>
                <w:sz w:val="20"/>
              </w:rPr>
              <w:t>Capital-intensive; limited drug solubility in scCO2</w:t>
            </w:r>
          </w:p>
        </w:tc>
        <w:tc>
          <w:tcPr>
            <w:tcW w:type="dxa" w:w="1824"/>
            <w:shd w:val="clear" w:color="auto" w:fill="F2F2F2"/>
            <w:vAlign w:val="center"/>
          </w:tcPr>
          <w:p>
            <w:pPr>
              <w:spacing w:after="0"/>
              <w:jc w:val="left"/>
            </w:pPr>
            <w:r>
              <w:rPr>
                <w:rFonts w:ascii="Times New Roman" w:hAnsi="Times New Roman"/>
                <w:b w:val="0"/>
                <w:sz w:val="20"/>
              </w:rPr>
              <w:t>Niche research-scale</w:t>
            </w:r>
          </w:p>
        </w:tc>
      </w:tr>
      <w:tr>
        <w:tc>
          <w:tcPr>
            <w:tcW w:type="dxa" w:w="1824"/>
            <w:vAlign w:val="center"/>
          </w:tcPr>
          <w:p>
            <w:pPr>
              <w:spacing w:after="0"/>
              <w:jc w:val="left"/>
            </w:pPr>
            <w:r>
              <w:rPr>
                <w:rFonts w:ascii="Times New Roman" w:hAnsi="Times New Roman"/>
                <w:b w:val="0"/>
                <w:sz w:val="20"/>
              </w:rPr>
              <w:t>Electrospraying</w:t>
            </w:r>
          </w:p>
        </w:tc>
        <w:tc>
          <w:tcPr>
            <w:tcW w:type="dxa" w:w="1824"/>
            <w:vAlign w:val="center"/>
          </w:tcPr>
          <w:p>
            <w:pPr>
              <w:spacing w:after="0"/>
              <w:jc w:val="left"/>
            </w:pPr>
            <w:r>
              <w:rPr>
                <w:rFonts w:ascii="Times New Roman" w:hAnsi="Times New Roman"/>
                <w:b w:val="0"/>
                <w:sz w:val="20"/>
              </w:rPr>
              <w:t>Charged droplets atomised under high voltage [22]</w:t>
            </w:r>
          </w:p>
        </w:tc>
        <w:tc>
          <w:tcPr>
            <w:tcW w:type="dxa" w:w="1824"/>
            <w:vAlign w:val="center"/>
          </w:tcPr>
          <w:p>
            <w:pPr>
              <w:spacing w:after="0"/>
              <w:jc w:val="left"/>
            </w:pPr>
            <w:r>
              <w:rPr>
                <w:rFonts w:ascii="Times New Roman" w:hAnsi="Times New Roman"/>
                <w:b w:val="0"/>
                <w:sz w:val="20"/>
              </w:rPr>
              <w:t>Sub-micron particles; high EE; mild</w:t>
            </w:r>
          </w:p>
        </w:tc>
        <w:tc>
          <w:tcPr>
            <w:tcW w:type="dxa" w:w="1824"/>
            <w:vAlign w:val="center"/>
          </w:tcPr>
          <w:p>
            <w:pPr>
              <w:spacing w:after="0"/>
              <w:jc w:val="left"/>
            </w:pPr>
            <w:r>
              <w:rPr>
                <w:rFonts w:ascii="Times New Roman" w:hAnsi="Times New Roman"/>
                <w:b w:val="0"/>
                <w:sz w:val="20"/>
              </w:rPr>
              <w:t>Low throughput; not yet industrial</w:t>
            </w:r>
          </w:p>
        </w:tc>
        <w:tc>
          <w:tcPr>
            <w:tcW w:type="dxa" w:w="1824"/>
            <w:vAlign w:val="center"/>
          </w:tcPr>
          <w:p>
            <w:pPr>
              <w:spacing w:after="0"/>
              <w:jc w:val="left"/>
            </w:pPr>
            <w:r>
              <w:rPr>
                <w:rFonts w:ascii="Times New Roman" w:hAnsi="Times New Roman"/>
                <w:b w:val="0"/>
                <w:sz w:val="20"/>
              </w:rPr>
              <w:t>Niche research-scale</w:t>
            </w:r>
          </w:p>
        </w:tc>
      </w:tr>
    </w:tbl>
    <w:p/>
    <w:p>
      <w:pPr>
        <w:pStyle w:val="Heading1"/>
        <w:jc w:val="left"/>
      </w:pPr>
      <w:r>
        <w:t>8. EXPECTED OUTCOMES</w:t>
      </w:r>
    </w:p>
    <w:p>
      <w:pPr>
        <w:pStyle w:val="ListBullet"/>
        <w:jc w:val="both"/>
      </w:pPr>
      <w:r>
        <w:rPr>
          <w:rFonts w:ascii="Times New Roman" w:hAnsi="Times New Roman"/>
          <w:sz w:val="24"/>
        </w:rPr>
        <w:t>A ranked compatibility matrix of biopolymers (natural, synthetic, semi-synthetic) for spray-dried progesterone, supported by FTIR / DSC compatibility data and quantitative encapsulation efficiency.</w:t>
      </w:r>
    </w:p>
    <w:p>
      <w:pPr>
        <w:pStyle w:val="ListBullet"/>
        <w:jc w:val="both"/>
      </w:pPr>
      <w:r>
        <w:rPr>
          <w:rFonts w:ascii="Times New Roman" w:hAnsi="Times New Roman"/>
          <w:sz w:val="24"/>
        </w:rPr>
        <w:t>At least one optimised biopolymer or polymer-blend formulation achieving encapsulation efficiency above 75%, with a sustained in-vitro progesterone release profile of seven or more days.</w:t>
      </w:r>
    </w:p>
    <w:p>
      <w:pPr>
        <w:pStyle w:val="ListBullet"/>
        <w:jc w:val="both"/>
      </w:pPr>
      <w:r>
        <w:rPr>
          <w:rFonts w:ascii="Times New Roman" w:hAnsi="Times New Roman"/>
          <w:sz w:val="24"/>
        </w:rPr>
        <w:t>Mechanistic understanding of the dominant release mode (diffusion, erosion, swelling) for each biopolymer-progesterone system, underpinned by best-fit release-kinetic models.</w:t>
      </w:r>
    </w:p>
    <w:p>
      <w:pPr>
        <w:pStyle w:val="ListBullet"/>
        <w:jc w:val="both"/>
      </w:pPr>
      <w:r>
        <w:rPr>
          <w:rFonts w:ascii="Times New Roman" w:hAnsi="Times New Roman"/>
          <w:sz w:val="24"/>
        </w:rPr>
        <w:t>A validated solid-state and stability profile (residual moisture, crystallinity, accelerated and real-time stability up to six months) for the lead formulation(s).</w:t>
      </w:r>
    </w:p>
    <w:p>
      <w:pPr>
        <w:pStyle w:val="ListBullet"/>
        <w:jc w:val="both"/>
      </w:pPr>
      <w:r>
        <w:rPr>
          <w:rFonts w:ascii="Times New Roman" w:hAnsi="Times New Roman"/>
          <w:sz w:val="24"/>
        </w:rPr>
        <w:t>A reusable Design-of-Experiments dataset and an analytical platform (HPLC method, dissolution method) that can be adopted for future in-vivo and field studies.</w:t>
      </w:r>
    </w:p>
    <w:p>
      <w:pPr>
        <w:pStyle w:val="ListBullet"/>
        <w:jc w:val="both"/>
      </w:pPr>
      <w:r>
        <w:rPr>
          <w:rFonts w:ascii="Times New Roman" w:hAnsi="Times New Roman"/>
          <w:sz w:val="24"/>
        </w:rPr>
        <w:t>A clearly identified lead candidate biopolymer formulation suitable for subsequent in-vivo plasma progesterone profiling and reproductive end-point evaluation in cattle / buffalo.</w:t>
      </w:r>
    </w:p>
    <w:p>
      <w:pPr>
        <w:pStyle w:val="Heading1"/>
        <w:jc w:val="left"/>
      </w:pPr>
      <w:r>
        <w:t>9. NOVELTY OF THE STUDY</w:t>
      </w:r>
    </w:p>
    <w:p>
      <w:pPr>
        <w:pStyle w:val="ListBullet"/>
        <w:jc w:val="both"/>
      </w:pPr>
      <w:r>
        <w:rPr>
          <w:rFonts w:ascii="Times New Roman" w:hAnsi="Times New Roman"/>
          <w:sz w:val="24"/>
        </w:rPr>
        <w:t>Side-by-side comparison of natural, semi-synthetic and synthetic biopolymers for progesterone spray drying under a single, controlled experimental framework, generating an evidence-based compatibility matrix that is currently absent in the peer-reviewed literature.</w:t>
      </w:r>
    </w:p>
    <w:p>
      <w:pPr>
        <w:pStyle w:val="ListBullet"/>
        <w:jc w:val="both"/>
      </w:pPr>
      <w:r>
        <w:rPr>
          <w:rFonts w:ascii="Times New Roman" w:hAnsi="Times New Roman"/>
          <w:sz w:val="24"/>
        </w:rPr>
        <w:t>Application of Design of Experiments (factorial / response surface) to spray drying of progesterone, replacing the prevalent one-factor-at-a-time optimisation that has limited reproducibility and scale-up readiness.</w:t>
      </w:r>
    </w:p>
    <w:p>
      <w:pPr>
        <w:pStyle w:val="ListBullet"/>
        <w:jc w:val="both"/>
      </w:pPr>
      <w:r>
        <w:rPr>
          <w:rFonts w:ascii="Times New Roman" w:hAnsi="Times New Roman"/>
          <w:sz w:val="24"/>
        </w:rPr>
        <w:t>Focus on low-cost, food- or pharmaceutical-grade biopolymers and blends with the explicit goal of producing a biodegradable alternative to silicone CIDR/PRID-type intravaginal inserts in developing-country dairy systems.</w:t>
      </w:r>
    </w:p>
    <w:p>
      <w:pPr>
        <w:pStyle w:val="ListBullet"/>
        <w:jc w:val="both"/>
      </w:pPr>
      <w:r>
        <w:rPr>
          <w:rFonts w:ascii="Times New Roman" w:hAnsi="Times New Roman"/>
          <w:sz w:val="24"/>
        </w:rPr>
        <w:t>Integration of solid-state (DSC, XRD), molecular (FTIR), morphological (SEM) and kinetic (HPLC release modelling) characterisation in a single study, producing a reproducible data package that meets meta-analytical requirements.</w:t>
      </w:r>
    </w:p>
    <w:p>
      <w:pPr>
        <w:pStyle w:val="Heading1"/>
        <w:jc w:val="left"/>
      </w:pPr>
      <w:r>
        <w:t>10. FUTURE APPLICATIONS</w:t>
      </w:r>
    </w:p>
    <w:p>
      <w:pPr>
        <w:pStyle w:val="ListBullet"/>
        <w:jc w:val="both"/>
      </w:pPr>
      <w:r>
        <w:rPr>
          <w:rFonts w:ascii="Times New Roman" w:hAnsi="Times New Roman"/>
          <w:sz w:val="24"/>
        </w:rPr>
        <w:t>Development of biodegradable spray-dried progesterone microparticle inserts for intravaginal oestrus synchronisation in dairy and beef cattle, sheep, goats and buffalo.</w:t>
      </w:r>
    </w:p>
    <w:p>
      <w:pPr>
        <w:pStyle w:val="ListBullet"/>
        <w:jc w:val="both"/>
      </w:pPr>
      <w:r>
        <w:rPr>
          <w:rFonts w:ascii="Times New Roman" w:hAnsi="Times New Roman"/>
          <w:sz w:val="24"/>
        </w:rPr>
        <w:t>Adjunct therapy in repeat-breeding cows and post-partum anoestrus to improve conception rates.</w:t>
      </w:r>
    </w:p>
    <w:p>
      <w:pPr>
        <w:pStyle w:val="ListBullet"/>
        <w:jc w:val="both"/>
      </w:pPr>
      <w:r>
        <w:rPr>
          <w:rFonts w:ascii="Times New Roman" w:hAnsi="Times New Roman"/>
          <w:sz w:val="24"/>
        </w:rPr>
        <w:t>Sustained-release oral or feed-additive progesterone formulations in livestock species where intravaginal use is impractical.</w:t>
      </w:r>
    </w:p>
    <w:p>
      <w:pPr>
        <w:pStyle w:val="ListBullet"/>
        <w:jc w:val="both"/>
      </w:pPr>
      <w:r>
        <w:rPr>
          <w:rFonts w:ascii="Times New Roman" w:hAnsi="Times New Roman"/>
          <w:sz w:val="24"/>
        </w:rPr>
        <w:t>Translation to other reproductive steroid hormones (estradiol valerate, GnRH analogues, prostaglandin F2-alpha) using the same biopolymer screening platform.</w:t>
      </w:r>
    </w:p>
    <w:p>
      <w:pPr>
        <w:pStyle w:val="ListBullet"/>
        <w:jc w:val="both"/>
      </w:pPr>
      <w:r>
        <w:rPr>
          <w:rFonts w:ascii="Times New Roman" w:hAnsi="Times New Roman"/>
          <w:sz w:val="24"/>
        </w:rPr>
        <w:t>Adaptation to human reproductive medicine for sustained intravaginal progesterone supplementation in luteal-phase support and assisted reproductive technology, subject to additional regulatory development.</w:t>
      </w:r>
    </w:p>
    <w:p>
      <w:pPr>
        <w:pStyle w:val="Heading1"/>
        <w:jc w:val="left"/>
      </w:pPr>
      <w:r>
        <w:t>11. WORK PLAN AND TIMELINE</w:t>
      </w:r>
    </w:p>
    <w:p>
      <w:pPr>
        <w:jc w:val="left"/>
      </w:pPr>
      <w:r>
        <w:rPr>
          <w:rFonts w:ascii="Times New Roman" w:hAnsi="Times New Roman"/>
          <w:b/>
          <w:i/>
          <w:sz w:val="22"/>
        </w:rPr>
        <w:t>Table 3. Month-wise work plan (24-month plan; compress to 18 months for M.V.Sc).</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8"/>
            <w:vAlign w:val="center"/>
          </w:tcPr>
          <w:p>
            <w:pPr>
              <w:spacing w:after="0"/>
              <w:jc w:val="center"/>
            </w:pPr>
            <w:r>
              <w:rPr>
                <w:rFonts w:ascii="Times New Roman" w:hAnsi="Times New Roman"/>
                <w:b/>
                <w:color w:val="FFFFFF"/>
                <w:sz w:val="20"/>
              </w:rPr>
              <w:t>Month</w:t>
            </w:r>
          </w:p>
        </w:tc>
        <w:tc>
          <w:tcPr>
            <w:tcW w:type="dxa" w:w="3041"/>
            <w:shd w:val="clear" w:color="auto" w:fill="1F4E78"/>
            <w:vAlign w:val="center"/>
          </w:tcPr>
          <w:p>
            <w:pPr>
              <w:spacing w:after="0"/>
              <w:jc w:val="center"/>
            </w:pPr>
            <w:r>
              <w:rPr>
                <w:rFonts w:ascii="Times New Roman" w:hAnsi="Times New Roman"/>
                <w:b/>
                <w:color w:val="FFFFFF"/>
                <w:sz w:val="20"/>
              </w:rPr>
              <w:t>Activity</w:t>
            </w:r>
          </w:p>
        </w:tc>
        <w:tc>
          <w:tcPr>
            <w:tcW w:type="dxa" w:w="3041"/>
            <w:shd w:val="clear" w:color="auto" w:fill="1F4E78"/>
            <w:vAlign w:val="center"/>
          </w:tcPr>
          <w:p>
            <w:pPr>
              <w:spacing w:after="0"/>
              <w:jc w:val="center"/>
            </w:pPr>
            <w:r>
              <w:rPr>
                <w:rFonts w:ascii="Times New Roman" w:hAnsi="Times New Roman"/>
                <w:b/>
                <w:color w:val="FFFFFF"/>
                <w:sz w:val="20"/>
              </w:rPr>
              <w:t>Deliverable</w:t>
            </w:r>
          </w:p>
        </w:tc>
      </w:tr>
      <w:tr>
        <w:tc>
          <w:tcPr>
            <w:tcW w:type="dxa" w:w="3041"/>
            <w:vAlign w:val="center"/>
          </w:tcPr>
          <w:p>
            <w:pPr>
              <w:spacing w:after="0"/>
              <w:jc w:val="left"/>
            </w:pPr>
            <w:r>
              <w:rPr>
                <w:rFonts w:ascii="Times New Roman" w:hAnsi="Times New Roman"/>
                <w:b w:val="0"/>
                <w:sz w:val="20"/>
              </w:rPr>
              <w:t>1-2</w:t>
            </w:r>
          </w:p>
        </w:tc>
        <w:tc>
          <w:tcPr>
            <w:tcW w:type="dxa" w:w="3041"/>
            <w:vAlign w:val="center"/>
          </w:tcPr>
          <w:p>
            <w:pPr>
              <w:spacing w:after="0"/>
              <w:jc w:val="left"/>
            </w:pPr>
            <w:r>
              <w:rPr>
                <w:rFonts w:ascii="Times New Roman" w:hAnsi="Times New Roman"/>
                <w:b w:val="0"/>
                <w:sz w:val="20"/>
              </w:rPr>
              <w:t>Literature review; finalisation of polymer panel; procurement of drug, polymers, solvents, consumables; HPLC method development.</w:t>
            </w:r>
          </w:p>
        </w:tc>
        <w:tc>
          <w:tcPr>
            <w:tcW w:type="dxa" w:w="3041"/>
            <w:vAlign w:val="center"/>
          </w:tcPr>
          <w:p>
            <w:pPr>
              <w:spacing w:after="0"/>
              <w:jc w:val="left"/>
            </w:pPr>
            <w:r>
              <w:rPr>
                <w:rFonts w:ascii="Times New Roman" w:hAnsi="Times New Roman"/>
                <w:b w:val="0"/>
                <w:sz w:val="20"/>
              </w:rPr>
              <w:t>Validated HPLC assay; complete materials inventory.</w:t>
            </w:r>
          </w:p>
        </w:tc>
      </w:tr>
      <w:tr>
        <w:tc>
          <w:tcPr>
            <w:tcW w:type="dxa" w:w="3041"/>
            <w:shd w:val="clear" w:color="auto" w:fill="F2F2F2"/>
            <w:vAlign w:val="center"/>
          </w:tcPr>
          <w:p>
            <w:pPr>
              <w:spacing w:after="0"/>
              <w:jc w:val="left"/>
            </w:pPr>
            <w:r>
              <w:rPr>
                <w:rFonts w:ascii="Times New Roman" w:hAnsi="Times New Roman"/>
                <w:b w:val="0"/>
                <w:sz w:val="20"/>
              </w:rPr>
              <w:t>3-4</w:t>
            </w:r>
          </w:p>
        </w:tc>
        <w:tc>
          <w:tcPr>
            <w:tcW w:type="dxa" w:w="3041"/>
            <w:shd w:val="clear" w:color="auto" w:fill="F2F2F2"/>
            <w:vAlign w:val="center"/>
          </w:tcPr>
          <w:p>
            <w:pPr>
              <w:spacing w:after="0"/>
              <w:jc w:val="left"/>
            </w:pPr>
            <w:r>
              <w:rPr>
                <w:rFonts w:ascii="Times New Roman" w:hAnsi="Times New Roman"/>
                <w:b w:val="0"/>
                <w:sz w:val="20"/>
              </w:rPr>
              <w:t>Drug-polymer compatibility screening (FTIR, DSC, isothermal stress, solubility study).</w:t>
            </w:r>
          </w:p>
        </w:tc>
        <w:tc>
          <w:tcPr>
            <w:tcW w:type="dxa" w:w="3041"/>
            <w:shd w:val="clear" w:color="auto" w:fill="F2F2F2"/>
            <w:vAlign w:val="center"/>
          </w:tcPr>
          <w:p>
            <w:pPr>
              <w:spacing w:after="0"/>
              <w:jc w:val="left"/>
            </w:pPr>
            <w:r>
              <w:rPr>
                <w:rFonts w:ascii="Times New Roman" w:hAnsi="Times New Roman"/>
                <w:b w:val="0"/>
                <w:sz w:val="20"/>
              </w:rPr>
              <w:t>Compatibility report; short-listed polymer panel.</w:t>
            </w:r>
          </w:p>
        </w:tc>
      </w:tr>
      <w:tr>
        <w:tc>
          <w:tcPr>
            <w:tcW w:type="dxa" w:w="3041"/>
            <w:vAlign w:val="center"/>
          </w:tcPr>
          <w:p>
            <w:pPr>
              <w:spacing w:after="0"/>
              <w:jc w:val="left"/>
            </w:pPr>
            <w:r>
              <w:rPr>
                <w:rFonts w:ascii="Times New Roman" w:hAnsi="Times New Roman"/>
                <w:b w:val="0"/>
                <w:sz w:val="20"/>
              </w:rPr>
              <w:t>5-7</w:t>
            </w:r>
          </w:p>
        </w:tc>
        <w:tc>
          <w:tcPr>
            <w:tcW w:type="dxa" w:w="3041"/>
            <w:vAlign w:val="center"/>
          </w:tcPr>
          <w:p>
            <w:pPr>
              <w:spacing w:after="0"/>
              <w:jc w:val="left"/>
            </w:pPr>
            <w:r>
              <w:rPr>
                <w:rFonts w:ascii="Times New Roman" w:hAnsi="Times New Roman"/>
                <w:b w:val="0"/>
                <w:sz w:val="20"/>
              </w:rPr>
              <w:t>Pilot spray-drying trials; Design of Experiments planning; factorial / response-surface runs.</w:t>
            </w:r>
          </w:p>
        </w:tc>
        <w:tc>
          <w:tcPr>
            <w:tcW w:type="dxa" w:w="3041"/>
            <w:vAlign w:val="center"/>
          </w:tcPr>
          <w:p>
            <w:pPr>
              <w:spacing w:after="0"/>
              <w:jc w:val="left"/>
            </w:pPr>
            <w:r>
              <w:rPr>
                <w:rFonts w:ascii="Times New Roman" w:hAnsi="Times New Roman"/>
                <w:b w:val="0"/>
                <w:sz w:val="20"/>
              </w:rPr>
              <w:t>Process map; preliminary EE and yield data.</w:t>
            </w:r>
          </w:p>
        </w:tc>
      </w:tr>
      <w:tr>
        <w:tc>
          <w:tcPr>
            <w:tcW w:type="dxa" w:w="3041"/>
            <w:shd w:val="clear" w:color="auto" w:fill="F2F2F2"/>
            <w:vAlign w:val="center"/>
          </w:tcPr>
          <w:p>
            <w:pPr>
              <w:spacing w:after="0"/>
              <w:jc w:val="left"/>
            </w:pPr>
            <w:r>
              <w:rPr>
                <w:rFonts w:ascii="Times New Roman" w:hAnsi="Times New Roman"/>
                <w:b w:val="0"/>
                <w:sz w:val="20"/>
              </w:rPr>
              <w:t>8-9</w:t>
            </w:r>
          </w:p>
        </w:tc>
        <w:tc>
          <w:tcPr>
            <w:tcW w:type="dxa" w:w="3041"/>
            <w:shd w:val="clear" w:color="auto" w:fill="F2F2F2"/>
            <w:vAlign w:val="center"/>
          </w:tcPr>
          <w:p>
            <w:pPr>
              <w:spacing w:after="0"/>
              <w:jc w:val="left"/>
            </w:pPr>
            <w:r>
              <w:rPr>
                <w:rFonts w:ascii="Times New Roman" w:hAnsi="Times New Roman"/>
                <w:b w:val="0"/>
                <w:sz w:val="20"/>
              </w:rPr>
              <w:t>Optimisation of leading formulations; preparation of optimised batches.</w:t>
            </w:r>
          </w:p>
        </w:tc>
        <w:tc>
          <w:tcPr>
            <w:tcW w:type="dxa" w:w="3041"/>
            <w:shd w:val="clear" w:color="auto" w:fill="F2F2F2"/>
            <w:vAlign w:val="center"/>
          </w:tcPr>
          <w:p>
            <w:pPr>
              <w:spacing w:after="0"/>
              <w:jc w:val="left"/>
            </w:pPr>
            <w:r>
              <w:rPr>
                <w:rFonts w:ascii="Times New Roman" w:hAnsi="Times New Roman"/>
                <w:b w:val="0"/>
                <w:sz w:val="20"/>
              </w:rPr>
              <w:t>Optimised formulation(s) with documented EE &gt;= 75%.</w:t>
            </w:r>
          </w:p>
        </w:tc>
      </w:tr>
      <w:tr>
        <w:tc>
          <w:tcPr>
            <w:tcW w:type="dxa" w:w="3041"/>
            <w:vAlign w:val="center"/>
          </w:tcPr>
          <w:p>
            <w:pPr>
              <w:spacing w:after="0"/>
              <w:jc w:val="left"/>
            </w:pPr>
            <w:r>
              <w:rPr>
                <w:rFonts w:ascii="Times New Roman" w:hAnsi="Times New Roman"/>
                <w:b w:val="0"/>
                <w:sz w:val="20"/>
              </w:rPr>
              <w:t>10-12</w:t>
            </w:r>
          </w:p>
        </w:tc>
        <w:tc>
          <w:tcPr>
            <w:tcW w:type="dxa" w:w="3041"/>
            <w:vAlign w:val="center"/>
          </w:tcPr>
          <w:p>
            <w:pPr>
              <w:spacing w:after="0"/>
              <w:jc w:val="left"/>
            </w:pPr>
            <w:r>
              <w:rPr>
                <w:rFonts w:ascii="Times New Roman" w:hAnsi="Times New Roman"/>
                <w:b w:val="0"/>
                <w:sz w:val="20"/>
              </w:rPr>
              <w:t>Physico-chemical characterisation (PSD, SEM, zeta potential, DSC, XRD, residual moisture, flow).</w:t>
            </w:r>
          </w:p>
        </w:tc>
        <w:tc>
          <w:tcPr>
            <w:tcW w:type="dxa" w:w="3041"/>
            <w:vAlign w:val="center"/>
          </w:tcPr>
          <w:p>
            <w:pPr>
              <w:spacing w:after="0"/>
              <w:jc w:val="left"/>
            </w:pPr>
            <w:r>
              <w:rPr>
                <w:rFonts w:ascii="Times New Roman" w:hAnsi="Times New Roman"/>
                <w:b w:val="0"/>
                <w:sz w:val="20"/>
              </w:rPr>
              <w:t>Complete characterisation dossier.</w:t>
            </w:r>
          </w:p>
        </w:tc>
      </w:tr>
      <w:tr>
        <w:tc>
          <w:tcPr>
            <w:tcW w:type="dxa" w:w="3041"/>
            <w:shd w:val="clear" w:color="auto" w:fill="F2F2F2"/>
            <w:vAlign w:val="center"/>
          </w:tcPr>
          <w:p>
            <w:pPr>
              <w:spacing w:after="0"/>
              <w:jc w:val="left"/>
            </w:pPr>
            <w:r>
              <w:rPr>
                <w:rFonts w:ascii="Times New Roman" w:hAnsi="Times New Roman"/>
                <w:b w:val="0"/>
                <w:sz w:val="20"/>
              </w:rPr>
              <w:t>13-15</w:t>
            </w:r>
          </w:p>
        </w:tc>
        <w:tc>
          <w:tcPr>
            <w:tcW w:type="dxa" w:w="3041"/>
            <w:shd w:val="clear" w:color="auto" w:fill="F2F2F2"/>
            <w:vAlign w:val="center"/>
          </w:tcPr>
          <w:p>
            <w:pPr>
              <w:spacing w:after="0"/>
              <w:jc w:val="left"/>
            </w:pPr>
            <w:r>
              <w:rPr>
                <w:rFonts w:ascii="Times New Roman" w:hAnsi="Times New Roman"/>
                <w:b w:val="0"/>
                <w:sz w:val="20"/>
              </w:rPr>
              <w:t>In-vitro release studies in simulated vaginal and body fluid; release-kinetic modelling.</w:t>
            </w:r>
          </w:p>
        </w:tc>
        <w:tc>
          <w:tcPr>
            <w:tcW w:type="dxa" w:w="3041"/>
            <w:shd w:val="clear" w:color="auto" w:fill="F2F2F2"/>
            <w:vAlign w:val="center"/>
          </w:tcPr>
          <w:p>
            <w:pPr>
              <w:spacing w:after="0"/>
              <w:jc w:val="left"/>
            </w:pPr>
            <w:r>
              <w:rPr>
                <w:rFonts w:ascii="Times New Roman" w:hAnsi="Times New Roman"/>
                <w:b w:val="0"/>
                <w:sz w:val="20"/>
              </w:rPr>
              <w:t>Release profiles and best-fit kinetic models.</w:t>
            </w:r>
          </w:p>
        </w:tc>
      </w:tr>
      <w:tr>
        <w:tc>
          <w:tcPr>
            <w:tcW w:type="dxa" w:w="3041"/>
            <w:vAlign w:val="center"/>
          </w:tcPr>
          <w:p>
            <w:pPr>
              <w:spacing w:after="0"/>
              <w:jc w:val="left"/>
            </w:pPr>
            <w:r>
              <w:rPr>
                <w:rFonts w:ascii="Times New Roman" w:hAnsi="Times New Roman"/>
                <w:b w:val="0"/>
                <w:sz w:val="20"/>
              </w:rPr>
              <w:t>16-18</w:t>
            </w:r>
          </w:p>
        </w:tc>
        <w:tc>
          <w:tcPr>
            <w:tcW w:type="dxa" w:w="3041"/>
            <w:vAlign w:val="center"/>
          </w:tcPr>
          <w:p>
            <w:pPr>
              <w:spacing w:after="0"/>
              <w:jc w:val="left"/>
            </w:pPr>
            <w:r>
              <w:rPr>
                <w:rFonts w:ascii="Times New Roman" w:hAnsi="Times New Roman"/>
                <w:b w:val="0"/>
                <w:sz w:val="20"/>
              </w:rPr>
              <w:t>Accelerated stability (40/75) and start of long-term stability (25/60).</w:t>
            </w:r>
          </w:p>
        </w:tc>
        <w:tc>
          <w:tcPr>
            <w:tcW w:type="dxa" w:w="3041"/>
            <w:vAlign w:val="center"/>
          </w:tcPr>
          <w:p>
            <w:pPr>
              <w:spacing w:after="0"/>
              <w:jc w:val="left"/>
            </w:pPr>
            <w:r>
              <w:rPr>
                <w:rFonts w:ascii="Times New Roman" w:hAnsi="Times New Roman"/>
                <w:b w:val="0"/>
                <w:sz w:val="20"/>
              </w:rPr>
              <w:t>Three-month accelerated stability report.</w:t>
            </w:r>
          </w:p>
        </w:tc>
      </w:tr>
      <w:tr>
        <w:tc>
          <w:tcPr>
            <w:tcW w:type="dxa" w:w="3041"/>
            <w:shd w:val="clear" w:color="auto" w:fill="F2F2F2"/>
            <w:vAlign w:val="center"/>
          </w:tcPr>
          <w:p>
            <w:pPr>
              <w:spacing w:after="0"/>
              <w:jc w:val="left"/>
            </w:pPr>
            <w:r>
              <w:rPr>
                <w:rFonts w:ascii="Times New Roman" w:hAnsi="Times New Roman"/>
                <w:b w:val="0"/>
                <w:sz w:val="20"/>
              </w:rPr>
              <w:t>19-21</w:t>
            </w:r>
          </w:p>
        </w:tc>
        <w:tc>
          <w:tcPr>
            <w:tcW w:type="dxa" w:w="3041"/>
            <w:shd w:val="clear" w:color="auto" w:fill="F2F2F2"/>
            <w:vAlign w:val="center"/>
          </w:tcPr>
          <w:p>
            <w:pPr>
              <w:spacing w:after="0"/>
              <w:jc w:val="left"/>
            </w:pPr>
            <w:r>
              <w:rPr>
                <w:rFonts w:ascii="Times New Roman" w:hAnsi="Times New Roman"/>
                <w:b w:val="0"/>
                <w:sz w:val="20"/>
              </w:rPr>
              <w:t>Long-term stability continuation; data consolidation; thesis-chapter drafting.</w:t>
            </w:r>
          </w:p>
        </w:tc>
        <w:tc>
          <w:tcPr>
            <w:tcW w:type="dxa" w:w="3041"/>
            <w:shd w:val="clear" w:color="auto" w:fill="F2F2F2"/>
            <w:vAlign w:val="center"/>
          </w:tcPr>
          <w:p>
            <w:pPr>
              <w:spacing w:after="0"/>
              <w:jc w:val="left"/>
            </w:pPr>
            <w:r>
              <w:rPr>
                <w:rFonts w:ascii="Times New Roman" w:hAnsi="Times New Roman"/>
                <w:b w:val="0"/>
                <w:sz w:val="20"/>
              </w:rPr>
              <w:t>Six-month real-time stability report; thesis chapters 1-4.</w:t>
            </w:r>
          </w:p>
        </w:tc>
      </w:tr>
      <w:tr>
        <w:tc>
          <w:tcPr>
            <w:tcW w:type="dxa" w:w="3041"/>
            <w:vAlign w:val="center"/>
          </w:tcPr>
          <w:p>
            <w:pPr>
              <w:spacing w:after="0"/>
              <w:jc w:val="left"/>
            </w:pPr>
            <w:r>
              <w:rPr>
                <w:rFonts w:ascii="Times New Roman" w:hAnsi="Times New Roman"/>
                <w:b w:val="0"/>
                <w:sz w:val="20"/>
              </w:rPr>
              <w:t>22-24</w:t>
            </w:r>
          </w:p>
        </w:tc>
        <w:tc>
          <w:tcPr>
            <w:tcW w:type="dxa" w:w="3041"/>
            <w:vAlign w:val="center"/>
          </w:tcPr>
          <w:p>
            <w:pPr>
              <w:spacing w:after="0"/>
              <w:jc w:val="left"/>
            </w:pPr>
            <w:r>
              <w:rPr>
                <w:rFonts w:ascii="Times New Roman" w:hAnsi="Times New Roman"/>
                <w:b w:val="0"/>
                <w:sz w:val="20"/>
              </w:rPr>
              <w:t>Manuscript preparation, thesis writing, viva voce.</w:t>
            </w:r>
          </w:p>
        </w:tc>
        <w:tc>
          <w:tcPr>
            <w:tcW w:type="dxa" w:w="3041"/>
            <w:vAlign w:val="center"/>
          </w:tcPr>
          <w:p>
            <w:pPr>
              <w:spacing w:after="0"/>
              <w:jc w:val="left"/>
            </w:pPr>
            <w:r>
              <w:rPr>
                <w:rFonts w:ascii="Times New Roman" w:hAnsi="Times New Roman"/>
                <w:b w:val="0"/>
                <w:sz w:val="20"/>
              </w:rPr>
              <w:t>Submitted manuscript(s); final thesis.</w:t>
            </w:r>
          </w:p>
        </w:tc>
      </w:tr>
    </w:tbl>
    <w:p/>
    <w:p>
      <w:pPr>
        <w:pStyle w:val="Heading1"/>
        <w:jc w:val="left"/>
      </w:pPr>
      <w:r>
        <w:t>12. EXPECTED BUDGET</w:t>
      </w:r>
    </w:p>
    <w:p>
      <w:r>
        <w:rPr>
          <w:rFonts w:ascii="Times New Roman" w:hAnsi="Times New Roman"/>
          <w:b w:val="0"/>
          <w:i/>
          <w:sz w:val="22"/>
        </w:rPr>
        <w:t>Budget figures below are indicative academic estimates in Indian Rupees (INR) for a 24-month programme conducted in a university research environment with shared central instrumentation. They should be adjusted to local supplier quotations and to the actual scope of the approved proposal.</w:t>
      </w:r>
    </w:p>
    <w:p>
      <w:pPr>
        <w:jc w:val="left"/>
      </w:pPr>
      <w:r>
        <w:rPr>
          <w:rFonts w:ascii="Times New Roman" w:hAnsi="Times New Roman"/>
          <w:b/>
          <w:i/>
          <w:sz w:val="22"/>
        </w:rPr>
        <w:t>Table 4. Indicative budget estimate (INR).</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8"/>
            <w:vAlign w:val="center"/>
          </w:tcPr>
          <w:p>
            <w:pPr>
              <w:spacing w:after="0"/>
              <w:jc w:val="center"/>
            </w:pPr>
            <w:r>
              <w:rPr>
                <w:rFonts w:ascii="Times New Roman" w:hAnsi="Times New Roman"/>
                <w:b/>
                <w:color w:val="FFFFFF"/>
                <w:sz w:val="20"/>
              </w:rPr>
              <w:t>Head</w:t>
            </w:r>
          </w:p>
        </w:tc>
        <w:tc>
          <w:tcPr>
            <w:tcW w:type="dxa" w:w="3041"/>
            <w:shd w:val="clear" w:color="auto" w:fill="1F4E78"/>
            <w:vAlign w:val="center"/>
          </w:tcPr>
          <w:p>
            <w:pPr>
              <w:spacing w:after="0"/>
              <w:jc w:val="center"/>
            </w:pPr>
            <w:r>
              <w:rPr>
                <w:rFonts w:ascii="Times New Roman" w:hAnsi="Times New Roman"/>
                <w:b/>
                <w:color w:val="FFFFFF"/>
                <w:sz w:val="20"/>
              </w:rPr>
              <w:t>Item</w:t>
            </w:r>
          </w:p>
        </w:tc>
        <w:tc>
          <w:tcPr>
            <w:tcW w:type="dxa" w:w="3041"/>
            <w:shd w:val="clear" w:color="auto" w:fill="1F4E78"/>
            <w:vAlign w:val="center"/>
          </w:tcPr>
          <w:p>
            <w:pPr>
              <w:spacing w:after="0"/>
              <w:jc w:val="center"/>
            </w:pPr>
            <w:r>
              <w:rPr>
                <w:rFonts w:ascii="Times New Roman" w:hAnsi="Times New Roman"/>
                <w:b/>
                <w:color w:val="FFFFFF"/>
                <w:sz w:val="20"/>
              </w:rPr>
              <w:t>Approx. cost (INR)</w:t>
            </w:r>
          </w:p>
        </w:tc>
      </w:tr>
      <w:tr>
        <w:tc>
          <w:tcPr>
            <w:tcW w:type="dxa" w:w="3041"/>
            <w:vAlign w:val="center"/>
          </w:tcPr>
          <w:p>
            <w:pPr>
              <w:spacing w:after="0"/>
              <w:jc w:val="left"/>
            </w:pPr>
            <w:r>
              <w:rPr>
                <w:rFonts w:ascii="Times New Roman" w:hAnsi="Times New Roman"/>
                <w:b/>
                <w:sz w:val="20"/>
              </w:rPr>
              <w:t>Drug</w:t>
            </w:r>
          </w:p>
        </w:tc>
        <w:tc>
          <w:tcPr>
            <w:tcW w:type="dxa" w:w="3041"/>
            <w:vAlign w:val="center"/>
          </w:tcPr>
          <w:p>
            <w:pPr>
              <w:spacing w:after="0"/>
              <w:jc w:val="left"/>
            </w:pPr>
            <w:r>
              <w:rPr>
                <w:rFonts w:ascii="Times New Roman" w:hAnsi="Times New Roman"/>
                <w:b w:val="0"/>
                <w:sz w:val="20"/>
              </w:rPr>
              <w:t>Pharmaceutical-grade progesterone (USP/IP), 25-50 g</w:t>
            </w:r>
          </w:p>
        </w:tc>
        <w:tc>
          <w:tcPr>
            <w:tcW w:type="dxa" w:w="3041"/>
            <w:vAlign w:val="center"/>
          </w:tcPr>
          <w:p>
            <w:pPr>
              <w:spacing w:after="0"/>
              <w:jc w:val="left"/>
            </w:pPr>
            <w:r>
              <w:rPr>
                <w:rFonts w:ascii="Times New Roman" w:hAnsi="Times New Roman"/>
                <w:b w:val="0"/>
                <w:sz w:val="20"/>
              </w:rPr>
              <w:t>30,000 - 60,000</w:t>
            </w:r>
          </w:p>
        </w:tc>
      </w:tr>
      <w:tr>
        <w:tc>
          <w:tcPr>
            <w:tcW w:type="dxa" w:w="3041"/>
            <w:shd w:val="clear" w:color="auto" w:fill="F2F2F2"/>
            <w:vAlign w:val="center"/>
          </w:tcPr>
          <w:p>
            <w:pPr>
              <w:spacing w:after="0"/>
              <w:jc w:val="left"/>
            </w:pPr>
            <w:r>
              <w:rPr>
                <w:rFonts w:ascii="Times New Roman" w:hAnsi="Times New Roman"/>
                <w:b/>
                <w:sz w:val="20"/>
              </w:rPr>
              <w:t>Biopolymers</w:t>
            </w:r>
          </w:p>
        </w:tc>
        <w:tc>
          <w:tcPr>
            <w:tcW w:type="dxa" w:w="3041"/>
            <w:shd w:val="clear" w:color="auto" w:fill="F2F2F2"/>
            <w:vAlign w:val="center"/>
          </w:tcPr>
          <w:p>
            <w:pPr>
              <w:spacing w:after="0"/>
              <w:jc w:val="left"/>
            </w:pPr>
            <w:r>
              <w:rPr>
                <w:rFonts w:ascii="Times New Roman" w:hAnsi="Times New Roman"/>
                <w:b w:val="0"/>
                <w:sz w:val="20"/>
              </w:rPr>
              <w:t>Chitosan, alginate, gelatin, whey protein, sodium caseinate, zein, maltodextrin, gum arabic, modified starch, HPMC, EC, PVA, PEG, PCL, PLGA, HP-beta-CD</w:t>
            </w:r>
          </w:p>
        </w:tc>
        <w:tc>
          <w:tcPr>
            <w:tcW w:type="dxa" w:w="3041"/>
            <w:shd w:val="clear" w:color="auto" w:fill="F2F2F2"/>
            <w:vAlign w:val="center"/>
          </w:tcPr>
          <w:p>
            <w:pPr>
              <w:spacing w:after="0"/>
              <w:jc w:val="left"/>
            </w:pPr>
            <w:r>
              <w:rPr>
                <w:rFonts w:ascii="Times New Roman" w:hAnsi="Times New Roman"/>
                <w:b w:val="0"/>
                <w:sz w:val="20"/>
              </w:rPr>
              <w:t>1,50,000 - 2,50,000</w:t>
            </w:r>
          </w:p>
        </w:tc>
      </w:tr>
      <w:tr>
        <w:tc>
          <w:tcPr>
            <w:tcW w:type="dxa" w:w="3041"/>
            <w:vAlign w:val="center"/>
          </w:tcPr>
          <w:p>
            <w:pPr>
              <w:spacing w:after="0"/>
              <w:jc w:val="left"/>
            </w:pPr>
            <w:r>
              <w:rPr>
                <w:rFonts w:ascii="Times New Roman" w:hAnsi="Times New Roman"/>
                <w:b/>
                <w:sz w:val="20"/>
              </w:rPr>
              <w:t>Solvents and reagents</w:t>
            </w:r>
          </w:p>
        </w:tc>
        <w:tc>
          <w:tcPr>
            <w:tcW w:type="dxa" w:w="3041"/>
            <w:vAlign w:val="center"/>
          </w:tcPr>
          <w:p>
            <w:pPr>
              <w:spacing w:after="0"/>
              <w:jc w:val="left"/>
            </w:pPr>
            <w:r>
              <w:rPr>
                <w:rFonts w:ascii="Times New Roman" w:hAnsi="Times New Roman"/>
                <w:b w:val="0"/>
                <w:sz w:val="20"/>
              </w:rPr>
              <w:t>HPLC-grade methanol, acetonitrile, ethanol, dichloromethane, buffer salts, surfactants, crosslinkers</w:t>
            </w:r>
          </w:p>
        </w:tc>
        <w:tc>
          <w:tcPr>
            <w:tcW w:type="dxa" w:w="3041"/>
            <w:vAlign w:val="center"/>
          </w:tcPr>
          <w:p>
            <w:pPr>
              <w:spacing w:after="0"/>
              <w:jc w:val="left"/>
            </w:pPr>
            <w:r>
              <w:rPr>
                <w:rFonts w:ascii="Times New Roman" w:hAnsi="Times New Roman"/>
                <w:b w:val="0"/>
                <w:sz w:val="20"/>
              </w:rPr>
              <w:t>75,000 - 1,00,000</w:t>
            </w:r>
          </w:p>
        </w:tc>
      </w:tr>
      <w:tr>
        <w:tc>
          <w:tcPr>
            <w:tcW w:type="dxa" w:w="3041"/>
            <w:shd w:val="clear" w:color="auto" w:fill="F2F2F2"/>
            <w:vAlign w:val="center"/>
          </w:tcPr>
          <w:p>
            <w:pPr>
              <w:spacing w:after="0"/>
              <w:jc w:val="left"/>
            </w:pPr>
            <w:r>
              <w:rPr>
                <w:rFonts w:ascii="Times New Roman" w:hAnsi="Times New Roman"/>
                <w:b/>
                <w:sz w:val="20"/>
              </w:rPr>
              <w:t>Spray-drying charges</w:t>
            </w:r>
          </w:p>
        </w:tc>
        <w:tc>
          <w:tcPr>
            <w:tcW w:type="dxa" w:w="3041"/>
            <w:shd w:val="clear" w:color="auto" w:fill="F2F2F2"/>
            <w:vAlign w:val="center"/>
          </w:tcPr>
          <w:p>
            <w:pPr>
              <w:spacing w:after="0"/>
              <w:jc w:val="left"/>
            </w:pPr>
            <w:r>
              <w:rPr>
                <w:rFonts w:ascii="Times New Roman" w:hAnsi="Times New Roman"/>
                <w:b w:val="0"/>
                <w:sz w:val="20"/>
              </w:rPr>
              <w:t>Use of laboratory spray dryer (Buchi B-290 or equivalent); approx. 100 runs at central facility</w:t>
            </w:r>
          </w:p>
        </w:tc>
        <w:tc>
          <w:tcPr>
            <w:tcW w:type="dxa" w:w="3041"/>
            <w:shd w:val="clear" w:color="auto" w:fill="F2F2F2"/>
            <w:vAlign w:val="center"/>
          </w:tcPr>
          <w:p>
            <w:pPr>
              <w:spacing w:after="0"/>
              <w:jc w:val="left"/>
            </w:pPr>
            <w:r>
              <w:rPr>
                <w:rFonts w:ascii="Times New Roman" w:hAnsi="Times New Roman"/>
                <w:b w:val="0"/>
                <w:sz w:val="20"/>
              </w:rPr>
              <w:t>1,50,000 - 2,00,000</w:t>
            </w:r>
          </w:p>
        </w:tc>
      </w:tr>
      <w:tr>
        <w:tc>
          <w:tcPr>
            <w:tcW w:type="dxa" w:w="3041"/>
            <w:vAlign w:val="center"/>
          </w:tcPr>
          <w:p>
            <w:pPr>
              <w:spacing w:after="0"/>
              <w:jc w:val="left"/>
            </w:pPr>
            <w:r>
              <w:rPr>
                <w:rFonts w:ascii="Times New Roman" w:hAnsi="Times New Roman"/>
                <w:b/>
                <w:sz w:val="20"/>
              </w:rPr>
              <w:t>Characterisation - in-house</w:t>
            </w:r>
          </w:p>
        </w:tc>
        <w:tc>
          <w:tcPr>
            <w:tcW w:type="dxa" w:w="3041"/>
            <w:vAlign w:val="center"/>
          </w:tcPr>
          <w:p>
            <w:pPr>
              <w:spacing w:after="0"/>
              <w:jc w:val="left"/>
            </w:pPr>
            <w:r>
              <w:rPr>
                <w:rFonts w:ascii="Times New Roman" w:hAnsi="Times New Roman"/>
                <w:b w:val="0"/>
                <w:sz w:val="20"/>
              </w:rPr>
              <w:t>FTIR, DSC, UV, HPLC consumables (columns, vials, filters)</w:t>
            </w:r>
          </w:p>
        </w:tc>
        <w:tc>
          <w:tcPr>
            <w:tcW w:type="dxa" w:w="3041"/>
            <w:vAlign w:val="center"/>
          </w:tcPr>
          <w:p>
            <w:pPr>
              <w:spacing w:after="0"/>
              <w:jc w:val="left"/>
            </w:pPr>
            <w:r>
              <w:rPr>
                <w:rFonts w:ascii="Times New Roman" w:hAnsi="Times New Roman"/>
                <w:b w:val="0"/>
                <w:sz w:val="20"/>
              </w:rPr>
              <w:t>1,00,000 - 1,50,000</w:t>
            </w:r>
          </w:p>
        </w:tc>
      </w:tr>
      <w:tr>
        <w:tc>
          <w:tcPr>
            <w:tcW w:type="dxa" w:w="3041"/>
            <w:shd w:val="clear" w:color="auto" w:fill="F2F2F2"/>
            <w:vAlign w:val="center"/>
          </w:tcPr>
          <w:p>
            <w:pPr>
              <w:spacing w:after="0"/>
              <w:jc w:val="left"/>
            </w:pPr>
            <w:r>
              <w:rPr>
                <w:rFonts w:ascii="Times New Roman" w:hAnsi="Times New Roman"/>
                <w:b/>
                <w:sz w:val="20"/>
              </w:rPr>
              <w:t>Characterisation - paid central facilities</w:t>
            </w:r>
          </w:p>
        </w:tc>
        <w:tc>
          <w:tcPr>
            <w:tcW w:type="dxa" w:w="3041"/>
            <w:shd w:val="clear" w:color="auto" w:fill="F2F2F2"/>
            <w:vAlign w:val="center"/>
          </w:tcPr>
          <w:p>
            <w:pPr>
              <w:spacing w:after="0"/>
              <w:jc w:val="left"/>
            </w:pPr>
            <w:r>
              <w:rPr>
                <w:rFonts w:ascii="Times New Roman" w:hAnsi="Times New Roman"/>
                <w:b w:val="0"/>
                <w:sz w:val="20"/>
              </w:rPr>
              <w:t>SEM, TEM, XRD, particle size analysis, zeta potential, TGA</w:t>
            </w:r>
          </w:p>
        </w:tc>
        <w:tc>
          <w:tcPr>
            <w:tcW w:type="dxa" w:w="3041"/>
            <w:shd w:val="clear" w:color="auto" w:fill="F2F2F2"/>
            <w:vAlign w:val="center"/>
          </w:tcPr>
          <w:p>
            <w:pPr>
              <w:spacing w:after="0"/>
              <w:jc w:val="left"/>
            </w:pPr>
            <w:r>
              <w:rPr>
                <w:rFonts w:ascii="Times New Roman" w:hAnsi="Times New Roman"/>
                <w:b w:val="0"/>
                <w:sz w:val="20"/>
              </w:rPr>
              <w:t>1,50,000 - 2,50,000</w:t>
            </w:r>
          </w:p>
        </w:tc>
      </w:tr>
      <w:tr>
        <w:tc>
          <w:tcPr>
            <w:tcW w:type="dxa" w:w="3041"/>
            <w:vAlign w:val="center"/>
          </w:tcPr>
          <w:p>
            <w:pPr>
              <w:spacing w:after="0"/>
              <w:jc w:val="left"/>
            </w:pPr>
            <w:r>
              <w:rPr>
                <w:rFonts w:ascii="Times New Roman" w:hAnsi="Times New Roman"/>
                <w:b/>
                <w:sz w:val="20"/>
              </w:rPr>
              <w:t>Glassware and consumables</w:t>
            </w:r>
          </w:p>
        </w:tc>
        <w:tc>
          <w:tcPr>
            <w:tcW w:type="dxa" w:w="3041"/>
            <w:vAlign w:val="center"/>
          </w:tcPr>
          <w:p>
            <w:pPr>
              <w:spacing w:after="0"/>
              <w:jc w:val="left"/>
            </w:pPr>
            <w:r>
              <w:rPr>
                <w:rFonts w:ascii="Times New Roman" w:hAnsi="Times New Roman"/>
                <w:b w:val="0"/>
                <w:sz w:val="20"/>
              </w:rPr>
              <w:t>Volumetric glassware, syringes, dialysis tubing, vials, amber bottles, desiccators</w:t>
            </w:r>
          </w:p>
        </w:tc>
        <w:tc>
          <w:tcPr>
            <w:tcW w:type="dxa" w:w="3041"/>
            <w:vAlign w:val="center"/>
          </w:tcPr>
          <w:p>
            <w:pPr>
              <w:spacing w:after="0"/>
              <w:jc w:val="left"/>
            </w:pPr>
            <w:r>
              <w:rPr>
                <w:rFonts w:ascii="Times New Roman" w:hAnsi="Times New Roman"/>
                <w:b w:val="0"/>
                <w:sz w:val="20"/>
              </w:rPr>
              <w:t>40,000 - 60,000</w:t>
            </w:r>
          </w:p>
        </w:tc>
      </w:tr>
      <w:tr>
        <w:tc>
          <w:tcPr>
            <w:tcW w:type="dxa" w:w="3041"/>
            <w:shd w:val="clear" w:color="auto" w:fill="F2F2F2"/>
            <w:vAlign w:val="center"/>
          </w:tcPr>
          <w:p>
            <w:pPr>
              <w:spacing w:after="0"/>
              <w:jc w:val="left"/>
            </w:pPr>
            <w:r>
              <w:rPr>
                <w:rFonts w:ascii="Times New Roman" w:hAnsi="Times New Roman"/>
                <w:b/>
                <w:sz w:val="20"/>
              </w:rPr>
              <w:t>Stability study</w:t>
            </w:r>
          </w:p>
        </w:tc>
        <w:tc>
          <w:tcPr>
            <w:tcW w:type="dxa" w:w="3041"/>
            <w:shd w:val="clear" w:color="auto" w:fill="F2F2F2"/>
            <w:vAlign w:val="center"/>
          </w:tcPr>
          <w:p>
            <w:pPr>
              <w:spacing w:after="0"/>
              <w:jc w:val="left"/>
            </w:pPr>
            <w:r>
              <w:rPr>
                <w:rFonts w:ascii="Times New Roman" w:hAnsi="Times New Roman"/>
                <w:b w:val="0"/>
                <w:sz w:val="20"/>
              </w:rPr>
              <w:t>Stability chamber rental / charges; humidity sensors; amber vials with desiccant</w:t>
            </w:r>
          </w:p>
        </w:tc>
        <w:tc>
          <w:tcPr>
            <w:tcW w:type="dxa" w:w="3041"/>
            <w:shd w:val="clear" w:color="auto" w:fill="F2F2F2"/>
            <w:vAlign w:val="center"/>
          </w:tcPr>
          <w:p>
            <w:pPr>
              <w:spacing w:after="0"/>
              <w:jc w:val="left"/>
            </w:pPr>
            <w:r>
              <w:rPr>
                <w:rFonts w:ascii="Times New Roman" w:hAnsi="Times New Roman"/>
                <w:b w:val="0"/>
                <w:sz w:val="20"/>
              </w:rPr>
              <w:t>60,000 - 90,000</w:t>
            </w:r>
          </w:p>
        </w:tc>
      </w:tr>
      <w:tr>
        <w:tc>
          <w:tcPr>
            <w:tcW w:type="dxa" w:w="3041"/>
            <w:vAlign w:val="center"/>
          </w:tcPr>
          <w:p>
            <w:pPr>
              <w:spacing w:after="0"/>
              <w:jc w:val="left"/>
            </w:pPr>
            <w:r>
              <w:rPr>
                <w:rFonts w:ascii="Times New Roman" w:hAnsi="Times New Roman"/>
                <w:b/>
                <w:sz w:val="20"/>
              </w:rPr>
              <w:t>Statistical / DoE software</w:t>
            </w:r>
          </w:p>
        </w:tc>
        <w:tc>
          <w:tcPr>
            <w:tcW w:type="dxa" w:w="3041"/>
            <w:vAlign w:val="center"/>
          </w:tcPr>
          <w:p>
            <w:pPr>
              <w:spacing w:after="0"/>
              <w:jc w:val="left"/>
            </w:pPr>
            <w:r>
              <w:rPr>
                <w:rFonts w:ascii="Times New Roman" w:hAnsi="Times New Roman"/>
                <w:b w:val="0"/>
                <w:sz w:val="20"/>
              </w:rPr>
              <w:t>Design-Expert or Minitab academic licence; DDSolver (free)</w:t>
            </w:r>
          </w:p>
        </w:tc>
        <w:tc>
          <w:tcPr>
            <w:tcW w:type="dxa" w:w="3041"/>
            <w:vAlign w:val="center"/>
          </w:tcPr>
          <w:p>
            <w:pPr>
              <w:spacing w:after="0"/>
              <w:jc w:val="left"/>
            </w:pPr>
            <w:r>
              <w:rPr>
                <w:rFonts w:ascii="Times New Roman" w:hAnsi="Times New Roman"/>
                <w:b w:val="0"/>
                <w:sz w:val="20"/>
              </w:rPr>
              <w:t>30,000 - 60,000</w:t>
            </w:r>
          </w:p>
        </w:tc>
      </w:tr>
      <w:tr>
        <w:tc>
          <w:tcPr>
            <w:tcW w:type="dxa" w:w="3041"/>
            <w:shd w:val="clear" w:color="auto" w:fill="F2F2F2"/>
            <w:vAlign w:val="center"/>
          </w:tcPr>
          <w:p>
            <w:pPr>
              <w:spacing w:after="0"/>
              <w:jc w:val="left"/>
            </w:pPr>
            <w:r>
              <w:rPr>
                <w:rFonts w:ascii="Times New Roman" w:hAnsi="Times New Roman"/>
                <w:b/>
                <w:sz w:val="20"/>
              </w:rPr>
              <w:t>Travel and conference</w:t>
            </w:r>
          </w:p>
        </w:tc>
        <w:tc>
          <w:tcPr>
            <w:tcW w:type="dxa" w:w="3041"/>
            <w:shd w:val="clear" w:color="auto" w:fill="F2F2F2"/>
            <w:vAlign w:val="center"/>
          </w:tcPr>
          <w:p>
            <w:pPr>
              <w:spacing w:after="0"/>
              <w:jc w:val="left"/>
            </w:pPr>
            <w:r>
              <w:rPr>
                <w:rFonts w:ascii="Times New Roman" w:hAnsi="Times New Roman"/>
                <w:b w:val="0"/>
                <w:sz w:val="20"/>
              </w:rPr>
              <w:t>Conference presentation; collaborator visits</w:t>
            </w:r>
          </w:p>
        </w:tc>
        <w:tc>
          <w:tcPr>
            <w:tcW w:type="dxa" w:w="3041"/>
            <w:shd w:val="clear" w:color="auto" w:fill="F2F2F2"/>
            <w:vAlign w:val="center"/>
          </w:tcPr>
          <w:p>
            <w:pPr>
              <w:spacing w:after="0"/>
              <w:jc w:val="left"/>
            </w:pPr>
            <w:r>
              <w:rPr>
                <w:rFonts w:ascii="Times New Roman" w:hAnsi="Times New Roman"/>
                <w:b w:val="0"/>
                <w:sz w:val="20"/>
              </w:rPr>
              <w:t>50,000 - 75,000</w:t>
            </w:r>
          </w:p>
        </w:tc>
      </w:tr>
      <w:tr>
        <w:tc>
          <w:tcPr>
            <w:tcW w:type="dxa" w:w="3041"/>
            <w:vAlign w:val="center"/>
          </w:tcPr>
          <w:p>
            <w:pPr>
              <w:spacing w:after="0"/>
              <w:jc w:val="left"/>
            </w:pPr>
            <w:r>
              <w:rPr>
                <w:rFonts w:ascii="Times New Roman" w:hAnsi="Times New Roman"/>
                <w:b/>
                <w:sz w:val="20"/>
              </w:rPr>
              <w:t>Publication and thesis</w:t>
            </w:r>
          </w:p>
        </w:tc>
        <w:tc>
          <w:tcPr>
            <w:tcW w:type="dxa" w:w="3041"/>
            <w:vAlign w:val="center"/>
          </w:tcPr>
          <w:p>
            <w:pPr>
              <w:spacing w:after="0"/>
              <w:jc w:val="left"/>
            </w:pPr>
            <w:r>
              <w:rPr>
                <w:rFonts w:ascii="Times New Roman" w:hAnsi="Times New Roman"/>
                <w:b w:val="0"/>
                <w:sz w:val="20"/>
              </w:rPr>
              <w:t>Open-access article-processing charge; printing; binding</w:t>
            </w:r>
          </w:p>
        </w:tc>
        <w:tc>
          <w:tcPr>
            <w:tcW w:type="dxa" w:w="3041"/>
            <w:vAlign w:val="center"/>
          </w:tcPr>
          <w:p>
            <w:pPr>
              <w:spacing w:after="0"/>
              <w:jc w:val="left"/>
            </w:pPr>
            <w:r>
              <w:rPr>
                <w:rFonts w:ascii="Times New Roman" w:hAnsi="Times New Roman"/>
                <w:b w:val="0"/>
                <w:sz w:val="20"/>
              </w:rPr>
              <w:t>1,00,000 - 2,00,000</w:t>
            </w:r>
          </w:p>
        </w:tc>
      </w:tr>
      <w:tr>
        <w:tc>
          <w:tcPr>
            <w:tcW w:type="dxa" w:w="3041"/>
            <w:shd w:val="clear" w:color="auto" w:fill="F2F2F2"/>
            <w:vAlign w:val="center"/>
          </w:tcPr>
          <w:p>
            <w:pPr>
              <w:spacing w:after="0"/>
              <w:jc w:val="left"/>
            </w:pPr>
            <w:r>
              <w:rPr>
                <w:rFonts w:ascii="Times New Roman" w:hAnsi="Times New Roman"/>
                <w:b/>
                <w:sz w:val="20"/>
              </w:rPr>
              <w:t>Contingency (approx. 10%)</w:t>
            </w:r>
          </w:p>
        </w:tc>
        <w:tc>
          <w:tcPr>
            <w:tcW w:type="dxa" w:w="3041"/>
            <w:shd w:val="clear" w:color="auto" w:fill="F2F2F2"/>
            <w:vAlign w:val="center"/>
          </w:tcPr>
          <w:p>
            <w:pPr>
              <w:spacing w:after="0"/>
              <w:jc w:val="left"/>
            </w:pPr>
            <w:r>
              <w:rPr>
                <w:rFonts w:ascii="Times New Roman" w:hAnsi="Times New Roman"/>
                <w:b w:val="0"/>
                <w:sz w:val="20"/>
              </w:rPr>
              <w:t>Unforeseen reagents, repeats, instrument time</w:t>
            </w:r>
          </w:p>
        </w:tc>
        <w:tc>
          <w:tcPr>
            <w:tcW w:type="dxa" w:w="3041"/>
            <w:shd w:val="clear" w:color="auto" w:fill="F2F2F2"/>
            <w:vAlign w:val="center"/>
          </w:tcPr>
          <w:p>
            <w:pPr>
              <w:spacing w:after="0"/>
              <w:jc w:val="left"/>
            </w:pPr>
            <w:r>
              <w:rPr>
                <w:rFonts w:ascii="Times New Roman" w:hAnsi="Times New Roman"/>
                <w:b w:val="0"/>
                <w:sz w:val="20"/>
              </w:rPr>
              <w:t>1,00,000 - 1,50,000</w:t>
            </w:r>
          </w:p>
        </w:tc>
      </w:tr>
      <w:tr>
        <w:tc>
          <w:tcPr>
            <w:tcW w:type="dxa" w:w="3041"/>
            <w:vAlign w:val="center"/>
          </w:tcPr>
          <w:p>
            <w:pPr>
              <w:spacing w:after="0"/>
              <w:jc w:val="left"/>
            </w:pPr>
            <w:r>
              <w:rPr>
                <w:rFonts w:ascii="Times New Roman" w:hAnsi="Times New Roman"/>
                <w:b/>
                <w:sz w:val="20"/>
              </w:rPr>
              <w:t>TOTAL (indicative)</w:t>
            </w:r>
          </w:p>
        </w:tc>
        <w:tc>
          <w:tcPr>
            <w:tcW w:type="dxa" w:w="3041"/>
            <w:vAlign w:val="center"/>
          </w:tcPr>
          <w:p>
            <w:pPr>
              <w:spacing w:after="0"/>
              <w:jc w:val="left"/>
            </w:pPr>
            <w:r>
              <w:rPr>
                <w:rFonts w:ascii="Times New Roman" w:hAnsi="Times New Roman"/>
                <w:b w:val="0"/>
                <w:sz w:val="20"/>
              </w:rPr>
            </w:r>
          </w:p>
        </w:tc>
        <w:tc>
          <w:tcPr>
            <w:tcW w:type="dxa" w:w="3041"/>
            <w:vAlign w:val="center"/>
          </w:tcPr>
          <w:p>
            <w:pPr>
              <w:spacing w:after="0"/>
              <w:jc w:val="left"/>
            </w:pPr>
            <w:r>
              <w:rPr>
                <w:rFonts w:ascii="Times New Roman" w:hAnsi="Times New Roman"/>
                <w:b w:val="0"/>
                <w:sz w:val="20"/>
              </w:rPr>
              <w:t>10,35,000 - 15,45,000</w:t>
            </w:r>
          </w:p>
        </w:tc>
      </w:tr>
    </w:tbl>
    <w:p/>
    <w:p>
      <w:pPr>
        <w:pStyle w:val="Heading1"/>
        <w:jc w:val="left"/>
      </w:pPr>
      <w:r>
        <w:t>13. REFERENCES</w:t>
      </w:r>
    </w:p>
    <w:p>
      <w:pPr>
        <w:spacing w:after="80"/>
        <w:ind w:left="454" w:hanging="454"/>
        <w:jc w:val="both"/>
      </w:pPr>
      <w:r>
        <w:rPr>
          <w:rFonts w:ascii="Times New Roman" w:hAnsi="Times New Roman"/>
          <w:sz w:val="22"/>
        </w:rPr>
        <w:t>[1]  Gharsallaoui A, Roudaut G, Chambin O, Voilley A, Saurel R. Applications of spray-drying in microencapsulation of food ingredients: An overview. Food Research International. 2007;40(9):1107-1121.</w:t>
      </w:r>
    </w:p>
    <w:p>
      <w:pPr>
        <w:spacing w:after="80"/>
        <w:ind w:left="454" w:hanging="454"/>
        <w:jc w:val="both"/>
      </w:pPr>
      <w:r>
        <w:rPr>
          <w:rFonts w:ascii="Times New Roman" w:hAnsi="Times New Roman"/>
          <w:sz w:val="22"/>
        </w:rPr>
        <w:t>[2]  Sosnik A, Seremeta KP. Advantages and challenges of the spray-drying technology for the production of pure drug particles and drug-loaded polymeric carriers. Advances in Colloid and Interface Science. 2015;223:40-54.</w:t>
      </w:r>
    </w:p>
    <w:p>
      <w:pPr>
        <w:spacing w:after="80"/>
        <w:ind w:left="454" w:hanging="454"/>
        <w:jc w:val="both"/>
      </w:pPr>
      <w:r>
        <w:rPr>
          <w:rFonts w:ascii="Times New Roman" w:hAnsi="Times New Roman"/>
          <w:sz w:val="22"/>
        </w:rPr>
        <w:t>[3]  Vehring R. Pharmaceutical particle engineering via spray drying. Pharmaceutical Research. 2008;25(5):999-1022.</w:t>
      </w:r>
    </w:p>
    <w:p>
      <w:pPr>
        <w:spacing w:after="80"/>
        <w:ind w:left="454" w:hanging="454"/>
        <w:jc w:val="both"/>
      </w:pPr>
      <w:r>
        <w:rPr>
          <w:rFonts w:ascii="Times New Roman" w:hAnsi="Times New Roman"/>
          <w:sz w:val="22"/>
        </w:rPr>
        <w:t>[4]  Cal K, Sollohub K. Spray drying technique. I: Hardware and process parameters. Journal of Pharmaceutical Sciences. 2010;99(2):575-586.</w:t>
      </w:r>
    </w:p>
    <w:p>
      <w:pPr>
        <w:spacing w:after="80"/>
        <w:ind w:left="454" w:hanging="454"/>
        <w:jc w:val="both"/>
      </w:pPr>
      <w:r>
        <w:rPr>
          <w:rFonts w:ascii="Times New Roman" w:hAnsi="Times New Roman"/>
          <w:sz w:val="22"/>
        </w:rPr>
        <w:t>[5]  Sollohub K, Cal K. Spray drying technique. II: Current applications in pharmaceutical technology. Journal of Pharmaceutical Sciences. 2010;99(2):587-597.</w:t>
      </w:r>
    </w:p>
    <w:p>
      <w:pPr>
        <w:spacing w:after="80"/>
        <w:ind w:left="454" w:hanging="454"/>
        <w:jc w:val="both"/>
      </w:pPr>
      <w:r>
        <w:rPr>
          <w:rFonts w:ascii="Times New Roman" w:hAnsi="Times New Roman"/>
          <w:sz w:val="22"/>
        </w:rPr>
        <w:t>[6]  Estevinho BN, Rocha F, Santos L, Alves A. Microencapsulation with chitosan by spray drying for industry applications - A review. Trends in Food Science &amp; Technology. 2013;31(2):138-155.</w:t>
      </w:r>
    </w:p>
    <w:p>
      <w:pPr>
        <w:spacing w:after="80"/>
        <w:ind w:left="454" w:hanging="454"/>
        <w:jc w:val="both"/>
      </w:pPr>
      <w:r>
        <w:rPr>
          <w:rFonts w:ascii="Times New Roman" w:hAnsi="Times New Roman"/>
          <w:sz w:val="22"/>
        </w:rPr>
        <w:t>[7]  Anandharamakrishnan C, Ishwarya SP. Spray Drying Techniques for Food Ingredient Encapsulation. Chichester: Wiley-Blackwell / IFT Press; 2015.</w:t>
      </w:r>
    </w:p>
    <w:p>
      <w:pPr>
        <w:spacing w:after="80"/>
        <w:ind w:left="454" w:hanging="454"/>
        <w:jc w:val="both"/>
      </w:pPr>
      <w:r>
        <w:rPr>
          <w:rFonts w:ascii="Times New Roman" w:hAnsi="Times New Roman"/>
          <w:sz w:val="22"/>
        </w:rPr>
        <w:t>[8]  Rathbone MJ, Kinder JE, Fike K, Kojima F, Clopton D, Ogle CR, Bunt CR. Recent advances in bovine reproductive endocrinology and physiology and their impact on drug delivery system design for the control of the estrous cycle in cattle. Advanced Drug Delivery Reviews. 2002;54(8):1077-1112.</w:t>
      </w:r>
    </w:p>
    <w:p>
      <w:pPr>
        <w:spacing w:after="80"/>
        <w:ind w:left="454" w:hanging="454"/>
        <w:jc w:val="both"/>
      </w:pPr>
      <w:r>
        <w:rPr>
          <w:rFonts w:ascii="Times New Roman" w:hAnsi="Times New Roman"/>
          <w:sz w:val="22"/>
        </w:rPr>
        <w:t>[9]  Macmillan KL, Peterson AJ. A new intravaginal progesterone releasing device for cattle (CIDR-B) for oestrous synchronisation, increasing pregnancy rates and the treatment of post-partum anoestrus. Animal Reproduction Science. 1993;33(1-4):1-25.</w:t>
      </w:r>
    </w:p>
    <w:p>
      <w:pPr>
        <w:spacing w:after="80"/>
        <w:ind w:left="454" w:hanging="454"/>
        <w:jc w:val="both"/>
      </w:pPr>
      <w:r>
        <w:rPr>
          <w:rFonts w:ascii="Times New Roman" w:hAnsi="Times New Roman"/>
          <w:sz w:val="22"/>
        </w:rPr>
        <w:t>[10]  Rathbone MJ, Macmillan KL, Bunt CR, Burggraaf S. Conceptual and commercially available intravaginal veterinary drug delivery systems. Advanced Drug Delivery Reviews. 1997;28(3):363-392.</w:t>
      </w:r>
    </w:p>
    <w:p>
      <w:pPr>
        <w:spacing w:after="80"/>
        <w:ind w:left="454" w:hanging="454"/>
        <w:jc w:val="both"/>
      </w:pPr>
      <w:r>
        <w:rPr>
          <w:rFonts w:ascii="Times New Roman" w:hAnsi="Times New Roman"/>
          <w:sz w:val="22"/>
        </w:rPr>
        <w:t>[11]  Paulo F, Santos L. Design of experiments for microencapsulation applications: A review. Materials Science and Engineering: C. 2017;77:1327-1340.</w:t>
      </w:r>
    </w:p>
    <w:p>
      <w:pPr>
        <w:spacing w:after="80"/>
        <w:ind w:left="454" w:hanging="454"/>
        <w:jc w:val="both"/>
      </w:pPr>
      <w:r>
        <w:rPr>
          <w:rFonts w:ascii="Times New Roman" w:hAnsi="Times New Roman"/>
          <w:sz w:val="22"/>
        </w:rPr>
        <w:t>[12]  Soottitantawat A, Yoshii H, Furuta T, Ohkawara M, Linko P. Microencapsulation by spray drying: Influence of emulsion size on the retention of volatile compounds. Journal of Food Science. 2003;68(7):2256-2262.</w:t>
      </w:r>
    </w:p>
    <w:p>
      <w:pPr>
        <w:spacing w:after="80"/>
        <w:ind w:left="454" w:hanging="454"/>
        <w:jc w:val="both"/>
      </w:pPr>
      <w:r>
        <w:rPr>
          <w:rFonts w:ascii="Times New Roman" w:hAnsi="Times New Roman"/>
          <w:sz w:val="22"/>
        </w:rPr>
        <w:t>[13]  Desai KGH, Park HJ. Recent developments in microencapsulation of food ingredients. Drying Technology. 2005;23(7):1361-1394.</w:t>
      </w:r>
    </w:p>
    <w:p>
      <w:pPr>
        <w:spacing w:after="80"/>
        <w:ind w:left="454" w:hanging="454"/>
        <w:jc w:val="both"/>
      </w:pPr>
      <w:r>
        <w:rPr>
          <w:rFonts w:ascii="Times New Roman" w:hAnsi="Times New Roman"/>
          <w:sz w:val="22"/>
        </w:rPr>
        <w:t>[14]  Maderuelo C, Zarzuelo A, Lanao JM. Critical factors in the release of drugs from sustained release hydrophilic matrices. Journal of Controlled Release. 2011;154(1):2-19.</w:t>
      </w:r>
    </w:p>
    <w:p>
      <w:pPr>
        <w:spacing w:after="80"/>
        <w:ind w:left="454" w:hanging="454"/>
        <w:jc w:val="both"/>
      </w:pPr>
      <w:r>
        <w:rPr>
          <w:rFonts w:ascii="Times New Roman" w:hAnsi="Times New Roman"/>
          <w:sz w:val="22"/>
        </w:rPr>
        <w:t>[15]  Rinaudo M. Chitin and chitosan: properties and applications. Progress in Polymer Science. 2006;31(7):603-632.</w:t>
      </w:r>
    </w:p>
    <w:p>
      <w:pPr>
        <w:spacing w:after="80"/>
        <w:ind w:left="454" w:hanging="454"/>
        <w:jc w:val="both"/>
      </w:pPr>
      <w:r>
        <w:rPr>
          <w:rFonts w:ascii="Times New Roman" w:hAnsi="Times New Roman"/>
          <w:sz w:val="22"/>
        </w:rPr>
        <w:t>[16]  Paliwal R, Palakurthi S. Zein in controlled drug delivery and tissue engineering. Journal of Controlled Release. 2014;189:108-122.</w:t>
      </w:r>
    </w:p>
    <w:p>
      <w:pPr>
        <w:spacing w:after="80"/>
        <w:ind w:left="454" w:hanging="454"/>
        <w:jc w:val="both"/>
      </w:pPr>
      <w:r>
        <w:rPr>
          <w:rFonts w:ascii="Times New Roman" w:hAnsi="Times New Roman"/>
          <w:sz w:val="22"/>
        </w:rPr>
        <w:t>[17]  Lee KY, Mooney DJ. Alginate: properties and biomedical applications. Progress in Polymer Science. 2012;37(1):106-126.</w:t>
      </w:r>
    </w:p>
    <w:p>
      <w:pPr>
        <w:spacing w:after="80"/>
        <w:ind w:left="454" w:hanging="454"/>
        <w:jc w:val="both"/>
      </w:pPr>
      <w:r>
        <w:rPr>
          <w:rFonts w:ascii="Times New Roman" w:hAnsi="Times New Roman"/>
          <w:sz w:val="22"/>
        </w:rPr>
        <w:t>[18]  Makadia HK, Siegel SJ. Poly lactic-co-glycolic acid (PLGA) as biodegradable controlled drug delivery carrier. Polymers. 2011;3(3):1377-1397.</w:t>
      </w:r>
    </w:p>
    <w:p>
      <w:pPr>
        <w:spacing w:after="80"/>
        <w:ind w:left="454" w:hanging="454"/>
        <w:jc w:val="both"/>
      </w:pPr>
      <w:r>
        <w:rPr>
          <w:rFonts w:ascii="Times New Roman" w:hAnsi="Times New Roman"/>
          <w:sz w:val="22"/>
        </w:rPr>
        <w:t>[19]  Danhier F, Ansorena E, Silva JM, Coco R, Le Breton A, Preat V. PLGA-based nanoparticles: An overview of biomedical applications. Journal of Controlled Release. 2012;161(2):505-522.</w:t>
      </w:r>
    </w:p>
    <w:p>
      <w:pPr>
        <w:spacing w:after="80"/>
        <w:ind w:left="454" w:hanging="454"/>
        <w:jc w:val="both"/>
      </w:pPr>
      <w:r>
        <w:rPr>
          <w:rFonts w:ascii="Times New Roman" w:hAnsi="Times New Roman"/>
          <w:sz w:val="22"/>
        </w:rPr>
        <w:t>[20]  Higuchi T. Mechanism of sustained-action medication. Theoretical analysis of rate of release of solid drugs dispersed in solid matrices. Journal of Pharmaceutical Sciences. 1963;52:1145-1149.</w:t>
      </w:r>
    </w:p>
    <w:p>
      <w:pPr>
        <w:spacing w:after="80"/>
        <w:ind w:left="454" w:hanging="454"/>
        <w:jc w:val="both"/>
      </w:pPr>
      <w:r>
        <w:rPr>
          <w:rFonts w:ascii="Times New Roman" w:hAnsi="Times New Roman"/>
          <w:sz w:val="22"/>
        </w:rPr>
        <w:t>[21]  Korsmeyer RW, Gurny R, Doelker E, Buri P, Peppas NA. Mechanisms of solute release from porous hydrophilic polymers. International Journal of Pharmaceutics. 1983;15(1):25-35.</w:t>
      </w:r>
    </w:p>
    <w:p>
      <w:pPr>
        <w:spacing w:after="80"/>
        <w:ind w:left="454" w:hanging="454"/>
        <w:jc w:val="both"/>
      </w:pPr>
      <w:r>
        <w:rPr>
          <w:rFonts w:ascii="Times New Roman" w:hAnsi="Times New Roman"/>
          <w:sz w:val="22"/>
        </w:rPr>
        <w:t>[22]  Costa P, Sousa Lobo JM. Modeling and comparison of dissolution profiles. European Journal of Pharmaceutical Sciences. 2001;13(2):123-133.</w:t>
      </w:r>
    </w:p>
    <w:p>
      <w:pPr>
        <w:spacing w:after="80"/>
        <w:ind w:left="454" w:hanging="454"/>
        <w:jc w:val="both"/>
      </w:pPr>
      <w:r>
        <w:rPr>
          <w:rFonts w:ascii="Times New Roman" w:hAnsi="Times New Roman"/>
          <w:sz w:val="22"/>
        </w:rPr>
        <w:t>[23]  Re MI. Microencapsulation by spray drying. Drying Technology. 1998;16(6):1195-1236.</w:t>
      </w:r>
    </w:p>
    <w:p>
      <w:pPr>
        <w:spacing w:after="80"/>
        <w:ind w:left="454" w:hanging="454"/>
        <w:jc w:val="both"/>
      </w:pPr>
      <w:r>
        <w:rPr>
          <w:rFonts w:ascii="Times New Roman" w:hAnsi="Times New Roman"/>
          <w:sz w:val="22"/>
        </w:rPr>
        <w:t>[24]  Bock N, Dargaville TR, Woodruff MA. Electrospraying of polymers with therapeutic molecules: state of the art. Progress in Polymer Science. 2012;37(11):1510-1551.</w:t>
      </w:r>
    </w:p>
    <w:p>
      <w:pPr>
        <w:spacing w:after="80"/>
        <w:ind w:left="454" w:hanging="454"/>
        <w:jc w:val="both"/>
      </w:pPr>
      <w:r>
        <w:rPr>
          <w:rFonts w:ascii="Times New Roman" w:hAnsi="Times New Roman"/>
          <w:sz w:val="22"/>
        </w:rPr>
        <w:t>[25]  Joye IJ, McClements DJ. Biopolymer-based nanoparticles and microparticles: Fabrication, characterization, and application. Current Opinion in Colloid &amp; Interface Science. 2014;19(5):417-427.</w:t>
      </w:r>
    </w:p>
    <w:p>
      <w:pPr>
        <w:spacing w:after="80"/>
        <w:ind w:left="454" w:hanging="454"/>
        <w:jc w:val="both"/>
      </w:pPr>
      <w:r>
        <w:rPr>
          <w:rFonts w:ascii="Times New Roman" w:hAnsi="Times New Roman"/>
          <w:sz w:val="22"/>
        </w:rPr>
        <w:t>[26]  McClements DJ. Encapsulation, protection, and release of hydrophilic active components: Potential and limitations of colloidal delivery systems. Advances in Colloid and Interface Science. 2015;219:27-53.</w:t>
      </w:r>
    </w:p>
    <w:p>
      <w:pPr>
        <w:spacing w:after="80"/>
        <w:ind w:left="454" w:hanging="454"/>
        <w:jc w:val="both"/>
      </w:pPr>
      <w:r>
        <w:rPr>
          <w:rFonts w:ascii="Times New Roman" w:hAnsi="Times New Roman"/>
          <w:sz w:val="22"/>
        </w:rPr>
        <w:t>[27]  Felt O, Buri P, Gurny R. Chitosan: a unique polysaccharide for drug delivery. Drug Development and Industrial Pharmacy. 1998;24(11):979-993.</w:t>
      </w:r>
    </w:p>
    <w:p>
      <w:pPr>
        <w:spacing w:after="80"/>
        <w:ind w:left="454" w:hanging="454"/>
        <w:jc w:val="both"/>
      </w:pPr>
      <w:r>
        <w:rPr>
          <w:rFonts w:ascii="Times New Roman" w:hAnsi="Times New Roman"/>
          <w:sz w:val="22"/>
        </w:rPr>
        <w:t>[28]  Sinha VR, Kumria R. Polysaccharides in colon-specific drug delivery. International Journal of Pharmaceutics. 2001;224(1-2):19-38.</w:t>
      </w:r>
    </w:p>
    <w:p>
      <w:pPr>
        <w:spacing w:after="80"/>
        <w:ind w:left="454" w:hanging="454"/>
        <w:jc w:val="both"/>
      </w:pPr>
      <w:r>
        <w:rPr>
          <w:rFonts w:ascii="Times New Roman" w:hAnsi="Times New Roman"/>
          <w:sz w:val="22"/>
        </w:rPr>
        <w:t>[29]  Khan I, Saeed K, Khan I. Nanoparticles: Properties, applications and toxicities. Arabian Journal of Chemistry. 2019;12(7):908-931.</w:t>
      </w:r>
    </w:p>
    <w:p>
      <w:pPr>
        <w:spacing w:after="80"/>
        <w:ind w:left="454" w:hanging="454"/>
        <w:jc w:val="both"/>
      </w:pPr>
      <w:r>
        <w:rPr>
          <w:rFonts w:ascii="Times New Roman" w:hAnsi="Times New Roman"/>
          <w:sz w:val="22"/>
        </w:rPr>
        <w:t>[30]  International Conference on Harmonisation. ICH Q1A(R2): Stability Testing of New Drug Substances and Products. Geneva: ICH; 2003.</w:t>
      </w:r>
    </w:p>
    <w:p>
      <w:r>
        <w:br w:type="page"/>
      </w:r>
    </w:p>
    <w:p>
      <w:pPr>
        <w:pStyle w:val="Heading1"/>
        <w:jc w:val="left"/>
      </w:pPr>
      <w:r>
        <w:t>Note on scientific integrity</w:t>
      </w:r>
    </w:p>
    <w:p>
      <w:r>
        <w:rPr>
          <w:rFonts w:ascii="Times New Roman" w:hAnsi="Times New Roman"/>
          <w:b w:val="0"/>
          <w:i/>
          <w:sz w:val="22"/>
        </w:rPr>
        <w:t>All references cited in this synopsis are real, peer-reviewed publications drawn from indexed journals (Elsevier, Wiley, Springer, Taylor &amp; Francis) and from the ICH stability guideline. No references, data, methods or results have been fabricated. Wherever a specific quantitative claim could not be supported by a single confidently traceable primary study, the prose uses qualitative ranges from the cited review literature, in line with good academic-writing practice. DOIs and exact page ranges should be re-verified by the candidate against PubMed / Scopus / Web of Science before final submission.</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