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NATIONAL DAIRY RESEARCH INSTITUTE (DEEMED UNIVERSITY)</w:t>
      </w:r>
    </w:p>
    <w:p>
      <w:pPr>
        <w:jc w:val="center"/>
      </w:pPr>
      <w:r>
        <w:rPr>
          <w:rFonts w:ascii="Times New Roman" w:hAnsi="Times New Roman"/>
          <w:b/>
          <w:i w:val="0"/>
          <w:sz w:val="28"/>
        </w:rPr>
        <w:t>KARNAL-132001 (HARYANA)</w:t>
      </w:r>
    </w:p>
    <w:p/>
    <w:p>
      <w:pPr>
        <w:jc w:val="center"/>
      </w:pPr>
      <w:r>
        <w:rPr>
          <w:rFonts w:ascii="Times New Roman" w:hAnsi="Times New Roman"/>
          <w:b/>
          <w:i w:val="0"/>
          <w:sz w:val="26"/>
        </w:rPr>
        <w:t>FORMAT FOR APPROVAL OF TITLE AND ADVISORY COMMITTEE</w:t>
      </w:r>
    </w:p>
    <w:p/>
    <w:p>
      <w:pPr>
        <w:spacing w:line="360" w:lineRule="auto" w:after="40"/>
      </w:pPr>
      <w:r>
        <w:rPr>
          <w:rFonts w:ascii="Times New Roman" w:hAnsi="Times New Roman"/>
          <w:b/>
          <w:i w:val="0"/>
          <w:sz w:val="24"/>
        </w:rPr>
        <w:t xml:space="preserve">Name of the student: </w:t>
      </w:r>
      <w:r>
        <w:rPr>
          <w:rFonts w:ascii="Times New Roman" w:hAnsi="Times New Roman"/>
          <w:b w:val="0"/>
          <w:i w:val="0"/>
          <w:sz w:val="24"/>
        </w:rPr>
        <w:t>[STUDENT NAME — to be filled]</w:t>
      </w:r>
    </w:p>
    <w:p>
      <w:pPr>
        <w:spacing w:line="360" w:lineRule="auto" w:after="40"/>
      </w:pPr>
      <w:r>
        <w:rPr>
          <w:rFonts w:ascii="Times New Roman" w:hAnsi="Times New Roman"/>
          <w:b/>
          <w:i w:val="0"/>
          <w:sz w:val="24"/>
        </w:rPr>
        <w:t xml:space="preserve">Registration No: </w:t>
      </w:r>
      <w:r>
        <w:rPr>
          <w:rFonts w:ascii="Times New Roman" w:hAnsi="Times New Roman"/>
          <w:b w:val="0"/>
          <w:i w:val="0"/>
          <w:sz w:val="24"/>
        </w:rPr>
        <w:t>[REG NO — to be filled]</w:t>
      </w:r>
    </w:p>
    <w:p>
      <w:pPr>
        <w:spacing w:line="360" w:lineRule="auto" w:after="40"/>
      </w:pPr>
      <w:r>
        <w:rPr>
          <w:rFonts w:ascii="Times New Roman" w:hAnsi="Times New Roman"/>
          <w:b/>
          <w:i w:val="0"/>
          <w:sz w:val="24"/>
        </w:rPr>
        <w:t xml:space="preserve">Major subject: </w:t>
      </w:r>
      <w:r>
        <w:rPr>
          <w:rFonts w:ascii="Times New Roman" w:hAnsi="Times New Roman"/>
          <w:b w:val="0"/>
          <w:i w:val="0"/>
          <w:sz w:val="24"/>
        </w:rPr>
        <w:t>ANIMAL REPRODUCTION, GYNAECOLOGY AND OBSTETRICS (ARGO)</w:t>
      </w:r>
    </w:p>
    <w:p>
      <w:pPr>
        <w:spacing w:line="360" w:lineRule="auto" w:after="40"/>
      </w:pPr>
      <w:r>
        <w:rPr>
          <w:rFonts w:ascii="Times New Roman" w:hAnsi="Times New Roman"/>
          <w:b/>
          <w:i w:val="0"/>
          <w:sz w:val="24"/>
        </w:rPr>
        <w:t xml:space="preserve">Allied Subject: </w:t>
      </w:r>
      <w:r>
        <w:rPr>
          <w:rFonts w:ascii="Times New Roman" w:hAnsi="Times New Roman"/>
          <w:b w:val="0"/>
          <w:i w:val="0"/>
          <w:sz w:val="24"/>
        </w:rPr>
        <w:t>Animal Biochemistry, Dairy Engineering.</w:t>
      </w:r>
    </w:p>
    <w:p>
      <w:pPr>
        <w:spacing w:line="360" w:lineRule="auto" w:after="40"/>
      </w:pPr>
      <w:r>
        <w:rPr>
          <w:rFonts w:ascii="Times New Roman" w:hAnsi="Times New Roman"/>
          <w:b/>
          <w:i w:val="0"/>
          <w:sz w:val="24"/>
        </w:rPr>
        <w:t xml:space="preserve">Major advisor: </w:t>
      </w:r>
      <w:r>
        <w:rPr>
          <w:rFonts w:ascii="Times New Roman" w:hAnsi="Times New Roman"/>
          <w:b w:val="0"/>
          <w:i w:val="0"/>
          <w:sz w:val="24"/>
        </w:rPr>
        <w:t>Dr. Jeyakumar Sakthivel</w:t>
      </w:r>
    </w:p>
    <w:p>
      <w:pPr>
        <w:spacing w:after="40"/>
      </w:pPr>
      <w:r>
        <w:rPr>
          <w:rFonts w:ascii="Times New Roman" w:hAnsi="Times New Roman"/>
          <w:b/>
          <w:i w:val="0"/>
          <w:sz w:val="24"/>
        </w:rPr>
        <w:t>Project of the Faculty (IRC/Externally funded project):</w:t>
      </w:r>
    </w:p>
    <w:p>
      <w:pPr>
        <w:spacing w:line="336" w:lineRule="auto" w:after="80"/>
        <w:ind w:left="454" w:hanging="454"/>
        <w:jc w:val="both"/>
      </w:pPr>
      <w:r>
        <w:rPr>
          <w:rFonts w:ascii="Times New Roman" w:hAnsi="Times New Roman"/>
          <w:b/>
          <w:i w:val="0"/>
          <w:sz w:val="24"/>
        </w:rPr>
        <w:t xml:space="preserve">1. </w:t>
      </w:r>
      <w:r>
        <w:rPr>
          <w:rFonts w:ascii="Times New Roman" w:hAnsi="Times New Roman"/>
          <w:b w:val="0"/>
          <w:i w:val="0"/>
          <w:sz w:val="24"/>
        </w:rPr>
        <w:t>Externally funded project (NASF-CCF-ICAR): Central Corpus Fund - Indian Council of Agricultural Research (CCF-ICAR), titled "Development of a novel spray dry based progesterone nanoencapsulation for estrus synchronization in dairy cattle" (Co-PI)</w:t>
      </w:r>
    </w:p>
    <w:p>
      <w:pPr>
        <w:spacing w:line="336" w:lineRule="auto" w:after="80"/>
        <w:ind w:left="454" w:hanging="454"/>
        <w:jc w:val="both"/>
      </w:pPr>
      <w:r>
        <w:rPr>
          <w:rFonts w:ascii="Times New Roman" w:hAnsi="Times New Roman"/>
          <w:b/>
          <w:i w:val="0"/>
          <w:sz w:val="24"/>
        </w:rPr>
        <w:t xml:space="preserve">2. </w:t>
      </w:r>
      <w:r>
        <w:rPr>
          <w:rFonts w:ascii="Times New Roman" w:hAnsi="Times New Roman"/>
          <w:b w:val="0"/>
          <w:i w:val="0"/>
          <w:sz w:val="24"/>
        </w:rPr>
        <w:t>IRC Project no. B-63, titled "Development and Characterization of Progesterone Loaded Nanofibre for Controlled Breeding in Dairy Cattle" (Co-PI)</w:t>
      </w:r>
    </w:p>
    <w:p>
      <w:pPr>
        <w:spacing w:line="336" w:lineRule="auto" w:after="80"/>
        <w:ind w:left="454" w:hanging="454"/>
        <w:jc w:val="both"/>
      </w:pPr>
      <w:r>
        <w:rPr>
          <w:rFonts w:ascii="Times New Roman" w:hAnsi="Times New Roman"/>
          <w:b/>
          <w:i w:val="0"/>
          <w:sz w:val="24"/>
        </w:rPr>
        <w:t xml:space="preserve">3. </w:t>
      </w:r>
      <w:r>
        <w:rPr>
          <w:rFonts w:ascii="Times New Roman" w:hAnsi="Times New Roman"/>
          <w:b w:val="0"/>
          <w:i w:val="0"/>
          <w:sz w:val="24"/>
        </w:rPr>
        <w:t>IRC Project no. A-97, titled "Validation of progesterone loaded nanofiber based polyurethane sponge system for estrus synchronization in dairy cattle" (Co-PI)</w:t>
      </w:r>
    </w:p>
    <w:p>
      <w:pPr>
        <w:spacing w:before="120"/>
      </w:pPr>
      <w:r>
        <w:rPr>
          <w:rFonts w:ascii="Times New Roman" w:hAnsi="Times New Roman"/>
          <w:b/>
          <w:i w:val="0"/>
          <w:sz w:val="24"/>
        </w:rPr>
        <w:t>Tentative Title of the Research Project of the student:</w:t>
      </w:r>
    </w:p>
    <w:p>
      <w:pPr>
        <w:spacing w:line="360" w:lineRule="auto" w:after="120"/>
        <w:jc w:val="both"/>
      </w:pPr>
      <w:r>
        <w:rPr>
          <w:rFonts w:ascii="Times New Roman" w:hAnsi="Times New Roman"/>
          <w:b/>
          <w:i/>
          <w:sz w:val="24"/>
        </w:rPr>
        <w:t>"Biopolymer Encapsulated Micronised Progesterone Delivery System for the Management of Anestrus and Repeat Breeding Syndrome in Cattle"</w:t>
      </w:r>
    </w:p>
    <w:p>
      <w:pPr>
        <w:spacing w:before="120"/>
      </w:pPr>
      <w:r>
        <w:rPr>
          <w:rFonts w:ascii="Times New Roman" w:hAnsi="Times New Roman"/>
          <w:b/>
          <w:i w:val="0"/>
          <w:sz w:val="24"/>
        </w:rPr>
        <w:t>Objectives:</w:t>
      </w:r>
    </w:p>
    <w:p>
      <w:pPr>
        <w:spacing w:line="336" w:lineRule="auto" w:after="80"/>
        <w:ind w:left="454" w:hanging="454"/>
        <w:jc w:val="both"/>
      </w:pPr>
      <w:r>
        <w:rPr>
          <w:rFonts w:ascii="Times New Roman" w:hAnsi="Times New Roman"/>
          <w:b/>
          <w:i w:val="0"/>
          <w:sz w:val="24"/>
        </w:rPr>
        <w:t>1.</w:t>
        <w:tab/>
      </w:r>
      <w:r>
        <w:rPr>
          <w:rFonts w:ascii="Times New Roman" w:hAnsi="Times New Roman"/>
          <w:b w:val="0"/>
          <w:i w:val="0"/>
          <w:sz w:val="24"/>
        </w:rPr>
        <w:t>Optimization of select polymer (sodium alginate) for progesterone nano/micro-encapsulation by spray drying method.</w:t>
      </w:r>
    </w:p>
    <w:p>
      <w:pPr>
        <w:spacing w:line="336" w:lineRule="auto" w:after="80"/>
        <w:ind w:left="454" w:hanging="454"/>
        <w:jc w:val="both"/>
      </w:pPr>
      <w:r>
        <w:rPr>
          <w:rFonts w:ascii="Times New Roman" w:hAnsi="Times New Roman"/>
          <w:b/>
          <w:i w:val="0"/>
          <w:sz w:val="24"/>
        </w:rPr>
        <w:t>2.</w:t>
        <w:tab/>
      </w:r>
      <w:r>
        <w:rPr>
          <w:rFonts w:ascii="Times New Roman" w:hAnsi="Times New Roman"/>
          <w:b w:val="0"/>
          <w:i w:val="0"/>
          <w:sz w:val="24"/>
        </w:rPr>
        <w:t>Evaluation of In-Vitro drug release kinetics of encapsulated progesterone.</w:t>
      </w:r>
    </w:p>
    <w:p>
      <w:pPr>
        <w:spacing w:line="336" w:lineRule="auto" w:after="80"/>
        <w:ind w:left="454" w:hanging="454"/>
        <w:jc w:val="both"/>
      </w:pPr>
      <w:r>
        <w:rPr>
          <w:rFonts w:ascii="Times New Roman" w:hAnsi="Times New Roman"/>
          <w:b/>
          <w:i w:val="0"/>
          <w:sz w:val="24"/>
        </w:rPr>
        <w:t>3.</w:t>
        <w:tab/>
      </w:r>
      <w:r>
        <w:rPr>
          <w:rFonts w:ascii="Times New Roman" w:hAnsi="Times New Roman"/>
          <w:b w:val="0"/>
          <w:i w:val="0"/>
          <w:sz w:val="24"/>
        </w:rPr>
        <w:t>Evaluation of encapsulated progesterone based intra-vaginal sponge delivery system for the management of anestrus and repeat breeding in cattle.</w:t>
      </w:r>
    </w:p>
    <w:p>
      <w:pPr>
        <w:spacing w:before="200"/>
      </w:pPr>
      <w:r>
        <w:rPr>
          <w:rFonts w:ascii="Times New Roman" w:hAnsi="Times New Roman"/>
          <w:b/>
          <w:i w:val="0"/>
          <w:sz w:val="24"/>
        </w:rPr>
        <w:t>Justification:</w:t>
      </w:r>
    </w:p>
    <w:p>
      <w:pPr>
        <w:spacing w:line="360" w:lineRule="auto" w:after="120"/>
        <w:jc w:val="both"/>
      </w:pPr>
      <w:r>
        <w:rPr>
          <w:rFonts w:ascii="Times New Roman" w:hAnsi="Times New Roman"/>
          <w:b w:val="0"/>
          <w:i w:val="0"/>
          <w:sz w:val="24"/>
        </w:rPr>
        <w:t>Reproductive efficiency is a central determinant of profitability and sustainability in Indian dairy production systems, where reproductive disorders alone account for substantial economic losses every year. Among these, anestrus and repeat breeding syndrome (RBS) are the two most prevalent reproductive maladies in cyclic and post-partum cows, lengthening the calving-to-conception interval, reducing lifetime milk yield and inflating culling rates (Kumaresan and Srivastava, 2022). Visual estrus detection is particularly difficult in the Indian sub-tropical environment because peak estrus expression occurs predominantly during the night and silent estrus is widespread, leading to mistimed inseminations and a downstream cascade of reproductive failure (Reith and Hoy, 2018).</w:t>
      </w:r>
    </w:p>
    <w:p>
      <w:pPr>
        <w:spacing w:line="360" w:lineRule="auto" w:after="120"/>
        <w:jc w:val="both"/>
      </w:pPr>
      <w:r>
        <w:rPr>
          <w:rFonts w:ascii="Times New Roman" w:hAnsi="Times New Roman"/>
          <w:b w:val="0"/>
          <w:i w:val="0"/>
          <w:sz w:val="24"/>
        </w:rPr>
        <w:t>Progesterone (P4) plays a central regulatory role at the hypothalamic–pituitary–ovarian (HPO) axis. Sustained luteal-phase progesterone exposure followed by withdrawal mimics the natural luteolytic cascade and synchronises follicular waves and ovulation; this principle, first established by Wiltbank et al. (1961) and adapted to intravaginal delivery by Roche and Crowley (1973), continues to underpin all modern oestrus-induction and oestrus-synchronisation protocols. Macmillan and Peterson (1993) subsequently operationalised this principle into the Controlled Internal Drug Release (CIDR) device that, together with the Progesterone Releasing Intravaginal Device (PRID), is now the global gold standard for progesterone-based estrus management in cattle and small ruminants.</w:t>
      </w:r>
    </w:p>
    <w:p>
      <w:pPr>
        <w:spacing w:line="360" w:lineRule="auto" w:after="120"/>
        <w:jc w:val="both"/>
      </w:pPr>
      <w:r>
        <w:rPr>
          <w:rFonts w:ascii="Times New Roman" w:hAnsi="Times New Roman"/>
          <w:b w:val="0"/>
          <w:i w:val="0"/>
          <w:sz w:val="24"/>
        </w:rPr>
        <w:t>However, the conventional silicone-based intravaginal progesterone devices suffer from several well-documented limitations that compromise both their performance and their sustainability. The non-biodegradable silicone matrix releases only a fraction of the loaded hormone and retains a substantial residual load at removal, generating significant non-biodegradable plastic waste and hormone-contaminated effluent (Rathbone et al., 2002; Chacher et al., 2017). High device cost and import dependency on Australia, New Zealand and the United States restrict access in resource-constrained Indian dairy enterprises. In addition, prolonged silicone retention may cause vaginal discharge and epithelial irritation, and inconsistent hormone-release profiles have been reported when devices are reused across protocols. These collectively underscore the imperative need for biodegradable, controlled-release progesterone delivery systems that operate at lower drug doses, lower cost and reduced environmental burden.</w:t>
      </w:r>
    </w:p>
    <w:p>
      <w:pPr>
        <w:spacing w:line="360" w:lineRule="auto" w:after="120"/>
        <w:jc w:val="both"/>
      </w:pPr>
      <w:r>
        <w:rPr>
          <w:rFonts w:ascii="Times New Roman" w:hAnsi="Times New Roman"/>
          <w:b w:val="0"/>
          <w:i w:val="0"/>
          <w:sz w:val="24"/>
        </w:rPr>
        <w:t>Sodium alginate, an anionic algal polysaccharide composed of (1→4)-linked β-D-mannuronic acid and α-L-guluronic acid residues, is one of the most attractive candidate biopolymers for such an application. It is biocompatible, biodegradable, mucoadhesive through carboxylate–mucin electrostatic and hydrogen-bonding interactions, and has long enjoyed FDA-GRAS status and an established pharmaceutical regulatory history (Lai et al., 2024; Colin et al., 2024). Critically, alginate undergoes instantaneous ionotropic gelation in the presence of divalent cations such as Ca²⁺, forming "egg-box" hydrogel networks whose density and porosity can be tuned to modulate drug release (Szekalska et al., 2018a).</w:t>
      </w:r>
    </w:p>
    <w:p>
      <w:pPr>
        <w:spacing w:line="360" w:lineRule="auto" w:after="120"/>
        <w:jc w:val="both"/>
      </w:pPr>
      <w:r>
        <w:rPr>
          <w:rFonts w:ascii="Times New Roman" w:hAnsi="Times New Roman"/>
          <w:b w:val="0"/>
          <w:i w:val="0"/>
          <w:sz w:val="24"/>
        </w:rPr>
        <w:t>Spray drying is the formulation method of choice for translating an aqueous alginate–progesterone feed into a free-flowing dry powder. It is a rapid, continuous, single-step, scalable process in which atomised droplets evaporate within milliseconds, producing reproducible microparticles with controlled size, low residual moisture and high yield (Broadhead et al., 1992; Vehring, 2008; Bowey and Neufeld, 2010). The wet-bulb temperature of the drying droplet remains far below the inlet air temperature, thereby preserving thermolabile actives. Recent work has demonstrated that one-step CaCl₂-modified alginate spray drying yields reproducible mucoadhesive microparticles capable of prolonging drug release (Szekalska et al., 2018a), and that combining alginate with hydrophobic-affinity co-polymers such as gelatin (Szekalska et al., 2023), ethyl cellulose (Murata et al., 2009) or hypromellose (Kruk et al., 2024) enables successful encapsulation of strongly hydrophobic actives — a critical requirement for a progesterone formulation, given the steroid's poor aqueous solubility (approximately 7–10 µg/mL) and log P of approximately 3.87.</w:t>
      </w:r>
    </w:p>
    <w:p>
      <w:pPr>
        <w:spacing w:line="360" w:lineRule="auto" w:after="120"/>
        <w:jc w:val="both"/>
      </w:pPr>
      <w:r>
        <w:rPr>
          <w:rFonts w:ascii="Times New Roman" w:hAnsi="Times New Roman"/>
          <w:b w:val="0"/>
          <w:i w:val="0"/>
          <w:sz w:val="24"/>
        </w:rPr>
        <w:t>A rigorous understanding of in-vitro release kinetics is a pre-requisite to successful in-vivo translation. Fitting cumulative release data to zero-order, first-order, Higuchi, Hixson–Crowell and Korsmeyer–Peppas models, and computing the diffusion exponent (n), allows the dominant transport regime to be classified as Fickian diffusion, anomalous transport, Case-II transport or super Case-II transport (Peppas et al., 2000). Such mechanistic insight is essential for engineering a release profile that will support a near-zero-order plasma progesterone plateau over a 7-day intravaginal regimen, mirroring the duration of a CIDR insert.</w:t>
      </w:r>
    </w:p>
    <w:p>
      <w:pPr>
        <w:spacing w:line="360" w:lineRule="auto" w:after="120"/>
        <w:jc w:val="both"/>
      </w:pPr>
      <w:r>
        <w:rPr>
          <w:rFonts w:ascii="Times New Roman" w:hAnsi="Times New Roman"/>
          <w:b w:val="0"/>
          <w:i w:val="0"/>
          <w:sz w:val="24"/>
        </w:rPr>
        <w:t>Despite the documented success of alginate-based spray-dried microparticles for several other actives such as metformin, luliconazole, posaconazole and insulin, and despite the closely related demonstration by Lopedota et al. (2018) that spray-dried tripolyphosphate-crosslinked chitosan microparticles can deliver progesterone for estrus synchronisation in cattle, no peer-reviewed study has so far reported a sodium-alginate-based, spray-dried, micronised progesterone microparticulate system incorporated into an intravaginal sponge specifically for the dual indication of anestrus and repeat breeding syndrome in dairy cattle. The present study is therefore designed to fill this gap by integrating biopolymer encapsulation science, spray-drying process optimisation, in-vitro release kinetic characterisation and in-vivo cattle reproductive performance evaluation in a single, translational research programme tailored to the needs of Indian dairy production.</w:t>
      </w:r>
    </w:p>
    <w:p>
      <w:pPr>
        <w:spacing w:before="200"/>
      </w:pPr>
      <w:r>
        <w:rPr>
          <w:rFonts w:ascii="Times New Roman" w:hAnsi="Times New Roman"/>
          <w:b/>
          <w:i w:val="0"/>
          <w:sz w:val="24"/>
        </w:rPr>
        <w:t>A summary of work done in India and abroad:</w:t>
      </w:r>
    </w:p>
    <w:p>
      <w:r>
        <w:rPr>
          <w:rFonts w:ascii="Times New Roman" w:hAnsi="Times New Roman"/>
          <w:b/>
          <w:i/>
          <w:sz w:val="24"/>
        </w:rPr>
        <w:t>India</w:t>
      </w:r>
    </w:p>
    <w:p>
      <w:pPr>
        <w:spacing w:line="360" w:lineRule="auto" w:after="120"/>
        <w:jc w:val="both"/>
      </w:pPr>
      <w:r>
        <w:rPr>
          <w:rFonts w:ascii="Times New Roman" w:hAnsi="Times New Roman"/>
          <w:b w:val="0"/>
          <w:i w:val="0"/>
          <w:sz w:val="24"/>
        </w:rPr>
        <w:t>Indian research on progesterone-mediated estrus management in cattle and buffalo originated from foundational work in the 1980s when Rao and Rao (1981) and Sane et al. (1988) reported that exogenous progesterone treatment could re-initiate cyclicity in anestrous animals, although delivery was through injectable or oral progestogen routes that lacked precise control over plasma kinetics.</w:t>
      </w:r>
    </w:p>
    <w:p>
      <w:pPr>
        <w:spacing w:line="360" w:lineRule="auto" w:after="120"/>
        <w:jc w:val="both"/>
      </w:pPr>
      <w:r>
        <w:rPr>
          <w:rFonts w:ascii="Times New Roman" w:hAnsi="Times New Roman"/>
          <w:b w:val="0"/>
          <w:i w:val="0"/>
          <w:sz w:val="24"/>
        </w:rPr>
        <w:t>Following the international introduction of intravaginal progesterone-releasing devices in the 1990s, Indian groups extended global protocols to tropical field conditions. Kharche et al. (1997) and Bhadwal et al. (1999) demonstrated acceptable rates of conception with CIDR/PRID-based estrus induction in cattle and buffalo. Sah and Nakao (2006) and Patel et al. (2009) further validated CIDR-based estrus synchronisation regimens in postpartum anestrous buffalo and dairy cattle, respectively, while documenting practical drawbacks such as device cost, vaginal discharge and reuse-related hygiene concerns.</w:t>
      </w:r>
    </w:p>
    <w:p>
      <w:pPr>
        <w:spacing w:line="360" w:lineRule="auto" w:after="120"/>
        <w:jc w:val="both"/>
      </w:pPr>
      <w:r>
        <w:rPr>
          <w:rFonts w:ascii="Times New Roman" w:hAnsi="Times New Roman"/>
          <w:b w:val="0"/>
          <w:i w:val="0"/>
          <w:sz w:val="24"/>
        </w:rPr>
        <w:t>The post-2010 Indian literature has focused primarily on protocol-level optimisation of CIDR-based timed-AI strategies (Kumar et al., 2013; Kumar and Mandal, 2016) rather than on innovating the underlying delivery hardware or biopolymer chemistry. Sridhar et al. (2017) explored conventional polymer implants for progesterone release, and Ramakrishnan et al. (2019) reported preliminary work on nanofibre-based progesterone delivery. More recently, Lavanya et al. (2024) demonstrated that electrospun pullulan nanofibres (68–123 nm) could encapsulate hydrophobic progesterone and provide sustained release over seven days predominantly via Fickian diffusion.</w:t>
      </w:r>
    </w:p>
    <w:p>
      <w:pPr>
        <w:spacing w:line="360" w:lineRule="auto" w:after="120"/>
        <w:jc w:val="both"/>
      </w:pPr>
      <w:r>
        <w:rPr>
          <w:rFonts w:ascii="Times New Roman" w:hAnsi="Times New Roman"/>
          <w:b w:val="0"/>
          <w:i w:val="0"/>
          <w:sz w:val="24"/>
        </w:rPr>
        <w:t>However, no published Indian study to date has systematically optimised sodium-alginate-based, spray-dried, micronised progesterone microparticles for intravaginal sponge delivery, nor has any Indian group simultaneously addressed the dual indications of anestrus and repeat breeding syndrome through such a system. The present proposal is positioned to bridge this clear research gap by adapting state-of-the-art alginate spray-drying technology to the formulation needs of Indian dairy cattle and the specific reproductive challenges of the sub-tropical production environment.</w:t>
      </w:r>
    </w:p>
    <w:p>
      <w:pPr>
        <w:spacing w:before="120"/>
      </w:pPr>
      <w:r>
        <w:rPr>
          <w:rFonts w:ascii="Times New Roman" w:hAnsi="Times New Roman"/>
          <w:b/>
          <w:i/>
          <w:sz w:val="24"/>
        </w:rPr>
        <w:t>Abroad</w:t>
      </w:r>
    </w:p>
    <w:p>
      <w:pPr>
        <w:spacing w:line="360" w:lineRule="auto" w:after="120"/>
        <w:jc w:val="both"/>
      </w:pPr>
      <w:r>
        <w:rPr>
          <w:rFonts w:ascii="Times New Roman" w:hAnsi="Times New Roman"/>
          <w:b w:val="0"/>
          <w:i w:val="0"/>
          <w:sz w:val="24"/>
        </w:rPr>
        <w:t>Internationally, the scientific scaffolding for progesterone-mediated estrus control was laid by Wiltbank et al. (1961), who established the fundamental principle that exogenous progesterone suppresses gonadotropin-driven follicular waves and that controlled withdrawal triggers synchronised ovulation. Roche and Crowley (1973) translated this principle into intravaginal delivery, and Macmillan and Peterson (1993) consolidated it into the CIDR device that has since become the global benchmark for cattle estrus synchronisation.</w:t>
      </w:r>
    </w:p>
    <w:p>
      <w:pPr>
        <w:spacing w:line="360" w:lineRule="auto" w:after="120"/>
        <w:jc w:val="both"/>
      </w:pPr>
      <w:r>
        <w:rPr>
          <w:rFonts w:ascii="Times New Roman" w:hAnsi="Times New Roman"/>
          <w:b w:val="0"/>
          <w:i w:val="0"/>
          <w:sz w:val="24"/>
        </w:rPr>
        <w:t>Polymeric controlled-drug-delivery science evolved in parallel. Langer (1990) systematically established that hydrophobic, slowly degrading polymeric matrices can sustain bioactive release over extended periods. Göpferich (1996) characterised the surface- versus bulk-erosion behaviour of biodegradable polyesters, and Peppas and co-workers (2000) advanced the diffusion-controlled release theory that continues to underpin contemporary kinetic modelling. Spray drying emerged as the scalable, single-step encapsulation method of choice for pharmaceutical and veterinary formulations following the work of Broadhead et al. (1992) and the comprehensive particle-engineering treatment by Vehring (2008). Mora-Huertas et al. (2010) reinforced the value of high-pressure homogenisation and ultrasonication as upstream emulsification steps for improving encapsulation efficiency and reducing particle-size variability.</w:t>
      </w:r>
    </w:p>
    <w:p>
      <w:pPr>
        <w:spacing w:line="360" w:lineRule="auto" w:after="120"/>
        <w:jc w:val="both"/>
      </w:pPr>
      <w:r>
        <w:rPr>
          <w:rFonts w:ascii="Times New Roman" w:hAnsi="Times New Roman"/>
          <w:b w:val="0"/>
          <w:i w:val="0"/>
          <w:sz w:val="24"/>
        </w:rPr>
        <w:t>Internationally, sodium alginate has been investigated as a versatile spray-drying wall material across multiple drug classes. Szekalska and co-workers reported one-step CaCl₂-modified alginate microparticles for metformin (2018a) and chitosan-crosslinked alginate microparticles with prolonged in-vivo metformin release (Szekalska et al., 2017), and recently demonstrated alginate–gelatin spray-dried microparticles encapsulating the hydrophobic antifungal luliconazole (Szekalska et al., 2023). Murata et al. (2009) showed that alginate combined with ethyl cellulose in a water-in-oil emulsion spray-drying feed produced pH-responsive microparticles, and Kruk et al. (2024) used alginate–hypromellose composites for sustained release of the hydrophobic posaconazole. Meng et al. (2017) developed thiolated-chitosan-coated alginate multilayer microparticles by spray drying for vaginal mucoadhesive delivery, and Lopedota et al. (2018) directly validated spray-dried tripolyphosphate-crosslinked chitosan microparticles for progesterone delivery in cattle. Biodegradable intravaginal progesterone systems in ruminants have additionally been reported by Searle et al. (2001) and González-Bulnes et al. (2005). Despite these advances, an integrated alginate spray-dried micronised progesterone intravaginal sponge specifically validated against both anestrus and repeat breeding syndrome in cattle remains unreported in the international literature.</w:t>
      </w:r>
    </w:p>
    <w:p>
      <w:pPr>
        <w:spacing w:before="200"/>
      </w:pPr>
      <w:r>
        <w:rPr>
          <w:rFonts w:ascii="Times New Roman" w:hAnsi="Times New Roman"/>
          <w:b/>
          <w:i w:val="0"/>
          <w:sz w:val="24"/>
        </w:rPr>
        <w:t>Brief Technical programme of work:</w:t>
      </w:r>
    </w:p>
    <w:p>
      <w:pPr>
        <w:spacing w:line="360" w:lineRule="auto" w:after="120"/>
        <w:jc w:val="both"/>
      </w:pPr>
      <w:r>
        <w:rPr>
          <w:rFonts w:ascii="Times New Roman" w:hAnsi="Times New Roman"/>
          <w:b w:val="0"/>
          <w:i w:val="0"/>
          <w:sz w:val="24"/>
        </w:rPr>
        <w:t>Objective 1 – Optimisation of sodium alginate for progesterone nano/micro-encapsulation by spray drying. Pharmaceutical-grade sodium alginate (medium G-content) and micronised progesterone (USP/IP grade) will form the basis of all formulations. Aqueous sodium alginate solutions (1–3 % w/v) will be prepared and progesterone introduced either as a homogeneous suspension or via an oil-in-water/water-in-oil pre-emulsion, with high-speed homogenisation (10,000–20,000 rpm, 5 min) followed by probe ultrasonication (40 % amplitude, 1–3 min) to refine droplet size. Where indicated, in-situ ionotropic crosslinking will be achieved by addition of CaCl₂ (0.05–0.10 % w/v) to the feed. Spray drying will be performed on a Büchi B-290 mini spray dryer (or equivalent), with the following systematically varied parameters: inlet air temperature (120–160 °C), feed flow rate (3–6 mL/min), atomising air flow (500–700 NL/h) and aspirator setting (90–100 %). A factorial / Box–Behnken design-of-experiments approach will identify the optimal operating window. Physicochemical characterisation will include particle-size distribution and polydispersity index (PDI) by laser diffraction, zeta potential, surface morphology by scanning electron microscopy (SEM), encapsulation efficiency (EE %) and drug loading (DL %) by HPLC after solvent extraction, thermal behaviour by differential scanning calorimetry (DSC), crystallinity by X-ray diffraction (XRD) and drug–polymer compatibility by Fourier-transform infrared spectroscopy (FTIR).</w:t>
      </w:r>
    </w:p>
    <w:p>
      <w:pPr>
        <w:spacing w:line="360" w:lineRule="auto" w:after="120"/>
        <w:jc w:val="both"/>
      </w:pPr>
      <w:r>
        <w:rPr>
          <w:rFonts w:ascii="Times New Roman" w:hAnsi="Times New Roman"/>
          <w:b w:val="0"/>
          <w:i w:val="0"/>
          <w:sz w:val="24"/>
        </w:rPr>
        <w:t>Objective 2 – In-vitro drug release kinetics. The optimised formulation will be subjected to dissolution studies in simulated vaginal fluid (SVF, pH ~4.5) and phosphate-buffered saline (PBS, pH 7.4) at 37 °C using a USP dissolution apparatus or a dialysis-bag set-up. Aliquots will be withdrawn at 0, 1, 2, 4, 8, 12, 24, 48, 72 and 168 h, and progesterone quantified by validated UV-Vis or HPLC methods. Cumulative release data will be fitted to zero-order, first-order, Higuchi, Hixson–Crowell and Korsmeyer–Peppas equations to identify the dominant release mechanism, and the diffusion exponent (n) will be computed to discriminate between Fickian, anomalous, Case-II and super Case-II transport regimes. Cytotoxicity and biocompatibility of the optimised formulation will be assessed on a relevant epithelial cell line by MTT and LDH assays.</w:t>
      </w:r>
    </w:p>
    <w:p>
      <w:pPr>
        <w:spacing w:line="360" w:lineRule="auto" w:after="120"/>
        <w:jc w:val="both"/>
      </w:pPr>
      <w:r>
        <w:rPr>
          <w:rFonts w:ascii="Times New Roman" w:hAnsi="Times New Roman"/>
          <w:b w:val="0"/>
          <w:i w:val="0"/>
          <w:sz w:val="24"/>
        </w:rPr>
        <w:t>Objective 3 – In-vivo evaluation of intravaginal sponge in anestrus and repeat breeding cattle. The optimised progesterone-loaded sodium alginate microparticles will be incorporated into polyurethane-based intravaginal sponges. Three groups of cattle will be enrolled: (i) clinically diagnosed anestrous cows (n = 12), (ii) repeat breeder cows (n = 12) and (iii) a positive-control group on a commercial CIDR insert (n = 12). Outcome variables will include estrus response rate (%), onset of estrus post-device removal, duration of estrus, plasma progesterone profile by RIA / ELISA at predefined intervals, ovarian follicular dynamics by transrectal ultrasonography, conception rate at first artificial insemination and repeat-breeding correction rate at 60-day pregnancy diagnosis. Statistical analysis will employ Chi-square / Fisher's exact tests for categorical proportions and one-way ANOVA with Tukey's post-hoc test for continuous variables, with statistical significance set at P &lt; 0.05.</w:t>
      </w:r>
    </w:p>
    <w:p>
      <w:pPr>
        <w:spacing w:line="360" w:lineRule="auto" w:after="40"/>
      </w:pPr>
      <w:r>
        <w:rPr>
          <w:rFonts w:ascii="Times New Roman" w:hAnsi="Times New Roman"/>
          <w:b/>
          <w:i w:val="0"/>
          <w:sz w:val="24"/>
        </w:rPr>
        <w:t xml:space="preserve">Location and place of work: </w:t>
      </w:r>
      <w:r>
        <w:rPr>
          <w:rFonts w:ascii="Times New Roman" w:hAnsi="Times New Roman"/>
          <w:b w:val="0"/>
          <w:i w:val="0"/>
          <w:sz w:val="24"/>
        </w:rPr>
        <w:t>Dairy Production Section, Southern Regional Station, ICAR-National Dairy Research Institute, Bengaluru, Karnataka.</w:t>
      </w:r>
    </w:p>
    <w:p>
      <w:pPr>
        <w:spacing w:line="360" w:lineRule="auto" w:after="40"/>
      </w:pPr>
      <w:r>
        <w:rPr>
          <w:rFonts w:ascii="Times New Roman" w:hAnsi="Times New Roman"/>
          <w:b/>
          <w:i w:val="0"/>
          <w:sz w:val="24"/>
        </w:rPr>
        <w:t xml:space="preserve">Facilities available: </w:t>
      </w:r>
      <w:r>
        <w:rPr>
          <w:rFonts w:ascii="Times New Roman" w:hAnsi="Times New Roman"/>
          <w:b w:val="0"/>
          <w:i w:val="0"/>
          <w:sz w:val="24"/>
        </w:rPr>
        <w:t>All the facilities required for this research work are available at SRS-ICAR-NDRI, Bengaluru, Karnataka.</w:t>
      </w:r>
    </w:p>
    <w:p>
      <w:pPr>
        <w:spacing w:line="360" w:lineRule="auto" w:after="40"/>
      </w:pPr>
      <w:r>
        <w:rPr>
          <w:rFonts w:ascii="Times New Roman" w:hAnsi="Times New Roman"/>
          <w:b/>
          <w:i w:val="0"/>
          <w:sz w:val="24"/>
        </w:rPr>
        <w:t xml:space="preserve">Collaboration with other Divisions/Institutes: </w:t>
      </w:r>
      <w:r>
        <w:rPr>
          <w:rFonts w:ascii="Times New Roman" w:hAnsi="Times New Roman"/>
          <w:b w:val="0"/>
          <w:i w:val="0"/>
          <w:sz w:val="24"/>
        </w:rPr>
        <w:t>The proposed research work seeks collaboration from the Animal Biochemistry and Dairy Engineering Divisions of this institute.</w:t>
      </w:r>
    </w:p>
    <w:p>
      <w:pPr>
        <w:spacing w:before="240" w:after="80"/>
      </w:pPr>
      <w:r>
        <w:rPr>
          <w:rFonts w:ascii="Times New Roman" w:hAnsi="Times New Roman"/>
          <w:b/>
          <w:i w:val="0"/>
          <w:sz w:val="24"/>
        </w:rPr>
        <w:t>Advisory Committee</w:t>
      </w:r>
    </w:p>
    <w:tbl>
      <w:tblPr>
        <w:tblW w:type="auto" w:w="0"/>
        <w:jc w:val="center"/>
        <w:tblLayout w:type="fixed"/>
        <w:tblLook w:firstColumn="1" w:firstRow="1" w:lastColumn="0" w:lastRow="0" w:noHBand="0" w:noVBand="1" w:val="04A0"/>
      </w:tblPr>
      <w:tblGrid>
        <w:gridCol w:w="2256"/>
        <w:gridCol w:w="2256"/>
        <w:gridCol w:w="2256"/>
        <w:gridCol w:w="2256"/>
      </w:tblGrid>
      <w:tr>
        <w:tc>
          <w:tcPr>
            <w:tcW w:type="dxa" w:w="3685"/>
            <w:tcBorders>
              <w:top w:val="single" w:sz="6" w:color="000000"/>
              <w:left w:val="single" w:sz="6" w:color="000000"/>
              <w:bottom w:val="single" w:sz="6" w:color="000000"/>
              <w:right w:val="single" w:sz="6" w:color="000000"/>
            </w:tcBorders>
            <w:shd w:val="clear" w:color="auto" w:fill="D9E2F3"/>
            <w:vAlign w:val="center"/>
          </w:tcPr>
          <w:p>
            <w:pPr>
              <w:jc w:val="center"/>
            </w:pPr>
            <w:r/>
            <w:r>
              <w:rPr>
                <w:rFonts w:ascii="Times New Roman" w:hAnsi="Times New Roman"/>
                <w:b/>
                <w:i w:val="0"/>
                <w:sz w:val="22"/>
              </w:rPr>
              <w:t>Name of committee member</w:t>
            </w:r>
          </w:p>
        </w:tc>
        <w:tc>
          <w:tcPr>
            <w:tcW w:type="dxa" w:w="1587"/>
            <w:tcBorders>
              <w:top w:val="single" w:sz="6" w:color="000000"/>
              <w:left w:val="single" w:sz="6" w:color="000000"/>
              <w:bottom w:val="single" w:sz="6" w:color="000000"/>
              <w:right w:val="single" w:sz="6" w:color="000000"/>
            </w:tcBorders>
            <w:shd w:val="clear" w:color="auto" w:fill="D9E2F3"/>
            <w:vAlign w:val="center"/>
          </w:tcPr>
          <w:p>
            <w:pPr>
              <w:jc w:val="center"/>
            </w:pPr>
            <w:r/>
            <w:r>
              <w:rPr>
                <w:rFonts w:ascii="Times New Roman" w:hAnsi="Times New Roman"/>
                <w:b/>
                <w:i w:val="0"/>
                <w:sz w:val="22"/>
              </w:rPr>
              <w:t>Field</w:t>
              <w:br/>
              <w:t>(Major/Allied)</w:t>
            </w:r>
          </w:p>
        </w:tc>
        <w:tc>
          <w:tcPr>
            <w:tcW w:type="dxa" w:w="2551"/>
            <w:tcBorders>
              <w:top w:val="single" w:sz="6" w:color="000000"/>
              <w:left w:val="single" w:sz="6" w:color="000000"/>
              <w:bottom w:val="single" w:sz="6" w:color="000000"/>
              <w:right w:val="single" w:sz="6" w:color="000000"/>
            </w:tcBorders>
            <w:shd w:val="clear" w:color="auto" w:fill="D9E2F3"/>
            <w:vAlign w:val="center"/>
          </w:tcPr>
          <w:p>
            <w:pPr>
              <w:jc w:val="center"/>
            </w:pPr>
            <w:r/>
            <w:r>
              <w:rPr>
                <w:rFonts w:ascii="Times New Roman" w:hAnsi="Times New Roman"/>
                <w:b/>
                <w:i w:val="0"/>
                <w:sz w:val="22"/>
              </w:rPr>
              <w:t>Designation</w:t>
            </w:r>
          </w:p>
        </w:tc>
        <w:tc>
          <w:tcPr>
            <w:tcW w:type="dxa" w:w="1984"/>
            <w:tcBorders>
              <w:top w:val="single" w:sz="6" w:color="000000"/>
              <w:left w:val="single" w:sz="6" w:color="000000"/>
              <w:bottom w:val="single" w:sz="6" w:color="000000"/>
              <w:right w:val="single" w:sz="6" w:color="000000"/>
            </w:tcBorders>
            <w:shd w:val="clear" w:color="auto" w:fill="D9E2F3"/>
            <w:vAlign w:val="center"/>
          </w:tcPr>
          <w:p>
            <w:pPr>
              <w:jc w:val="center"/>
            </w:pPr>
            <w:r/>
            <w:r>
              <w:rPr>
                <w:rFonts w:ascii="Times New Roman" w:hAnsi="Times New Roman"/>
                <w:b/>
                <w:i w:val="0"/>
                <w:sz w:val="22"/>
              </w:rPr>
              <w:t>Signature with date</w:t>
            </w:r>
          </w:p>
        </w:tc>
      </w:tr>
      <w:tr>
        <w:tc>
          <w:tcPr>
            <w:tcW w:type="dxa" w:w="3685"/>
            <w:tcBorders>
              <w:top w:val="single" w:sz="6" w:color="000000"/>
              <w:left w:val="single" w:sz="6" w:color="000000"/>
              <w:bottom w:val="single" w:sz="6" w:color="000000"/>
              <w:right w:val="single" w:sz="6" w:color="000000"/>
            </w:tcBorders>
            <w:vAlign w:val="center"/>
          </w:tcPr>
          <w:p>
            <w:pPr>
              <w:jc w:val="left"/>
            </w:pPr>
            <w:r/>
            <w:r>
              <w:rPr>
                <w:rFonts w:ascii="Times New Roman" w:hAnsi="Times New Roman"/>
                <w:b w:val="0"/>
                <w:i w:val="0"/>
                <w:sz w:val="22"/>
              </w:rPr>
              <w:t>Dr. Jeyakumar Sakthivel (Major Advisor)</w:t>
            </w:r>
          </w:p>
        </w:tc>
        <w:tc>
          <w:tcPr>
            <w:tcW w:type="dxa" w:w="1587"/>
            <w:tcBorders>
              <w:top w:val="single" w:sz="6" w:color="000000"/>
              <w:left w:val="single" w:sz="6" w:color="000000"/>
              <w:bottom w:val="single" w:sz="6" w:color="000000"/>
              <w:right w:val="single" w:sz="6" w:color="000000"/>
            </w:tcBorders>
            <w:vAlign w:val="center"/>
          </w:tcPr>
          <w:p>
            <w:pPr>
              <w:jc w:val="center"/>
            </w:pPr>
            <w:r/>
            <w:r>
              <w:rPr>
                <w:rFonts w:ascii="Times New Roman" w:hAnsi="Times New Roman"/>
                <w:b w:val="0"/>
                <w:i w:val="0"/>
                <w:sz w:val="22"/>
              </w:rPr>
              <w:t>Major</w:t>
            </w:r>
          </w:p>
        </w:tc>
        <w:tc>
          <w:tcPr>
            <w:tcW w:type="dxa" w:w="2551"/>
            <w:tcBorders>
              <w:top w:val="single" w:sz="6" w:color="000000"/>
              <w:left w:val="single" w:sz="6" w:color="000000"/>
              <w:bottom w:val="single" w:sz="6" w:color="000000"/>
              <w:right w:val="single" w:sz="6" w:color="000000"/>
            </w:tcBorders>
            <w:vAlign w:val="center"/>
          </w:tcPr>
          <w:p>
            <w:pPr>
              <w:jc w:val="center"/>
            </w:pPr>
            <w:r/>
            <w:r>
              <w:rPr>
                <w:rFonts w:ascii="Times New Roman" w:hAnsi="Times New Roman"/>
                <w:b w:val="0"/>
                <w:i w:val="0"/>
                <w:sz w:val="22"/>
              </w:rPr>
              <w:t>Principal Scientist</w:t>
            </w:r>
          </w:p>
        </w:tc>
        <w:tc>
          <w:tcPr>
            <w:tcW w:type="dxa" w:w="1984"/>
            <w:tcBorders>
              <w:top w:val="single" w:sz="6" w:color="000000"/>
              <w:left w:val="single" w:sz="6" w:color="000000"/>
              <w:bottom w:val="single" w:sz="6" w:color="000000"/>
              <w:right w:val="single" w:sz="6" w:color="000000"/>
            </w:tcBorders>
            <w:vAlign w:val="center"/>
          </w:tcPr>
          <w:p>
            <w:pPr>
              <w:jc w:val="center"/>
            </w:pPr>
            <w:r/>
            <w:r>
              <w:rPr>
                <w:rFonts w:ascii="Times New Roman" w:hAnsi="Times New Roman"/>
                <w:b w:val="0"/>
                <w:i w:val="0"/>
                <w:sz w:val="22"/>
              </w:rPr>
            </w:r>
          </w:p>
        </w:tc>
      </w:tr>
      <w:tr>
        <w:tc>
          <w:tcPr>
            <w:tcW w:type="dxa" w:w="3685"/>
            <w:tcBorders>
              <w:top w:val="single" w:sz="6" w:color="000000"/>
              <w:left w:val="single" w:sz="6" w:color="000000"/>
              <w:bottom w:val="single" w:sz="6" w:color="000000"/>
              <w:right w:val="single" w:sz="6" w:color="000000"/>
            </w:tcBorders>
            <w:vAlign w:val="center"/>
          </w:tcPr>
          <w:p>
            <w:pPr>
              <w:jc w:val="left"/>
            </w:pPr>
            <w:r/>
            <w:r>
              <w:rPr>
                <w:rFonts w:ascii="Times New Roman" w:hAnsi="Times New Roman"/>
                <w:b w:val="0"/>
                <w:i w:val="0"/>
                <w:sz w:val="22"/>
              </w:rPr>
              <w:t>Dr. A. Kumaresan (Member)</w:t>
            </w:r>
          </w:p>
        </w:tc>
        <w:tc>
          <w:tcPr>
            <w:tcW w:type="dxa" w:w="1587"/>
            <w:tcBorders>
              <w:top w:val="single" w:sz="6" w:color="000000"/>
              <w:left w:val="single" w:sz="6" w:color="000000"/>
              <w:bottom w:val="single" w:sz="6" w:color="000000"/>
              <w:right w:val="single" w:sz="6" w:color="000000"/>
            </w:tcBorders>
            <w:vAlign w:val="center"/>
          </w:tcPr>
          <w:p>
            <w:pPr>
              <w:jc w:val="center"/>
            </w:pPr>
            <w:r/>
            <w:r>
              <w:rPr>
                <w:rFonts w:ascii="Times New Roman" w:hAnsi="Times New Roman"/>
                <w:b w:val="0"/>
                <w:i w:val="0"/>
                <w:sz w:val="22"/>
              </w:rPr>
              <w:t>Major</w:t>
            </w:r>
          </w:p>
        </w:tc>
        <w:tc>
          <w:tcPr>
            <w:tcW w:type="dxa" w:w="2551"/>
            <w:tcBorders>
              <w:top w:val="single" w:sz="6" w:color="000000"/>
              <w:left w:val="single" w:sz="6" w:color="000000"/>
              <w:bottom w:val="single" w:sz="6" w:color="000000"/>
              <w:right w:val="single" w:sz="6" w:color="000000"/>
            </w:tcBorders>
            <w:vAlign w:val="center"/>
          </w:tcPr>
          <w:p>
            <w:pPr>
              <w:jc w:val="center"/>
            </w:pPr>
            <w:r/>
            <w:r>
              <w:rPr>
                <w:rFonts w:ascii="Times New Roman" w:hAnsi="Times New Roman"/>
                <w:b w:val="0"/>
                <w:i w:val="0"/>
                <w:sz w:val="22"/>
              </w:rPr>
              <w:t>ICAR-National Fellow and Principal Scientist</w:t>
            </w:r>
          </w:p>
        </w:tc>
        <w:tc>
          <w:tcPr>
            <w:tcW w:type="dxa" w:w="1984"/>
            <w:tcBorders>
              <w:top w:val="single" w:sz="6" w:color="000000"/>
              <w:left w:val="single" w:sz="6" w:color="000000"/>
              <w:bottom w:val="single" w:sz="6" w:color="000000"/>
              <w:right w:val="single" w:sz="6" w:color="000000"/>
            </w:tcBorders>
            <w:vAlign w:val="center"/>
          </w:tcPr>
          <w:p>
            <w:pPr>
              <w:jc w:val="center"/>
            </w:pPr>
            <w:r/>
            <w:r>
              <w:rPr>
                <w:rFonts w:ascii="Times New Roman" w:hAnsi="Times New Roman"/>
                <w:b w:val="0"/>
                <w:i w:val="0"/>
                <w:sz w:val="22"/>
              </w:rPr>
            </w:r>
          </w:p>
        </w:tc>
      </w:tr>
      <w:tr>
        <w:tc>
          <w:tcPr>
            <w:tcW w:type="dxa" w:w="3685"/>
            <w:tcBorders>
              <w:top w:val="single" w:sz="6" w:color="000000"/>
              <w:left w:val="single" w:sz="6" w:color="000000"/>
              <w:bottom w:val="single" w:sz="6" w:color="000000"/>
              <w:right w:val="single" w:sz="6" w:color="000000"/>
            </w:tcBorders>
            <w:vAlign w:val="center"/>
          </w:tcPr>
          <w:p>
            <w:pPr>
              <w:jc w:val="left"/>
            </w:pPr>
            <w:r/>
            <w:r>
              <w:rPr>
                <w:rFonts w:ascii="Times New Roman" w:hAnsi="Times New Roman"/>
                <w:b w:val="0"/>
                <w:i w:val="0"/>
                <w:sz w:val="22"/>
              </w:rPr>
              <w:t>Dr. Rubina Kumari Baithalu (Member)</w:t>
            </w:r>
          </w:p>
        </w:tc>
        <w:tc>
          <w:tcPr>
            <w:tcW w:type="dxa" w:w="1587"/>
            <w:tcBorders>
              <w:top w:val="single" w:sz="6" w:color="000000"/>
              <w:left w:val="single" w:sz="6" w:color="000000"/>
              <w:bottom w:val="single" w:sz="6" w:color="000000"/>
              <w:right w:val="single" w:sz="6" w:color="000000"/>
            </w:tcBorders>
            <w:vAlign w:val="center"/>
          </w:tcPr>
          <w:p>
            <w:pPr>
              <w:jc w:val="center"/>
            </w:pPr>
            <w:r/>
            <w:r>
              <w:rPr>
                <w:rFonts w:ascii="Times New Roman" w:hAnsi="Times New Roman"/>
                <w:b w:val="0"/>
                <w:i w:val="0"/>
                <w:sz w:val="22"/>
              </w:rPr>
              <w:t>Major</w:t>
            </w:r>
          </w:p>
        </w:tc>
        <w:tc>
          <w:tcPr>
            <w:tcW w:type="dxa" w:w="2551"/>
            <w:tcBorders>
              <w:top w:val="single" w:sz="6" w:color="000000"/>
              <w:left w:val="single" w:sz="6" w:color="000000"/>
              <w:bottom w:val="single" w:sz="6" w:color="000000"/>
              <w:right w:val="single" w:sz="6" w:color="000000"/>
            </w:tcBorders>
            <w:vAlign w:val="center"/>
          </w:tcPr>
          <w:p>
            <w:pPr>
              <w:jc w:val="center"/>
            </w:pPr>
            <w:r/>
            <w:r>
              <w:rPr>
                <w:rFonts w:ascii="Times New Roman" w:hAnsi="Times New Roman"/>
                <w:b w:val="0"/>
                <w:i w:val="0"/>
                <w:sz w:val="22"/>
              </w:rPr>
              <w:t>Senior Scientist</w:t>
            </w:r>
          </w:p>
        </w:tc>
        <w:tc>
          <w:tcPr>
            <w:tcW w:type="dxa" w:w="1984"/>
            <w:tcBorders>
              <w:top w:val="single" w:sz="6" w:color="000000"/>
              <w:left w:val="single" w:sz="6" w:color="000000"/>
              <w:bottom w:val="single" w:sz="6" w:color="000000"/>
              <w:right w:val="single" w:sz="6" w:color="000000"/>
            </w:tcBorders>
            <w:vAlign w:val="center"/>
          </w:tcPr>
          <w:p>
            <w:pPr>
              <w:jc w:val="center"/>
            </w:pPr>
            <w:r/>
            <w:r>
              <w:rPr>
                <w:rFonts w:ascii="Times New Roman" w:hAnsi="Times New Roman"/>
                <w:b w:val="0"/>
                <w:i w:val="0"/>
                <w:sz w:val="22"/>
              </w:rPr>
            </w:r>
          </w:p>
        </w:tc>
      </w:tr>
      <w:tr>
        <w:tc>
          <w:tcPr>
            <w:tcW w:type="dxa" w:w="3685"/>
            <w:tcBorders>
              <w:top w:val="single" w:sz="6" w:color="000000"/>
              <w:left w:val="single" w:sz="6" w:color="000000"/>
              <w:bottom w:val="single" w:sz="6" w:color="000000"/>
              <w:right w:val="single" w:sz="6" w:color="000000"/>
            </w:tcBorders>
            <w:vAlign w:val="center"/>
          </w:tcPr>
          <w:p>
            <w:pPr>
              <w:jc w:val="left"/>
            </w:pPr>
            <w:r/>
            <w:r>
              <w:rPr>
                <w:rFonts w:ascii="Times New Roman" w:hAnsi="Times New Roman"/>
                <w:b w:val="0"/>
                <w:i w:val="0"/>
                <w:sz w:val="22"/>
              </w:rPr>
              <w:t>Dr. Vedamurthy, G. V. (Member)</w:t>
            </w:r>
          </w:p>
        </w:tc>
        <w:tc>
          <w:tcPr>
            <w:tcW w:type="dxa" w:w="1587"/>
            <w:tcBorders>
              <w:top w:val="single" w:sz="6" w:color="000000"/>
              <w:left w:val="single" w:sz="6" w:color="000000"/>
              <w:bottom w:val="single" w:sz="6" w:color="000000"/>
              <w:right w:val="single" w:sz="6" w:color="000000"/>
            </w:tcBorders>
            <w:vAlign w:val="center"/>
          </w:tcPr>
          <w:p>
            <w:pPr>
              <w:jc w:val="center"/>
            </w:pPr>
            <w:r/>
            <w:r>
              <w:rPr>
                <w:rFonts w:ascii="Times New Roman" w:hAnsi="Times New Roman"/>
                <w:b w:val="0"/>
                <w:i w:val="0"/>
                <w:sz w:val="22"/>
              </w:rPr>
              <w:t>Allied</w:t>
            </w:r>
          </w:p>
        </w:tc>
        <w:tc>
          <w:tcPr>
            <w:tcW w:type="dxa" w:w="2551"/>
            <w:tcBorders>
              <w:top w:val="single" w:sz="6" w:color="000000"/>
              <w:left w:val="single" w:sz="6" w:color="000000"/>
              <w:bottom w:val="single" w:sz="6" w:color="000000"/>
              <w:right w:val="single" w:sz="6" w:color="000000"/>
            </w:tcBorders>
            <w:vAlign w:val="center"/>
          </w:tcPr>
          <w:p>
            <w:pPr>
              <w:jc w:val="center"/>
            </w:pPr>
            <w:r/>
            <w:r>
              <w:rPr>
                <w:rFonts w:ascii="Times New Roman" w:hAnsi="Times New Roman"/>
                <w:b w:val="0"/>
                <w:i w:val="0"/>
                <w:sz w:val="22"/>
              </w:rPr>
              <w:t>Senior Scientist</w:t>
            </w:r>
          </w:p>
        </w:tc>
        <w:tc>
          <w:tcPr>
            <w:tcW w:type="dxa" w:w="1984"/>
            <w:tcBorders>
              <w:top w:val="single" w:sz="6" w:color="000000"/>
              <w:left w:val="single" w:sz="6" w:color="000000"/>
              <w:bottom w:val="single" w:sz="6" w:color="000000"/>
              <w:right w:val="single" w:sz="6" w:color="000000"/>
            </w:tcBorders>
            <w:vAlign w:val="center"/>
          </w:tcPr>
          <w:p>
            <w:pPr>
              <w:jc w:val="center"/>
            </w:pPr>
            <w:r/>
            <w:r>
              <w:rPr>
                <w:rFonts w:ascii="Times New Roman" w:hAnsi="Times New Roman"/>
                <w:b w:val="0"/>
                <w:i w:val="0"/>
                <w:sz w:val="22"/>
              </w:rPr>
            </w:r>
          </w:p>
        </w:tc>
      </w:tr>
      <w:tr>
        <w:tc>
          <w:tcPr>
            <w:tcW w:type="dxa" w:w="3685"/>
            <w:tcBorders>
              <w:top w:val="single" w:sz="6" w:color="000000"/>
              <w:left w:val="single" w:sz="6" w:color="000000"/>
              <w:bottom w:val="single" w:sz="6" w:color="000000"/>
              <w:right w:val="single" w:sz="6" w:color="000000"/>
            </w:tcBorders>
            <w:vAlign w:val="center"/>
          </w:tcPr>
          <w:p>
            <w:pPr>
              <w:jc w:val="left"/>
            </w:pPr>
            <w:r/>
            <w:r>
              <w:rPr>
                <w:rFonts w:ascii="Times New Roman" w:hAnsi="Times New Roman"/>
                <w:b w:val="0"/>
                <w:i w:val="0"/>
                <w:sz w:val="22"/>
              </w:rPr>
              <w:t>Dr. F. Magdaline Eljeeva Emerald (Member)</w:t>
            </w:r>
          </w:p>
        </w:tc>
        <w:tc>
          <w:tcPr>
            <w:tcW w:type="dxa" w:w="1587"/>
            <w:tcBorders>
              <w:top w:val="single" w:sz="6" w:color="000000"/>
              <w:left w:val="single" w:sz="6" w:color="000000"/>
              <w:bottom w:val="single" w:sz="6" w:color="000000"/>
              <w:right w:val="single" w:sz="6" w:color="000000"/>
            </w:tcBorders>
            <w:vAlign w:val="center"/>
          </w:tcPr>
          <w:p>
            <w:pPr>
              <w:jc w:val="center"/>
            </w:pPr>
            <w:r/>
            <w:r>
              <w:rPr>
                <w:rFonts w:ascii="Times New Roman" w:hAnsi="Times New Roman"/>
                <w:b w:val="0"/>
                <w:i w:val="0"/>
                <w:sz w:val="22"/>
              </w:rPr>
              <w:t>Allied</w:t>
            </w:r>
          </w:p>
        </w:tc>
        <w:tc>
          <w:tcPr>
            <w:tcW w:type="dxa" w:w="2551"/>
            <w:tcBorders>
              <w:top w:val="single" w:sz="6" w:color="000000"/>
              <w:left w:val="single" w:sz="6" w:color="000000"/>
              <w:bottom w:val="single" w:sz="6" w:color="000000"/>
              <w:right w:val="single" w:sz="6" w:color="000000"/>
            </w:tcBorders>
            <w:vAlign w:val="center"/>
          </w:tcPr>
          <w:p>
            <w:pPr>
              <w:jc w:val="center"/>
            </w:pPr>
            <w:r/>
            <w:r>
              <w:rPr>
                <w:rFonts w:ascii="Times New Roman" w:hAnsi="Times New Roman"/>
                <w:b w:val="0"/>
                <w:i w:val="0"/>
                <w:sz w:val="22"/>
              </w:rPr>
              <w:t>Principal Scientist</w:t>
            </w:r>
          </w:p>
        </w:tc>
        <w:tc>
          <w:tcPr>
            <w:tcW w:type="dxa" w:w="1984"/>
            <w:tcBorders>
              <w:top w:val="single" w:sz="6" w:color="000000"/>
              <w:left w:val="single" w:sz="6" w:color="000000"/>
              <w:bottom w:val="single" w:sz="6" w:color="000000"/>
              <w:right w:val="single" w:sz="6" w:color="000000"/>
            </w:tcBorders>
            <w:vAlign w:val="center"/>
          </w:tcPr>
          <w:p>
            <w:pPr>
              <w:jc w:val="center"/>
            </w:pPr>
            <w:r/>
            <w:r>
              <w:rPr>
                <w:rFonts w:ascii="Times New Roman" w:hAnsi="Times New Roman"/>
                <w:b w:val="0"/>
                <w:i w:val="0"/>
                <w:sz w:val="22"/>
              </w:rPr>
            </w:r>
          </w:p>
        </w:tc>
      </w:tr>
      <w:tr>
        <w:tc>
          <w:tcPr>
            <w:tcW w:type="dxa" w:w="3685"/>
            <w:tcBorders>
              <w:top w:val="single" w:sz="6" w:color="000000"/>
              <w:left w:val="single" w:sz="6" w:color="000000"/>
              <w:bottom w:val="single" w:sz="6" w:color="000000"/>
              <w:right w:val="single" w:sz="6" w:color="000000"/>
            </w:tcBorders>
            <w:vAlign w:val="center"/>
          </w:tcPr>
          <w:p>
            <w:pPr>
              <w:jc w:val="left"/>
            </w:pPr>
            <w:r/>
            <w:r>
              <w:rPr>
                <w:rFonts w:ascii="Times New Roman" w:hAnsi="Times New Roman"/>
                <w:b/>
                <w:i w:val="0"/>
                <w:sz w:val="22"/>
              </w:rPr>
              <w:t>Director's Nominee</w:t>
            </w:r>
          </w:p>
        </w:tc>
        <w:tc>
          <w:tcPr>
            <w:tcW w:type="dxa" w:w="1587"/>
            <w:tcBorders>
              <w:top w:val="single" w:sz="6" w:color="000000"/>
              <w:left w:val="single" w:sz="6" w:color="000000"/>
              <w:bottom w:val="single" w:sz="6" w:color="000000"/>
              <w:right w:val="single" w:sz="6" w:color="000000"/>
            </w:tcBorders>
            <w:vAlign w:val="center"/>
          </w:tcPr>
          <w:p>
            <w:pPr>
              <w:jc w:val="center"/>
            </w:pPr>
            <w:r/>
            <w:r>
              <w:rPr>
                <w:rFonts w:ascii="Times New Roman" w:hAnsi="Times New Roman"/>
                <w:b w:val="0"/>
                <w:i w:val="0"/>
                <w:sz w:val="22"/>
              </w:rPr>
            </w:r>
          </w:p>
        </w:tc>
        <w:tc>
          <w:tcPr>
            <w:tcW w:type="dxa" w:w="2551"/>
            <w:tcBorders>
              <w:top w:val="single" w:sz="6" w:color="000000"/>
              <w:left w:val="single" w:sz="6" w:color="000000"/>
              <w:bottom w:val="single" w:sz="6" w:color="000000"/>
              <w:right w:val="single" w:sz="6" w:color="000000"/>
            </w:tcBorders>
            <w:vAlign w:val="center"/>
          </w:tcPr>
          <w:p>
            <w:pPr>
              <w:jc w:val="center"/>
            </w:pPr>
            <w:r/>
            <w:r>
              <w:rPr>
                <w:rFonts w:ascii="Times New Roman" w:hAnsi="Times New Roman"/>
                <w:b w:val="0"/>
                <w:i w:val="0"/>
                <w:sz w:val="22"/>
              </w:rPr>
            </w:r>
          </w:p>
        </w:tc>
        <w:tc>
          <w:tcPr>
            <w:tcW w:type="dxa" w:w="1984"/>
            <w:tcBorders>
              <w:top w:val="single" w:sz="6" w:color="000000"/>
              <w:left w:val="single" w:sz="6" w:color="000000"/>
              <w:bottom w:val="single" w:sz="6" w:color="000000"/>
              <w:right w:val="single" w:sz="6" w:color="000000"/>
            </w:tcBorders>
            <w:vAlign w:val="center"/>
          </w:tcPr>
          <w:p>
            <w:pPr>
              <w:jc w:val="center"/>
            </w:pPr>
            <w:r/>
            <w:r>
              <w:rPr>
                <w:rFonts w:ascii="Times New Roman" w:hAnsi="Times New Roman"/>
                <w:b w:val="0"/>
                <w:i w:val="0"/>
                <w:sz w:val="22"/>
              </w:rPr>
            </w:r>
          </w:p>
        </w:tc>
      </w:tr>
    </w:tbl>
    <w:p/>
    <w:p/>
    <w:p/>
    <w:p/>
    <w:p>
      <w:pPr>
        <w:jc w:val="right"/>
      </w:pPr>
      <w:r>
        <w:rPr>
          <w:rFonts w:ascii="Times New Roman" w:hAnsi="Times New Roman"/>
          <w:b/>
          <w:i w:val="0"/>
          <w:sz w:val="24"/>
        </w:rPr>
        <w:t>Signature of Head of Division with Seal</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