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Times New Roman" w:hAnsi="Times New Roman"/>
          <w:b/>
          <w:color w:val="1F4E78"/>
          <w:sz w:val="40"/>
        </w:rPr>
        <w:t>RESEARCH SYNOPSIS</w:t>
      </w:r>
    </w:p>
    <w:p>
      <w:pPr>
        <w:jc w:val="center"/>
      </w:pPr>
      <w:r>
        <w:rPr>
          <w:i/>
          <w:sz w:val="24"/>
        </w:rPr>
        <w:t>Submitted in partial fulfilment of the requirements</w:t>
        <w:br/>
        <w:t>for the degree of</w:t>
        <w:br/>
        <w:t>Master of Veterinary Science / Doctor of Philosophy</w:t>
        <w:br/>
        <w:t>(Animal Reproduction, Gynaecology and Obstetrics)</w:t>
      </w:r>
    </w:p>
    <w:p/>
    <w:p/>
    <w:p>
      <w:pPr>
        <w:jc w:val="center"/>
      </w:pPr>
      <w:r>
        <w:rPr>
          <w:rFonts w:ascii="Times New Roman" w:hAnsi="Times New Roman"/>
          <w:b/>
          <w:color w:val="1F1F1F"/>
          <w:sz w:val="36"/>
        </w:rPr>
        <w:t>Development and Characterisation of a Progesterone-based Delivery System for the Management of Repeat Breeding in Cattle</w:t>
      </w:r>
    </w:p>
    <w:p/>
    <w:p/>
    <w:p/>
    <w:tbl>
      <w:tblPr>
        <w:tblW w:type="auto" w:w="0"/>
        <w:jc w:val="center"/>
        <w:tblLook w:firstColumn="1" w:firstRow="1" w:lastColumn="0" w:lastRow="0" w:noHBand="0" w:noVBand="1" w:val="04A0"/>
      </w:tblPr>
      <w:tblGrid>
        <w:gridCol w:w="4561"/>
        <w:gridCol w:w="4561"/>
      </w:tblGrid>
      <w:tr>
        <w:tc>
          <w:tcPr>
            <w:tcW w:type="dxa" w:w="4561"/>
            <w:vAlign w:val="center"/>
          </w:tcPr>
          <w:p>
            <w:pPr>
              <w:spacing w:after="0"/>
              <w:jc w:val="left"/>
            </w:pPr>
            <w:r>
              <w:rPr>
                <w:rFonts w:ascii="Times New Roman" w:hAnsi="Times New Roman"/>
                <w:b/>
                <w:sz w:val="24"/>
              </w:rPr>
              <w:t>Submitted by</w:t>
            </w:r>
          </w:p>
        </w:tc>
        <w:tc>
          <w:tcPr>
            <w:tcW w:type="dxa" w:w="4561"/>
            <w:vAlign w:val="center"/>
          </w:tcPr>
          <w:p>
            <w:pPr>
              <w:spacing w:after="0"/>
              <w:jc w:val="left"/>
            </w:pPr>
            <w:r>
              <w:rPr>
                <w:rFonts w:ascii="Times New Roman" w:hAnsi="Times New Roman"/>
                <w:b w:val="0"/>
                <w:sz w:val="24"/>
              </w:rPr>
              <w:t>____________________________________</w:t>
            </w:r>
          </w:p>
        </w:tc>
      </w:tr>
      <w:tr>
        <w:tc>
          <w:tcPr>
            <w:tcW w:type="dxa" w:w="4561"/>
            <w:vAlign w:val="center"/>
          </w:tcPr>
          <w:p>
            <w:pPr>
              <w:spacing w:after="0"/>
              <w:jc w:val="left"/>
            </w:pPr>
            <w:r>
              <w:rPr>
                <w:rFonts w:ascii="Times New Roman" w:hAnsi="Times New Roman"/>
                <w:b/>
                <w:sz w:val="24"/>
              </w:rPr>
              <w:t>Registration / Roll No.</w:t>
            </w:r>
          </w:p>
        </w:tc>
        <w:tc>
          <w:tcPr>
            <w:tcW w:type="dxa" w:w="4561"/>
            <w:vAlign w:val="center"/>
          </w:tcPr>
          <w:p>
            <w:pPr>
              <w:spacing w:after="0"/>
              <w:jc w:val="left"/>
            </w:pPr>
            <w:r>
              <w:rPr>
                <w:rFonts w:ascii="Times New Roman" w:hAnsi="Times New Roman"/>
                <w:b w:val="0"/>
                <w:sz w:val="24"/>
              </w:rPr>
              <w:t>____________________________________</w:t>
            </w:r>
          </w:p>
        </w:tc>
      </w:tr>
      <w:tr>
        <w:tc>
          <w:tcPr>
            <w:tcW w:type="dxa" w:w="4561"/>
            <w:vAlign w:val="center"/>
          </w:tcPr>
          <w:p>
            <w:pPr>
              <w:spacing w:after="0"/>
              <w:jc w:val="left"/>
            </w:pPr>
            <w:r>
              <w:rPr>
                <w:rFonts w:ascii="Times New Roman" w:hAnsi="Times New Roman"/>
                <w:b/>
                <w:sz w:val="24"/>
              </w:rPr>
              <w:t>Major Advisor / Guide</w:t>
            </w:r>
          </w:p>
        </w:tc>
        <w:tc>
          <w:tcPr>
            <w:tcW w:type="dxa" w:w="4561"/>
            <w:vAlign w:val="center"/>
          </w:tcPr>
          <w:p>
            <w:pPr>
              <w:spacing w:after="0"/>
              <w:jc w:val="left"/>
            </w:pPr>
            <w:r>
              <w:rPr>
                <w:rFonts w:ascii="Times New Roman" w:hAnsi="Times New Roman"/>
                <w:b w:val="0"/>
                <w:sz w:val="24"/>
              </w:rPr>
              <w:t>____________________________________</w:t>
            </w:r>
          </w:p>
        </w:tc>
      </w:tr>
      <w:tr>
        <w:tc>
          <w:tcPr>
            <w:tcW w:type="dxa" w:w="4561"/>
            <w:vAlign w:val="center"/>
          </w:tcPr>
          <w:p>
            <w:pPr>
              <w:spacing w:after="0"/>
              <w:jc w:val="left"/>
            </w:pPr>
            <w:r>
              <w:rPr>
                <w:rFonts w:ascii="Times New Roman" w:hAnsi="Times New Roman"/>
                <w:b/>
                <w:sz w:val="24"/>
              </w:rPr>
              <w:t>Co-Advisor</w:t>
            </w:r>
          </w:p>
        </w:tc>
        <w:tc>
          <w:tcPr>
            <w:tcW w:type="dxa" w:w="4561"/>
            <w:vAlign w:val="center"/>
          </w:tcPr>
          <w:p>
            <w:pPr>
              <w:spacing w:after="0"/>
              <w:jc w:val="left"/>
            </w:pPr>
            <w:r>
              <w:rPr>
                <w:rFonts w:ascii="Times New Roman" w:hAnsi="Times New Roman"/>
                <w:b w:val="0"/>
                <w:sz w:val="24"/>
              </w:rPr>
              <w:t>____________________________________</w:t>
            </w:r>
          </w:p>
        </w:tc>
      </w:tr>
      <w:tr>
        <w:tc>
          <w:tcPr>
            <w:tcW w:type="dxa" w:w="4561"/>
            <w:vAlign w:val="center"/>
          </w:tcPr>
          <w:p>
            <w:pPr>
              <w:spacing w:after="0"/>
              <w:jc w:val="left"/>
            </w:pPr>
            <w:r>
              <w:rPr>
                <w:rFonts w:ascii="Times New Roman" w:hAnsi="Times New Roman"/>
                <w:b/>
                <w:sz w:val="24"/>
              </w:rPr>
              <w:t>Department</w:t>
            </w:r>
          </w:p>
        </w:tc>
        <w:tc>
          <w:tcPr>
            <w:tcW w:type="dxa" w:w="4561"/>
            <w:vAlign w:val="center"/>
          </w:tcPr>
          <w:p>
            <w:pPr>
              <w:spacing w:after="0"/>
              <w:jc w:val="left"/>
            </w:pPr>
            <w:r>
              <w:rPr>
                <w:rFonts w:ascii="Times New Roman" w:hAnsi="Times New Roman"/>
                <w:b w:val="0"/>
                <w:sz w:val="24"/>
              </w:rPr>
              <w:t>Animal Reproduction, Gynaecology and Obstetrics</w:t>
            </w:r>
          </w:p>
        </w:tc>
      </w:tr>
      <w:tr>
        <w:tc>
          <w:tcPr>
            <w:tcW w:type="dxa" w:w="4561"/>
            <w:vAlign w:val="center"/>
          </w:tcPr>
          <w:p>
            <w:pPr>
              <w:spacing w:after="0"/>
              <w:jc w:val="left"/>
            </w:pPr>
            <w:r>
              <w:rPr>
                <w:rFonts w:ascii="Times New Roman" w:hAnsi="Times New Roman"/>
                <w:b/>
                <w:sz w:val="24"/>
              </w:rPr>
              <w:t>College / Institute</w:t>
            </w:r>
          </w:p>
        </w:tc>
        <w:tc>
          <w:tcPr>
            <w:tcW w:type="dxa" w:w="4561"/>
            <w:vAlign w:val="center"/>
          </w:tcPr>
          <w:p>
            <w:pPr>
              <w:spacing w:after="0"/>
              <w:jc w:val="left"/>
            </w:pPr>
            <w:r>
              <w:rPr>
                <w:rFonts w:ascii="Times New Roman" w:hAnsi="Times New Roman"/>
                <w:b w:val="0"/>
                <w:sz w:val="24"/>
              </w:rPr>
              <w:t>____________________________________</w:t>
            </w:r>
          </w:p>
        </w:tc>
      </w:tr>
      <w:tr>
        <w:tc>
          <w:tcPr>
            <w:tcW w:type="dxa" w:w="4561"/>
            <w:vAlign w:val="center"/>
          </w:tcPr>
          <w:p>
            <w:pPr>
              <w:spacing w:after="0"/>
              <w:jc w:val="left"/>
            </w:pPr>
            <w:r>
              <w:rPr>
                <w:rFonts w:ascii="Times New Roman" w:hAnsi="Times New Roman"/>
                <w:b/>
                <w:sz w:val="24"/>
              </w:rPr>
              <w:t>University</w:t>
            </w:r>
          </w:p>
        </w:tc>
        <w:tc>
          <w:tcPr>
            <w:tcW w:type="dxa" w:w="4561"/>
            <w:vAlign w:val="center"/>
          </w:tcPr>
          <w:p>
            <w:pPr>
              <w:spacing w:after="0"/>
              <w:jc w:val="left"/>
            </w:pPr>
            <w:r>
              <w:rPr>
                <w:rFonts w:ascii="Times New Roman" w:hAnsi="Times New Roman"/>
                <w:b w:val="0"/>
                <w:sz w:val="24"/>
              </w:rPr>
              <w:t>____________________________________</w:t>
            </w:r>
          </w:p>
        </w:tc>
      </w:tr>
      <w:tr>
        <w:tc>
          <w:tcPr>
            <w:tcW w:type="dxa" w:w="4561"/>
            <w:vAlign w:val="center"/>
          </w:tcPr>
          <w:p>
            <w:pPr>
              <w:spacing w:after="0"/>
              <w:jc w:val="left"/>
            </w:pPr>
            <w:r>
              <w:rPr>
                <w:rFonts w:ascii="Times New Roman" w:hAnsi="Times New Roman"/>
                <w:b/>
                <w:sz w:val="24"/>
              </w:rPr>
              <w:t>Year of Submission</w:t>
            </w:r>
          </w:p>
        </w:tc>
        <w:tc>
          <w:tcPr>
            <w:tcW w:type="dxa" w:w="4561"/>
            <w:vAlign w:val="center"/>
          </w:tcPr>
          <w:p>
            <w:pPr>
              <w:spacing w:after="0"/>
              <w:jc w:val="left"/>
            </w:pPr>
            <w:r>
              <w:rPr>
                <w:rFonts w:ascii="Times New Roman" w:hAnsi="Times New Roman"/>
                <w:b w:val="0"/>
                <w:sz w:val="24"/>
              </w:rPr>
              <w:t>____________________________________</w:t>
            </w:r>
          </w:p>
        </w:tc>
      </w:tr>
    </w:tbl>
    <w:p>
      <w:r>
        <w:br w:type="page"/>
      </w:r>
    </w:p>
    <w:p>
      <w:pPr>
        <w:pStyle w:val="Heading1"/>
        <w:jc w:val="left"/>
      </w:pPr>
      <w:r>
        <w:t>1. INTRODUCTION</w:t>
      </w:r>
    </w:p>
    <w:p>
      <w:r>
        <w:rPr>
          <w:rFonts w:ascii="Times New Roman" w:hAnsi="Times New Roman"/>
          <w:b w:val="0"/>
          <w:i w:val="0"/>
        </w:rPr>
        <w:t>Reproductive efficiency is the single most important determinant of profitability in dairy and beef enterprises. Among the constellation of fertility disorders that erode this efficiency, the repeat-breeder syndrome occupies a particularly costly position. A repeat-breeder cow is conventionally defined as a clinically normal animal that has exhibited regular oestrous cycles and has failed to conceive after three or more successive inseminations with semen of proven fertility, in the absence of any detectable anatomical, infectious or major endocrine abnormality [1,2,3].</w:t>
      </w:r>
    </w:p>
    <w:p>
      <w:r>
        <w:rPr>
          <w:rFonts w:ascii="Times New Roman" w:hAnsi="Times New Roman"/>
          <w:b w:val="0"/>
          <w:i w:val="0"/>
        </w:rPr>
        <w:t>Reported herd-level prevalence of repeat breeding ranges widely - approximately 10 to 30 per cent in different studies and production systems - and the consequent extension of the calving interval, loss of milk yield, increased semen and labour use, and elevated involuntary culling collectively impose a substantial economic burden on the producer [2,3,4,5,6]. The aetiology of repeat breeding is multifactorial and includes sub-clinical endometritis, ovulatory dysfunction, deficient luteal-phase progesterone, poor oocyte and embryo quality, undetected oestrus, heat stress, negative energy balance and inadequate cycle synchronisation around artificial insemination [3,5,6,7,8].</w:t>
      </w:r>
    </w:p>
    <w:p>
      <w:r>
        <w:rPr>
          <w:rFonts w:ascii="Times New Roman" w:hAnsi="Times New Roman"/>
          <w:b w:val="0"/>
          <w:i w:val="0"/>
        </w:rPr>
        <w:t>Among these factors, deficient circulating progesterone (P4) during the early luteal phase is one of the few drivers that is amenable to direct pharmacological correction. Adequate post-ovulatory P4 is essential for histotrophic uterine support, embryonic signalling and the establishment of pregnancy; conversely, low or unstable early-luteal P4 is repeatedly associated with reduced conception rates and elevated embryonic loss in lactating dairy cattle [9,10,11,12,13]. Exogenous P4 supplementation, delivered through intravaginal devices such as the Controlled Internal Drug Release (CIDR) insert and the Progesterone Releasing Intravaginal Device (PRID), is therefore an established adjunct to oestrus-synchronisation protocols (Ovsynch, CIDR-Synch, Heatsynch and their derivatives) for cyclic and anoestrous cattle alike [14,15,16,17,18].</w:t>
      </w:r>
    </w:p>
    <w:p>
      <w:r>
        <w:rPr>
          <w:rFonts w:ascii="Times New Roman" w:hAnsi="Times New Roman"/>
          <w:b w:val="0"/>
          <w:i w:val="0"/>
        </w:rPr>
        <w:t>Despite their proven efficacy, conventional silicone-elastomer intravaginal P4 inserts have several practical limitations. First, they are non-biodegradable and generate single-use polymer waste. Second, they exhibit a characteristic biphasic release profile with a 24- to 48-hour burst followed by a slowly declining maintenance phase, after which a substantial fraction of the original payload remains unrecovered. Third, the per-animal cost of imported devices remains a significant barrier to large-scale adoption in smallholder and resource-limited dairy systems. Fourth, repeated insertion and retrieval require trained personnel and add to the labour cost of synchronisation programmes [15,16,19,20].</w:t>
      </w:r>
    </w:p>
    <w:p>
      <w:r>
        <w:rPr>
          <w:rFonts w:ascii="Times New Roman" w:hAnsi="Times New Roman"/>
          <w:b w:val="0"/>
          <w:i w:val="0"/>
        </w:rPr>
        <w:t>These limitations have stimulated active research into biodegradable, biopolymer-based controlled-release P4 delivery systems. Microparticulate systems prepared from natural and semi-synthetic polymers - chitosan, alginate, gelatin, whey protein, gum arabic, modified starches, hydroxypropyl methylcellulose, ethyl cellulose and poly(lactic-co-glycolic acid) - offer the prospect of cost-effective, fully biodegradable platforms in which release kinetics can be tuned by polymer selection, drug:polymer ratio, particle size and processing parameters [19,20,21,22,23,24,25].</w:t>
      </w:r>
    </w:p>
    <w:p>
      <w:r>
        <w:rPr>
          <w:rFonts w:ascii="Times New Roman" w:hAnsi="Times New Roman"/>
          <w:b w:val="0"/>
          <w:i w:val="0"/>
        </w:rPr>
        <w:t>Spray drying, in particular, provides a continuous, scalable, single-step route from a liquid drug-polymer feed to a dry, free-flowing microparticulate powder, with short residence times that protect thermolabile actives, narrow particle-size distributions, and high encapsulation efficiency for lipophilic molecules such as progesterone [21,22,23,24]. A spray-dried microparticulate progesterone formulation, packaged into a biodegradable applicator or compressed into a dissolvable intravaginal insert, could in principle reproduce the pharmacological performance of CIDR/PRID at a fraction of their unit cost, while also lending itself to local manufacture.</w:t>
      </w:r>
    </w:p>
    <w:p>
      <w:r>
        <w:rPr>
          <w:rFonts w:ascii="Times New Roman" w:hAnsi="Times New Roman"/>
          <w:b w:val="0"/>
          <w:i w:val="0"/>
        </w:rPr>
        <w:t>The present study has therefore been designed to develop a biopolymer-based progesterone delivery system, to characterise it with respect to physico-chemical, pharmaceutical and release properties, and to evaluate its clinical efficacy in repeat-breeder cows under field conditions, with a benchmark comparison against a marketed CIDR-based protocol.</w:t>
      </w:r>
    </w:p>
    <w:p>
      <w:pPr>
        <w:pStyle w:val="Heading1"/>
        <w:jc w:val="left"/>
      </w:pPr>
      <w:r>
        <w:t>2. REVIEW OF LITERATURE</w:t>
      </w:r>
    </w:p>
    <w:p>
      <w:pPr>
        <w:pStyle w:val="Heading2"/>
      </w:pPr>
      <w:r>
        <w:t>2.1 Repeat breeding: definition, prevalence and economic impact</w:t>
      </w:r>
    </w:p>
    <w:p>
      <w:r>
        <w:rPr>
          <w:rFonts w:ascii="Times New Roman" w:hAnsi="Times New Roman"/>
          <w:b w:val="0"/>
          <w:i w:val="0"/>
        </w:rPr>
        <w:t>Bartlett et al. (1986), in one of the most-cited descriptive epidemiological studies of repeated insemination in Holstein-Friesian cattle, formalised the working definition of a repeat-breeder cow as a cyclic animal failing to conceive after three or more services and quantified the substantial associated economic loss [1]. Levine (1999) reviewed the syndrome in the bovine practitioner literature, emphasising the multifactorial nature of the condition [2]. Gustafsson and Emanuelson (2002) characterised the repeat-breeding syndrome in Swedish dairy cattle and reported herd-level prevalence in the order of 9-13 per cent [3]. Yusuf et al. (2010) examined the reproductive performance of repeat-breeders across multiple herds and confirmed reduced first-service conception rates and prolonged days open [4]. Lopez-Gatius (2003) and Lucy (2001) documented the secular decline in dairy fertility associated with intensified milk production, of which the repeat-breeder phenotype is one prominent expression [5,6].</w:t>
      </w:r>
    </w:p>
    <w:p>
      <w:pPr>
        <w:pStyle w:val="Heading2"/>
      </w:pPr>
      <w:r>
        <w:t>2.2 Pathophysiology and contributing factors</w:t>
      </w:r>
    </w:p>
    <w:p>
      <w:r>
        <w:rPr>
          <w:rFonts w:ascii="Times New Roman" w:hAnsi="Times New Roman"/>
          <w:b w:val="0"/>
          <w:i w:val="0"/>
        </w:rPr>
        <w:t>Walsh et al. (2011) reviewed the principal contributors to poor fertility in high-producing dairy cows, including ovulatory dysfunction, sub-clinical endometritis, oocyte-quality deterioration and luteal-phase deficiency [7]. Diskin and Morris (2008) detailed the temporal pattern of embryonic and early foetal losses in cattle and emphasised the dominance of pregnancy losses between days 8 and 17 post-AI - precisely the window in which adequate luteal P4 is critical [8]. Bage et al. (2002) described follicular dynamics and oestradiol-progesterone profiles in repeat-breeder heifers and identified subtle perturbations in follicular development as one mechanistic substrate of the syndrome [9]. Sheldon et al. (2009) consolidated the role of post-partum uterine inflammation and infection in subsequent infertility [12].</w:t>
      </w:r>
    </w:p>
    <w:p>
      <w:pPr>
        <w:pStyle w:val="Heading2"/>
      </w:pPr>
      <w:r>
        <w:t>2.3 Role of progesterone in fertility</w:t>
      </w:r>
    </w:p>
    <w:p>
      <w:r>
        <w:rPr>
          <w:rFonts w:ascii="Times New Roman" w:hAnsi="Times New Roman"/>
          <w:b w:val="0"/>
          <w:i w:val="0"/>
        </w:rPr>
        <w:t>Wiltbank et al. (2014) provided an integrative review of the physiological and practical effects of progesterone on reproduction in dairy cattle, demonstrating that the concentration and pattern of P4 during follicular development, around AI and during the early luteal phase each have measurable effects on conception and pregnancy maintenance [10]. Stevenson et al. (2006) showed that progesterone supplementation during Ovsynch can improve conception in subgroups of cycling and non-cycling dairy cows [11]. Bisinotto et al. (2014) summarised the role of synchronisation programmes in modern dairy reproduction and the integration of P4 within them [13].</w:t>
      </w:r>
    </w:p>
    <w:p>
      <w:pPr>
        <w:pStyle w:val="Heading2"/>
      </w:pPr>
      <w:r>
        <w:t>2.4 Current synchronisation protocols and progesterone supplementation</w:t>
      </w:r>
    </w:p>
    <w:p>
      <w:r>
        <w:rPr>
          <w:rFonts w:ascii="Times New Roman" w:hAnsi="Times New Roman"/>
          <w:b w:val="0"/>
          <w:i w:val="0"/>
        </w:rPr>
        <w:t>Pursley et al. (1995, 1997) described the original Ovsynch protocol and quantified pregnancies per AI relative to conventional oestrus-detected breeding [14,15]. Macmillan and Peterson (1993) reported the original CIDR-B intravaginal device, demonstrating its capacity to maintain plasma P4 above the luteal threshold for seven to twelve days and to synchronise oestrus and treat post-partum anoestrus [16]. Rathbone and colleagues subsequently formalised the engineering principles of intravaginal P4 inserts and characterised their biphasic release [17,18]. CIDR-Synch and PRID-Synch protocols, which combine an intravaginal P4 device with GnRH and PGF2-alpha, are currently among the most widely used interventions for cyclic repeat-breeder and anoestrous cattle [13,17].</w:t>
      </w:r>
    </w:p>
    <w:p>
      <w:pPr>
        <w:pStyle w:val="Heading2"/>
      </w:pPr>
      <w:r>
        <w:t>2.5 Progesterone delivery systems and biopolymer microencapsulation</w:t>
      </w:r>
    </w:p>
    <w:p>
      <w:r>
        <w:rPr>
          <w:rFonts w:ascii="Times New Roman" w:hAnsi="Times New Roman"/>
          <w:b w:val="0"/>
          <w:i w:val="0"/>
        </w:rPr>
        <w:t>Sosnik and Seremeta (2015) reviewed spray-drying for both pure drug particles and drug-loaded polymeric carriers, articulating the trade-offs between yield, encapsulation efficiency and particle morphology [19]. Vehring (2008) provided the particle-engineering framework that underpins modern pharmaceutical spray drying [20]. Gharsallaoui et al. (2007) and Anandharamakrishnan and Ishwarya (2015) compiled the comparative performance of food- and pharmaceutical-grade biopolymer wall materials, including maltodextrin, gum arabic, whey protein, sodium caseinate and chitosan, for spray-dried encapsulation of lipophilic actives [21,22]. Estevinho et al. (2013) reviewed chitosan-based spray drying and emphasised its mucoadhesive behaviour, which is directly relevant to vaginal P4 delivery [23]. Makadia and Siegel (2011) and Danhier et al. (2012) summarised the use of poly(lactic-co-glycolic acid) (PLGA) for long-acting parenteral hormone microspheres [24,25].</w:t>
      </w:r>
    </w:p>
    <w:p>
      <w:pPr>
        <w:pStyle w:val="Heading2"/>
      </w:pPr>
      <w:r>
        <w:t>2.6 Research gap</w:t>
      </w:r>
    </w:p>
    <w:p>
      <w:r>
        <w:rPr>
          <w:rFonts w:ascii="Times New Roman" w:hAnsi="Times New Roman"/>
          <w:b w:val="0"/>
          <w:i w:val="0"/>
        </w:rPr>
        <w:t>Despite a mature literature on (a) repeat breeding, (b) P4 physiology, (c) commercial intravaginal P4 inserts and (d) biopolymer-based microencapsulation, integrated studies that combine the development and physico-chemical characterisation of a biodegradable biopolymer-based P4 delivery system with its in-vivo evaluation in repeat-breeder cattle - including plasma P4 profiling, oestrus response and conception rate - remain comparatively few in the peer-reviewed literature, particularly for low-cost food-grade carrier systems suited to smallholder and developing-country dairy systems. The present study is designed to address this gap.</w:t>
      </w:r>
    </w:p>
    <w:p>
      <w:pPr>
        <w:pStyle w:val="Heading1"/>
        <w:jc w:val="left"/>
      </w:pPr>
      <w:r>
        <w:t>3. RESEARCH GAP</w:t>
      </w:r>
    </w:p>
    <w:p>
      <w:r>
        <w:rPr>
          <w:rFonts w:ascii="Times New Roman" w:hAnsi="Times New Roman"/>
          <w:b w:val="0"/>
          <w:i w:val="0"/>
        </w:rPr>
        <w:t>Synthesis of the literature identifies the following specific gaps that the proposed work seeks to address:</w:t>
      </w:r>
    </w:p>
    <w:p>
      <w:pPr>
        <w:pStyle w:val="ListBullet"/>
        <w:jc w:val="both"/>
      </w:pPr>
      <w:r>
        <w:rPr>
          <w:rFonts w:ascii="Times New Roman" w:hAnsi="Times New Roman"/>
          <w:sz w:val="24"/>
        </w:rPr>
        <w:t>Persistently high herd-level prevalence of repeat breeding (10-30%) despite widespread adoption of Ovsynch- and CIDR-Synch-based protocols.</w:t>
      </w:r>
    </w:p>
    <w:p>
      <w:pPr>
        <w:pStyle w:val="ListBullet"/>
        <w:jc w:val="both"/>
      </w:pPr>
      <w:r>
        <w:rPr>
          <w:rFonts w:ascii="Times New Roman" w:hAnsi="Times New Roman"/>
          <w:sz w:val="24"/>
        </w:rPr>
        <w:t>Heavy commercial dependence on imported, non-biodegradable silicone-elastomer intravaginal P4 inserts (CIDR, PRID), which generate single-use polymer waste, exhibit a characteristic burst-and-decline release profile, and add substantially to the per-animal cost of synchronisation in smallholder dairy systems.</w:t>
      </w:r>
    </w:p>
    <w:p>
      <w:pPr>
        <w:pStyle w:val="ListBullet"/>
        <w:jc w:val="both"/>
      </w:pPr>
      <w:r>
        <w:rPr>
          <w:rFonts w:ascii="Times New Roman" w:hAnsi="Times New Roman"/>
          <w:sz w:val="24"/>
        </w:rPr>
        <w:t>Limited peer-reviewed evidence on biodegradable, biopolymer-based sustained-release P4 systems specifically validated in the repeat-breeder phenotype, with both pharmaceutical characterisation and reproductive end-points.</w:t>
      </w:r>
    </w:p>
    <w:p>
      <w:pPr>
        <w:pStyle w:val="ListBullet"/>
        <w:jc w:val="both"/>
      </w:pPr>
      <w:r>
        <w:rPr>
          <w:rFonts w:ascii="Times New Roman" w:hAnsi="Times New Roman"/>
          <w:sz w:val="24"/>
        </w:rPr>
        <w:t>Sparse integration of pharmaceutical (encapsulation efficiency, in-vitro release kinetics, stability) and clinical (plasma P4, oestrus response, conception rate) data within a single coherent study under tropical / subtropical field conditions.</w:t>
      </w:r>
    </w:p>
    <w:p>
      <w:pPr>
        <w:pStyle w:val="ListBullet"/>
        <w:jc w:val="both"/>
      </w:pPr>
      <w:r>
        <w:rPr>
          <w:rFonts w:ascii="Times New Roman" w:hAnsi="Times New Roman"/>
          <w:sz w:val="24"/>
        </w:rPr>
        <w:t>Lack of locally validated, low-cost formulation platforms suitable for adoption by cooperative dairies and veterinary extension services.</w:t>
      </w:r>
    </w:p>
    <w:p>
      <w:pPr>
        <w:pStyle w:val="Heading1"/>
        <w:jc w:val="left"/>
      </w:pPr>
      <w:r>
        <w:t>4. AIM OF THE STUDY</w:t>
      </w:r>
    </w:p>
    <w:p>
      <w:r>
        <w:rPr>
          <w:rFonts w:ascii="Times New Roman" w:hAnsi="Times New Roman"/>
          <w:b w:val="0"/>
          <w:i w:val="0"/>
        </w:rPr>
        <w:t>To develop and characterise a biopolymer-based progesterone delivery system, and to evaluate its efficacy in the management of repeat breeding in cattle, with a comparative reference to the standard CIDR-based protocol.</w:t>
      </w:r>
    </w:p>
    <w:p>
      <w:pPr>
        <w:pStyle w:val="Heading1"/>
        <w:jc w:val="left"/>
      </w:pPr>
      <w:r>
        <w:t>5. OBJECTIVES OF THE STUDY</w:t>
      </w:r>
    </w:p>
    <w:p>
      <w:pPr>
        <w:pStyle w:val="ListNumber"/>
        <w:jc w:val="both"/>
      </w:pPr>
      <w:r>
        <w:rPr>
          <w:rFonts w:ascii="Times New Roman" w:hAnsi="Times New Roman"/>
          <w:sz w:val="24"/>
        </w:rPr>
        <w:t>To formulate a progesterone-loaded microparticulate delivery system using biocompatible, biodegradable biopolymers (such as chitosan, alginate, gelatin, whey protein, gum arabic, maltodextrin or PLGA, alone or in blends) by the spray-drying method, with optimisation by Design of Experiments.</w:t>
      </w:r>
    </w:p>
    <w:p>
      <w:pPr>
        <w:pStyle w:val="ListNumber"/>
        <w:jc w:val="both"/>
      </w:pPr>
      <w:r>
        <w:rPr>
          <w:rFonts w:ascii="Times New Roman" w:hAnsi="Times New Roman"/>
          <w:sz w:val="24"/>
        </w:rPr>
        <w:t>To characterise the optimised formulation with respect to particle size and distribution, surface morphology (SEM), zeta potential, drug-polymer compatibility (FTIR, DSC), crystallinity (XRD), residual moisture, encapsulation efficiency, drug loading and flow properties.</w:t>
      </w:r>
    </w:p>
    <w:p>
      <w:pPr>
        <w:pStyle w:val="ListNumber"/>
        <w:jc w:val="both"/>
      </w:pPr>
      <w:r>
        <w:rPr>
          <w:rFonts w:ascii="Times New Roman" w:hAnsi="Times New Roman"/>
          <w:sz w:val="24"/>
        </w:rPr>
        <w:t>To evaluate the in-vitro progesterone release profile of the optimised formulation in simulated vaginal fluid and to fit the data to standard release-kinetic models (zero-order, first-order, Higuchi, Korsmeyer-Peppas, Hixson-Crowell, Weibull).</w:t>
      </w:r>
    </w:p>
    <w:p>
      <w:pPr>
        <w:pStyle w:val="ListNumber"/>
        <w:jc w:val="both"/>
      </w:pPr>
      <w:r>
        <w:rPr>
          <w:rFonts w:ascii="Times New Roman" w:hAnsi="Times New Roman"/>
          <w:sz w:val="24"/>
        </w:rPr>
        <w:t>To assess accelerated and real-time storage stability of the optimised formulation in line with ICH Q1A(R2) principles.</w:t>
      </w:r>
    </w:p>
    <w:p>
      <w:pPr>
        <w:pStyle w:val="ListNumber"/>
        <w:jc w:val="both"/>
      </w:pPr>
      <w:r>
        <w:rPr>
          <w:rFonts w:ascii="Times New Roman" w:hAnsi="Times New Roman"/>
          <w:sz w:val="24"/>
        </w:rPr>
        <w:t>To evaluate the in-vivo plasma progesterone profile in healthy cycling cows after intravaginal administration of the optimised formulation, and to compare it with that of a marketed CIDR device.</w:t>
      </w:r>
    </w:p>
    <w:p>
      <w:pPr>
        <w:pStyle w:val="ListNumber"/>
        <w:jc w:val="both"/>
      </w:pPr>
      <w:r>
        <w:rPr>
          <w:rFonts w:ascii="Times New Roman" w:hAnsi="Times New Roman"/>
          <w:sz w:val="24"/>
        </w:rPr>
        <w:t>To conduct a randomised controlled clinical trial in repeat-breeder cows comparing the new biopolymer-based formulation with a CIDR-based protocol, using oestrus response, services per conception, first-service conception rate and pregnancy rate at 30-45 days as primary outcome variables.</w:t>
      </w:r>
    </w:p>
    <w:p>
      <w:pPr>
        <w:pStyle w:val="ListNumber"/>
        <w:jc w:val="both"/>
      </w:pPr>
      <w:r>
        <w:rPr>
          <w:rFonts w:ascii="Times New Roman" w:hAnsi="Times New Roman"/>
          <w:sz w:val="24"/>
        </w:rPr>
        <w:t>To perform a preliminary cost-effectiveness analysis of the new formulation relative to the marketed CIDR insert under comparable field conditions.</w:t>
      </w:r>
    </w:p>
    <w:p>
      <w:pPr>
        <w:pStyle w:val="Heading1"/>
        <w:jc w:val="left"/>
      </w:pPr>
      <w:r>
        <w:t>6. HYPOTHESIS</w:t>
      </w:r>
    </w:p>
    <w:p>
      <w:r>
        <w:rPr>
          <w:rFonts w:ascii="Times New Roman" w:hAnsi="Times New Roman"/>
          <w:b w:val="0"/>
          <w:i w:val="0"/>
        </w:rPr>
        <w:t>It is hypothesised that a biodegradable biopolymer-based progesterone delivery system can be engineered to provide sustained vaginal release of progesterone over seven to nine days that is pharmacologically equivalent to a marketed CIDR device, while being more cost-effective and biodegradable, and that its use within a standard hormonal synchronisation protocol will improve oestrus response and conception rate in repeat-breeder cows compared with non-supplemented controls.</w:t>
      </w:r>
    </w:p>
    <w:p>
      <w:r>
        <w:rPr>
          <w:rFonts w:ascii="Times New Roman" w:hAnsi="Times New Roman"/>
          <w:b w:val="0"/>
          <w:i/>
        </w:rPr>
        <w:t>Null hypothesis (H0): There is no significant difference between the new biopolymer-based progesterone formulation and the marketed CIDR device in terms of in-vivo plasma P4 profile, oestrus response or conception rate in repeat-breeder cows.</w:t>
      </w:r>
    </w:p>
    <w:p>
      <w:r>
        <w:rPr>
          <w:rFonts w:ascii="Times New Roman" w:hAnsi="Times New Roman"/>
          <w:b w:val="0"/>
          <w:i/>
        </w:rPr>
        <w:t>Alternative hypothesis (H1): The new biopolymer-based progesterone formulation will produce an in-vivo plasma P4 profile non-inferior to the marketed CIDR device and will achieve a conception rate at first service in repeat-breeder cows that is at least equivalent to that obtained with the CIDR-based protocol, at lower per-animal cost.</w:t>
      </w:r>
    </w:p>
    <w:p>
      <w:pPr>
        <w:pStyle w:val="Heading1"/>
        <w:jc w:val="left"/>
      </w:pPr>
      <w:r>
        <w:t>7. MATERIALS AND METHODS</w:t>
      </w:r>
    </w:p>
    <w:p>
      <w:pPr>
        <w:pStyle w:val="Heading2"/>
      </w:pPr>
      <w:r>
        <w:t>7.1 Study design</w:t>
      </w:r>
    </w:p>
    <w:p>
      <w:r>
        <w:rPr>
          <w:rFonts w:ascii="Times New Roman" w:hAnsi="Times New Roman"/>
          <w:b w:val="0"/>
          <w:i w:val="0"/>
        </w:rPr>
        <w:t>The study will be executed in three sequential phases: Phase I - formulation development and physico-chemical characterisation; Phase II - in-vitro release and stability evaluation; Phase III - in-vivo pharmacokinetic and clinical trial in repeat-breeder cows. All animal procedures will be conducted only after prior written approval of the Institutional Animal Ethics Committee (IAEC) / CPCSEA and the institutional biosafety committee, and in accordance with the ARRIVE 2.0 reporting guidelines.</w:t>
      </w:r>
    </w:p>
    <w:p>
      <w:pPr>
        <w:pStyle w:val="Heading2"/>
      </w:pPr>
      <w:r>
        <w:t>7.2 Phase I: Formulation development</w:t>
      </w:r>
    </w:p>
    <w:p>
      <w:r>
        <w:rPr>
          <w:rFonts w:ascii="Times New Roman" w:hAnsi="Times New Roman"/>
          <w:b w:val="0"/>
          <w:i w:val="0"/>
        </w:rPr>
        <w:t>Pharmaceutical-grade progesterone (USP/IP, purity &gt;= 99%) will be procured from an indexed supplier with a Certificate of Analysis. Candidate biopolymers - chitosan, sodium alginate, gelatin, whey protein isolate, sodium caseinate, gum arabic, maltodextrin, modified (OSA) starch, hydroxypropyl methylcellulose (HPMC), ethyl cellulose, hydroxypropyl-beta-cyclodextrin and poly(lactic-co-glycolic acid) (PLGA) - will be obtained from validated suppliers in food or pharmaceutical grade.</w:t>
      </w:r>
    </w:p>
    <w:p>
      <w:r>
        <w:rPr>
          <w:rFonts w:ascii="Times New Roman" w:hAnsi="Times New Roman"/>
          <w:b w:val="0"/>
          <w:i w:val="0"/>
        </w:rPr>
        <w:t>Drug-polymer compatibility will be screened a priori using FTIR spectroscopy and DSC of physical mixtures (1:1 w/w), with shifts of the progesterone melting endotherm at approximately 128-131 deg C and changes in carbonyl / hydroxyl absorption bands as the principal indicators of interaction.</w:t>
      </w:r>
    </w:p>
    <w:p>
      <w:r>
        <w:rPr>
          <w:rFonts w:ascii="Times New Roman" w:hAnsi="Times New Roman"/>
          <w:b w:val="0"/>
          <w:i w:val="0"/>
        </w:rPr>
        <w:t>Spray drying will be performed on a laboratory-scale dryer (Buchi Mini Spray Dryer B-290 or equivalent) operated within an evidence-based central window for thermolabile lipophilic actives [19,20,21]:</w:t>
      </w:r>
    </w:p>
    <w:p>
      <w:pPr>
        <w:pStyle w:val="ListBullet"/>
        <w:jc w:val="both"/>
      </w:pPr>
      <w:r>
        <w:rPr>
          <w:rFonts w:ascii="Times New Roman" w:hAnsi="Times New Roman"/>
          <w:sz w:val="24"/>
        </w:rPr>
        <w:t>Inlet temperature: 130-180 deg C</w:t>
      </w:r>
    </w:p>
    <w:p>
      <w:pPr>
        <w:pStyle w:val="ListBullet"/>
        <w:jc w:val="both"/>
      </w:pPr>
      <w:r>
        <w:rPr>
          <w:rFonts w:ascii="Times New Roman" w:hAnsi="Times New Roman"/>
          <w:sz w:val="24"/>
        </w:rPr>
        <w:t>Outlet temperature: 70-95 deg C (allowed to float)</w:t>
      </w:r>
    </w:p>
    <w:p>
      <w:pPr>
        <w:pStyle w:val="ListBullet"/>
        <w:jc w:val="both"/>
      </w:pPr>
      <w:r>
        <w:rPr>
          <w:rFonts w:ascii="Times New Roman" w:hAnsi="Times New Roman"/>
          <w:sz w:val="24"/>
        </w:rPr>
        <w:t>Feed flow rate: 4-12 mL/min</w:t>
      </w:r>
    </w:p>
    <w:p>
      <w:pPr>
        <w:pStyle w:val="ListBullet"/>
        <w:jc w:val="both"/>
      </w:pPr>
      <w:r>
        <w:rPr>
          <w:rFonts w:ascii="Times New Roman" w:hAnsi="Times New Roman"/>
          <w:sz w:val="24"/>
        </w:rPr>
        <w:t>Atomisation air pressure: 2-6 bar</w:t>
      </w:r>
    </w:p>
    <w:p>
      <w:pPr>
        <w:pStyle w:val="ListBullet"/>
        <w:jc w:val="both"/>
      </w:pPr>
      <w:r>
        <w:rPr>
          <w:rFonts w:ascii="Times New Roman" w:hAnsi="Times New Roman"/>
          <w:sz w:val="24"/>
        </w:rPr>
        <w:t>Aspirator setting: 90-100% (approximately 35-40 m^3/h)</w:t>
      </w:r>
    </w:p>
    <w:p>
      <w:pPr>
        <w:pStyle w:val="ListBullet"/>
        <w:jc w:val="both"/>
      </w:pPr>
      <w:r>
        <w:rPr>
          <w:rFonts w:ascii="Times New Roman" w:hAnsi="Times New Roman"/>
          <w:sz w:val="24"/>
        </w:rPr>
        <w:t>Feed solid content: 10-25% w/v</w:t>
      </w:r>
    </w:p>
    <w:p>
      <w:pPr>
        <w:pStyle w:val="ListBullet"/>
        <w:jc w:val="both"/>
      </w:pPr>
      <w:r>
        <w:rPr>
          <w:rFonts w:ascii="Times New Roman" w:hAnsi="Times New Roman"/>
          <w:sz w:val="24"/>
        </w:rPr>
        <w:t>Drug:polymer ratio: 1:5, 1:10, 1:20 w/w</w:t>
      </w:r>
    </w:p>
    <w:p>
      <w:r>
        <w:rPr>
          <w:rFonts w:ascii="Times New Roman" w:hAnsi="Times New Roman"/>
          <w:b w:val="0"/>
          <w:i w:val="0"/>
        </w:rPr>
        <w:t>A factorial / central-composite Design of Experiments will be used to identify the optimal combination of factors maximising encapsulation efficiency and process yield, in accordance with established pharmaceutical practice.</w:t>
      </w:r>
    </w:p>
    <w:p>
      <w:pPr>
        <w:pStyle w:val="Heading2"/>
      </w:pPr>
      <w:r>
        <w:t>7.3 Phase II: In-vitro characterisation</w:t>
      </w:r>
    </w:p>
    <w:p>
      <w:pPr>
        <w:pStyle w:val="ListBullet"/>
        <w:jc w:val="both"/>
      </w:pPr>
      <w:r>
        <w:rPr>
          <w:rFonts w:ascii="Times New Roman" w:hAnsi="Times New Roman"/>
          <w:sz w:val="24"/>
        </w:rPr>
        <w:t>Particle size and polydispersity index: laser diffraction (Mastersizer) and dynamic light scattering (Zetasizer).</w:t>
      </w:r>
    </w:p>
    <w:p>
      <w:pPr>
        <w:pStyle w:val="ListBullet"/>
        <w:jc w:val="both"/>
      </w:pPr>
      <w:r>
        <w:rPr>
          <w:rFonts w:ascii="Times New Roman" w:hAnsi="Times New Roman"/>
          <w:sz w:val="24"/>
        </w:rPr>
        <w:t>Surface morphology: scanning electron microscopy (SEM); TEM for sub-micron particles where applicable.</w:t>
      </w:r>
    </w:p>
    <w:p>
      <w:pPr>
        <w:pStyle w:val="ListBullet"/>
        <w:jc w:val="both"/>
      </w:pPr>
      <w:r>
        <w:rPr>
          <w:rFonts w:ascii="Times New Roman" w:hAnsi="Times New Roman"/>
          <w:sz w:val="24"/>
        </w:rPr>
        <w:t>Zeta potential: electrophoretic mobility at physiological pH.</w:t>
      </w:r>
    </w:p>
    <w:p>
      <w:pPr>
        <w:pStyle w:val="ListBullet"/>
        <w:jc w:val="both"/>
      </w:pPr>
      <w:r>
        <w:rPr>
          <w:rFonts w:ascii="Times New Roman" w:hAnsi="Times New Roman"/>
          <w:sz w:val="24"/>
        </w:rPr>
        <w:t>Solid-state characterisation: DSC and powder XRD.</w:t>
      </w:r>
    </w:p>
    <w:p>
      <w:pPr>
        <w:pStyle w:val="ListBullet"/>
        <w:jc w:val="both"/>
      </w:pPr>
      <w:r>
        <w:rPr>
          <w:rFonts w:ascii="Times New Roman" w:hAnsi="Times New Roman"/>
          <w:sz w:val="24"/>
        </w:rPr>
        <w:t>Drug-polymer interaction: FTIR.</w:t>
      </w:r>
    </w:p>
    <w:p>
      <w:pPr>
        <w:pStyle w:val="ListBullet"/>
        <w:jc w:val="both"/>
      </w:pPr>
      <w:r>
        <w:rPr>
          <w:rFonts w:ascii="Times New Roman" w:hAnsi="Times New Roman"/>
          <w:sz w:val="24"/>
        </w:rPr>
        <w:t>Residual moisture: Karl Fischer titration / TGA.</w:t>
      </w:r>
    </w:p>
    <w:p>
      <w:pPr>
        <w:pStyle w:val="ListBullet"/>
        <w:jc w:val="both"/>
      </w:pPr>
      <w:r>
        <w:rPr>
          <w:rFonts w:ascii="Times New Roman" w:hAnsi="Times New Roman"/>
          <w:sz w:val="24"/>
        </w:rPr>
        <w:t>Encapsulation efficiency (EE) and drug loading (DL): determined by validated reversed-phase HPLC (C18 column, methanol-water or acetonitrile-water mobile phase, UV detection at approximately 240 nm).</w:t>
      </w:r>
    </w:p>
    <w:p>
      <w:pPr>
        <w:pStyle w:val="ListBullet"/>
        <w:jc w:val="both"/>
      </w:pPr>
      <w:r>
        <w:rPr>
          <w:rFonts w:ascii="Times New Roman" w:hAnsi="Times New Roman"/>
          <w:sz w:val="24"/>
        </w:rPr>
        <w:t>In-vitro release: USP Type II apparatus or dialysis-bag method in simulated vaginal fluid (Owen and Katz, pH 4.2) at 37 +/- 0.5 deg C; sampling up to 240 hours; data fitted to zero-order, first-order, Higuchi, Korsmeyer-Peppas, Hixson-Crowell and Weibull models with selection by adjusted R^2 and AIC.</w:t>
      </w:r>
    </w:p>
    <w:p>
      <w:pPr>
        <w:pStyle w:val="ListBullet"/>
        <w:jc w:val="both"/>
      </w:pPr>
      <w:r>
        <w:rPr>
          <w:rFonts w:ascii="Times New Roman" w:hAnsi="Times New Roman"/>
          <w:sz w:val="24"/>
        </w:rPr>
        <w:t>Stability: accelerated 40 +/- 2 deg C / 75 +/- 5% RH for 3 months and long-term 25 +/- 2 deg C / 60 +/- 5% RH for 6 months in line with ICH Q1A(R2).</w:t>
      </w:r>
    </w:p>
    <w:p>
      <w:pPr>
        <w:pStyle w:val="Heading2"/>
      </w:pPr>
      <w:r>
        <w:t>7.4 Phase III: In-vivo evaluation</w:t>
      </w:r>
    </w:p>
    <w:p>
      <w:r>
        <w:rPr>
          <w:b/>
        </w:rPr>
        <w:t>7.4.1 Pharmacokinetic study in healthy cycling cows</w:t>
      </w:r>
    </w:p>
    <w:p>
      <w:r>
        <w:rPr>
          <w:rFonts w:ascii="Times New Roman" w:hAnsi="Times New Roman"/>
          <w:b w:val="0"/>
          <w:i w:val="0"/>
        </w:rPr>
        <w:t>Healthy cycling cows (n = 6 per group, randomised cross-over design with adequate wash-out) will receive either the optimised biopolymer-based formulation or a marketed CIDR insert intravaginally for nine days. Jugular blood will be sampled at Days 0, 1, 2, 3, 5, 7, 9 and on Days 1, 2 and 3 post-removal. Plasma progesterone will be assayed by validated radio-immunoassay or ELISA. Pharmacokinetic parameters (Cmax, Tmax, AUC0-t, AUC0-inf, mean plasma P4) will be derived by non-compartmental analysis. Non-inferiority of the new formulation to CIDR will be tested using a pre-specified non-inferiority margin agreed with the supervisory committee.</w:t>
      </w:r>
    </w:p>
    <w:p>
      <w:r>
        <w:rPr>
          <w:b/>
        </w:rPr>
        <w:t>7.4.2 Clinical trial in repeat-breeder cows</w:t>
      </w:r>
    </w:p>
    <w:p>
      <w:r>
        <w:rPr>
          <w:rFonts w:ascii="Times New Roman" w:hAnsi="Times New Roman"/>
          <w:b w:val="0"/>
          <w:i w:val="0"/>
        </w:rPr>
        <w:t>A randomised, controlled clinical trial will be conducted in repeat-breeder cows from organised dairy farms / cooperative herds.</w:t>
      </w:r>
    </w:p>
    <w:p>
      <w:r>
        <w:rPr>
          <w:b/>
        </w:rPr>
        <w:t>Inclusion criteria:</w:t>
      </w:r>
    </w:p>
    <w:p>
      <w:pPr>
        <w:pStyle w:val="ListBullet"/>
        <w:jc w:val="both"/>
      </w:pPr>
      <w:r>
        <w:rPr>
          <w:rFonts w:ascii="Times New Roman" w:hAnsi="Times New Roman"/>
          <w:sz w:val="24"/>
        </w:rPr>
        <w:t>Cyclic dairy cows of comparable breed and parity.</w:t>
      </w:r>
    </w:p>
    <w:p>
      <w:pPr>
        <w:pStyle w:val="ListBullet"/>
        <w:jc w:val="both"/>
      </w:pPr>
      <w:r>
        <w:rPr>
          <w:rFonts w:ascii="Times New Roman" w:hAnsi="Times New Roman"/>
          <w:sz w:val="24"/>
        </w:rPr>
        <w:t>History of &gt;= 3 unsuccessful artificial inseminations with semen of proven fertility.</w:t>
      </w:r>
    </w:p>
    <w:p>
      <w:pPr>
        <w:pStyle w:val="ListBullet"/>
        <w:jc w:val="both"/>
      </w:pPr>
      <w:r>
        <w:rPr>
          <w:rFonts w:ascii="Times New Roman" w:hAnsi="Times New Roman"/>
          <w:sz w:val="24"/>
        </w:rPr>
        <w:t>Body condition score (BCS) &gt;= 2.5 / 5.</w:t>
      </w:r>
    </w:p>
    <w:p>
      <w:pPr>
        <w:pStyle w:val="ListBullet"/>
        <w:jc w:val="both"/>
      </w:pPr>
      <w:r>
        <w:rPr>
          <w:rFonts w:ascii="Times New Roman" w:hAnsi="Times New Roman"/>
          <w:sz w:val="24"/>
        </w:rPr>
        <w:t>Normal genital examination per rectum and by transrectal ultrasonography (no anatomical, neoplastic or major infectious abnormality).</w:t>
      </w:r>
    </w:p>
    <w:p>
      <w:pPr>
        <w:pStyle w:val="ListBullet"/>
        <w:jc w:val="both"/>
      </w:pPr>
      <w:r>
        <w:rPr>
          <w:rFonts w:ascii="Times New Roman" w:hAnsi="Times New Roman"/>
          <w:sz w:val="24"/>
        </w:rPr>
        <w:t>At least 60 days post-partum at enrolment.</w:t>
      </w:r>
    </w:p>
    <w:p>
      <w:pPr>
        <w:pStyle w:val="ListBullet"/>
        <w:jc w:val="both"/>
      </w:pPr>
      <w:r>
        <w:rPr>
          <w:rFonts w:ascii="Times New Roman" w:hAnsi="Times New Roman"/>
          <w:sz w:val="24"/>
        </w:rPr>
        <w:t>Owner consent.</w:t>
      </w:r>
    </w:p>
    <w:p>
      <w:r>
        <w:rPr>
          <w:b/>
        </w:rPr>
        <w:t>Exclusion criteria:</w:t>
      </w:r>
    </w:p>
    <w:p>
      <w:pPr>
        <w:pStyle w:val="ListBullet"/>
        <w:jc w:val="both"/>
      </w:pPr>
      <w:r>
        <w:rPr>
          <w:rFonts w:ascii="Times New Roman" w:hAnsi="Times New Roman"/>
          <w:sz w:val="24"/>
        </w:rPr>
        <w:t>Clinical or sub-clinical endometritis (Metricheck score, cytology) at screening.</w:t>
      </w:r>
    </w:p>
    <w:p>
      <w:pPr>
        <w:pStyle w:val="ListBullet"/>
        <w:jc w:val="both"/>
      </w:pPr>
      <w:r>
        <w:rPr>
          <w:rFonts w:ascii="Times New Roman" w:hAnsi="Times New Roman"/>
          <w:sz w:val="24"/>
        </w:rPr>
        <w:t>Anatomical abnormalities of the genital tract.</w:t>
      </w:r>
    </w:p>
    <w:p>
      <w:pPr>
        <w:pStyle w:val="ListBullet"/>
        <w:jc w:val="both"/>
      </w:pPr>
      <w:r>
        <w:rPr>
          <w:rFonts w:ascii="Times New Roman" w:hAnsi="Times New Roman"/>
          <w:sz w:val="24"/>
        </w:rPr>
        <w:t>Concurrent systemic illness or lameness.</w:t>
      </w:r>
    </w:p>
    <w:p>
      <w:pPr>
        <w:pStyle w:val="ListBullet"/>
        <w:jc w:val="both"/>
      </w:pPr>
      <w:r>
        <w:rPr>
          <w:rFonts w:ascii="Times New Roman" w:hAnsi="Times New Roman"/>
          <w:sz w:val="24"/>
        </w:rPr>
        <w:t>Pregnancy at enrolment (excluded by ultrasonography).</w:t>
      </w:r>
    </w:p>
    <w:p>
      <w:r>
        <w:rPr>
          <w:b/>
        </w:rPr>
        <w:t>Sample size:</w:t>
      </w:r>
    </w:p>
    <w:p>
      <w:r>
        <w:rPr>
          <w:rFonts w:ascii="Times New Roman" w:hAnsi="Times New Roman"/>
          <w:b w:val="0"/>
          <w:i w:val="0"/>
        </w:rPr>
        <w:t>Sample size will be estimated assuming a baseline conception rate of approximately 30-35% in untreated repeat-breeder cows and a clinically meaningful improvement of 15-20 percentage points, alpha = 0.05, power = 0.80, two-sided test. A minimum of 25-30 cows per arm is anticipated, with the final sample size confirmed by formal power calculation (G*Power) before enrolment begins.</w:t>
      </w:r>
    </w:p>
    <w:p>
      <w:r>
        <w:rPr>
          <w:b/>
        </w:rPr>
        <w:t>Treatment groups:</w:t>
      </w:r>
    </w:p>
    <w:p>
      <w:pPr>
        <w:jc w:val="left"/>
      </w:pPr>
      <w:r>
        <w:rPr>
          <w:rFonts w:ascii="Times New Roman" w:hAnsi="Times New Roman"/>
          <w:b/>
          <w:i/>
          <w:sz w:val="22"/>
        </w:rPr>
        <w:t>Table 1. Treatment groups in the clinical trial.</w:t>
      </w:r>
    </w:p>
    <w:tbl>
      <w:tblPr>
        <w:tblStyle w:val="LightGrid-Accent1"/>
        <w:tblW w:type="auto" w:w="0"/>
        <w:jc w:val="center"/>
        <w:tblLook w:firstColumn="1" w:firstRow="1" w:lastColumn="0" w:lastRow="0" w:noHBand="0" w:noVBand="1" w:val="04A0"/>
      </w:tblPr>
      <w:tblGrid>
        <w:gridCol w:w="2280"/>
        <w:gridCol w:w="2280"/>
        <w:gridCol w:w="2280"/>
        <w:gridCol w:w="2280"/>
      </w:tblGrid>
      <w:tr>
        <w:tc>
          <w:tcPr>
            <w:tcW w:type="dxa" w:w="2280"/>
            <w:shd w:val="clear" w:color="auto" w:fill="1F4E78"/>
            <w:vAlign w:val="center"/>
          </w:tcPr>
          <w:p>
            <w:pPr>
              <w:spacing w:after="0"/>
              <w:jc w:val="center"/>
            </w:pPr>
            <w:r>
              <w:rPr>
                <w:rFonts w:ascii="Times New Roman" w:hAnsi="Times New Roman"/>
                <w:b/>
                <w:color w:val="FFFFFF"/>
                <w:sz w:val="20"/>
              </w:rPr>
              <w:t>Group</w:t>
            </w:r>
          </w:p>
        </w:tc>
        <w:tc>
          <w:tcPr>
            <w:tcW w:type="dxa" w:w="2280"/>
            <w:shd w:val="clear" w:color="auto" w:fill="1F4E78"/>
            <w:vAlign w:val="center"/>
          </w:tcPr>
          <w:p>
            <w:pPr>
              <w:spacing w:after="0"/>
              <w:jc w:val="center"/>
            </w:pPr>
            <w:r>
              <w:rPr>
                <w:rFonts w:ascii="Times New Roman" w:hAnsi="Times New Roman"/>
                <w:b/>
                <w:color w:val="FFFFFF"/>
                <w:sz w:val="20"/>
              </w:rPr>
              <w:t>n (target)</w:t>
            </w:r>
          </w:p>
        </w:tc>
        <w:tc>
          <w:tcPr>
            <w:tcW w:type="dxa" w:w="2280"/>
            <w:shd w:val="clear" w:color="auto" w:fill="1F4E78"/>
            <w:vAlign w:val="center"/>
          </w:tcPr>
          <w:p>
            <w:pPr>
              <w:spacing w:after="0"/>
              <w:jc w:val="center"/>
            </w:pPr>
            <w:r>
              <w:rPr>
                <w:rFonts w:ascii="Times New Roman" w:hAnsi="Times New Roman"/>
                <w:b/>
                <w:color w:val="FFFFFF"/>
                <w:sz w:val="20"/>
              </w:rPr>
              <w:t>Intervention</w:t>
            </w:r>
          </w:p>
        </w:tc>
        <w:tc>
          <w:tcPr>
            <w:tcW w:type="dxa" w:w="2280"/>
            <w:shd w:val="clear" w:color="auto" w:fill="1F4E78"/>
            <w:vAlign w:val="center"/>
          </w:tcPr>
          <w:p>
            <w:pPr>
              <w:spacing w:after="0"/>
              <w:jc w:val="center"/>
            </w:pPr>
            <w:r>
              <w:rPr>
                <w:rFonts w:ascii="Times New Roman" w:hAnsi="Times New Roman"/>
                <w:b/>
                <w:color w:val="FFFFFF"/>
                <w:sz w:val="20"/>
              </w:rPr>
              <w:t>Synchronisation backbone</w:t>
            </w:r>
          </w:p>
        </w:tc>
      </w:tr>
      <w:tr>
        <w:tc>
          <w:tcPr>
            <w:tcW w:type="dxa" w:w="2280"/>
            <w:vAlign w:val="center"/>
          </w:tcPr>
          <w:p>
            <w:pPr>
              <w:spacing w:after="0"/>
              <w:jc w:val="left"/>
            </w:pPr>
            <w:r>
              <w:rPr>
                <w:rFonts w:ascii="Times New Roman" w:hAnsi="Times New Roman"/>
                <w:b/>
                <w:sz w:val="20"/>
              </w:rPr>
              <w:t>G1 - Control (untreated)</w:t>
            </w:r>
          </w:p>
        </w:tc>
        <w:tc>
          <w:tcPr>
            <w:tcW w:type="dxa" w:w="2280"/>
            <w:vAlign w:val="center"/>
          </w:tcPr>
          <w:p>
            <w:pPr>
              <w:spacing w:after="0"/>
              <w:jc w:val="left"/>
            </w:pPr>
            <w:r>
              <w:rPr>
                <w:rFonts w:ascii="Times New Roman" w:hAnsi="Times New Roman"/>
                <w:b w:val="0"/>
                <w:sz w:val="20"/>
              </w:rPr>
              <w:t>25-30</w:t>
            </w:r>
          </w:p>
        </w:tc>
        <w:tc>
          <w:tcPr>
            <w:tcW w:type="dxa" w:w="2280"/>
            <w:vAlign w:val="center"/>
          </w:tcPr>
          <w:p>
            <w:pPr>
              <w:spacing w:after="0"/>
              <w:jc w:val="left"/>
            </w:pPr>
            <w:r>
              <w:rPr>
                <w:rFonts w:ascii="Times New Roman" w:hAnsi="Times New Roman"/>
                <w:b w:val="0"/>
                <w:sz w:val="20"/>
              </w:rPr>
              <w:t>Standard AI on detected oestrus, no P4 supplementation</w:t>
            </w:r>
          </w:p>
        </w:tc>
        <w:tc>
          <w:tcPr>
            <w:tcW w:type="dxa" w:w="2280"/>
            <w:vAlign w:val="center"/>
          </w:tcPr>
          <w:p>
            <w:pPr>
              <w:spacing w:after="0"/>
              <w:jc w:val="left"/>
            </w:pPr>
            <w:r>
              <w:rPr>
                <w:rFonts w:ascii="Times New Roman" w:hAnsi="Times New Roman"/>
                <w:b w:val="0"/>
                <w:sz w:val="20"/>
              </w:rPr>
              <w:t>PGF2-alpha based oestrus induction only</w:t>
            </w:r>
          </w:p>
        </w:tc>
      </w:tr>
      <w:tr>
        <w:tc>
          <w:tcPr>
            <w:tcW w:type="dxa" w:w="2280"/>
            <w:shd w:val="clear" w:color="auto" w:fill="F2F2F2"/>
            <w:vAlign w:val="center"/>
          </w:tcPr>
          <w:p>
            <w:pPr>
              <w:spacing w:after="0"/>
              <w:jc w:val="left"/>
            </w:pPr>
            <w:r>
              <w:rPr>
                <w:rFonts w:ascii="Times New Roman" w:hAnsi="Times New Roman"/>
                <w:b/>
                <w:sz w:val="20"/>
              </w:rPr>
              <w:t>G2 - CIDR reference</w:t>
            </w:r>
          </w:p>
        </w:tc>
        <w:tc>
          <w:tcPr>
            <w:tcW w:type="dxa" w:w="2280"/>
            <w:shd w:val="clear" w:color="auto" w:fill="F2F2F2"/>
            <w:vAlign w:val="center"/>
          </w:tcPr>
          <w:p>
            <w:pPr>
              <w:spacing w:after="0"/>
              <w:jc w:val="left"/>
            </w:pPr>
            <w:r>
              <w:rPr>
                <w:rFonts w:ascii="Times New Roman" w:hAnsi="Times New Roman"/>
                <w:b w:val="0"/>
                <w:sz w:val="20"/>
              </w:rPr>
              <w:t>25-30</w:t>
            </w:r>
          </w:p>
        </w:tc>
        <w:tc>
          <w:tcPr>
            <w:tcW w:type="dxa" w:w="2280"/>
            <w:shd w:val="clear" w:color="auto" w:fill="F2F2F2"/>
            <w:vAlign w:val="center"/>
          </w:tcPr>
          <w:p>
            <w:pPr>
              <w:spacing w:after="0"/>
              <w:jc w:val="left"/>
            </w:pPr>
            <w:r>
              <w:rPr>
                <w:rFonts w:ascii="Times New Roman" w:hAnsi="Times New Roman"/>
                <w:b w:val="0"/>
                <w:sz w:val="20"/>
              </w:rPr>
              <w:t>Marketed CIDR insert intravaginally for 7-9 days</w:t>
            </w:r>
          </w:p>
        </w:tc>
        <w:tc>
          <w:tcPr>
            <w:tcW w:type="dxa" w:w="2280"/>
            <w:shd w:val="clear" w:color="auto" w:fill="F2F2F2"/>
            <w:vAlign w:val="center"/>
          </w:tcPr>
          <w:p>
            <w:pPr>
              <w:spacing w:after="0"/>
              <w:jc w:val="left"/>
            </w:pPr>
            <w:r>
              <w:rPr>
                <w:rFonts w:ascii="Times New Roman" w:hAnsi="Times New Roman"/>
                <w:b w:val="0"/>
                <w:sz w:val="20"/>
              </w:rPr>
              <w:t>GnRH on Day 0 - CIDR Day 0-7 - PGF2-alpha on Day 7 - GnRH + AI</w:t>
            </w:r>
          </w:p>
        </w:tc>
      </w:tr>
      <w:tr>
        <w:tc>
          <w:tcPr>
            <w:tcW w:type="dxa" w:w="2280"/>
            <w:vAlign w:val="center"/>
          </w:tcPr>
          <w:p>
            <w:pPr>
              <w:spacing w:after="0"/>
              <w:jc w:val="left"/>
            </w:pPr>
            <w:r>
              <w:rPr>
                <w:rFonts w:ascii="Times New Roman" w:hAnsi="Times New Roman"/>
                <w:b/>
                <w:sz w:val="20"/>
              </w:rPr>
              <w:t>G3 - New formulation</w:t>
            </w:r>
          </w:p>
        </w:tc>
        <w:tc>
          <w:tcPr>
            <w:tcW w:type="dxa" w:w="2280"/>
            <w:vAlign w:val="center"/>
          </w:tcPr>
          <w:p>
            <w:pPr>
              <w:spacing w:after="0"/>
              <w:jc w:val="left"/>
            </w:pPr>
            <w:r>
              <w:rPr>
                <w:rFonts w:ascii="Times New Roman" w:hAnsi="Times New Roman"/>
                <w:b w:val="0"/>
                <w:sz w:val="20"/>
              </w:rPr>
              <w:t>25-30</w:t>
            </w:r>
          </w:p>
        </w:tc>
        <w:tc>
          <w:tcPr>
            <w:tcW w:type="dxa" w:w="2280"/>
            <w:vAlign w:val="center"/>
          </w:tcPr>
          <w:p>
            <w:pPr>
              <w:spacing w:after="0"/>
              <w:jc w:val="left"/>
            </w:pPr>
            <w:r>
              <w:rPr>
                <w:rFonts w:ascii="Times New Roman" w:hAnsi="Times New Roman"/>
                <w:b w:val="0"/>
                <w:sz w:val="20"/>
              </w:rPr>
              <w:t>Biopolymer-based P4 microparticulate insert intravaginally for 7-9 days</w:t>
            </w:r>
          </w:p>
        </w:tc>
        <w:tc>
          <w:tcPr>
            <w:tcW w:type="dxa" w:w="2280"/>
            <w:vAlign w:val="center"/>
          </w:tcPr>
          <w:p>
            <w:pPr>
              <w:spacing w:after="0"/>
              <w:jc w:val="left"/>
            </w:pPr>
            <w:r>
              <w:rPr>
                <w:rFonts w:ascii="Times New Roman" w:hAnsi="Times New Roman"/>
                <w:b w:val="0"/>
                <w:sz w:val="20"/>
              </w:rPr>
              <w:t>GnRH on Day 0 - new insert Day 0-7 - PGF2-alpha on Day 7 - GnRH + AI</w:t>
            </w:r>
          </w:p>
        </w:tc>
      </w:tr>
    </w:tbl>
    <w:p/>
    <w:p>
      <w:r>
        <w:rPr>
          <w:b/>
        </w:rPr>
        <w:t>Outcome measures:</w:t>
      </w:r>
    </w:p>
    <w:p>
      <w:pPr>
        <w:pStyle w:val="ListBullet"/>
        <w:jc w:val="both"/>
      </w:pPr>
      <w:r>
        <w:rPr>
          <w:rFonts w:ascii="Times New Roman" w:hAnsi="Times New Roman"/>
          <w:sz w:val="24"/>
        </w:rPr>
        <w:t>Plasma progesterone profile (subset of cows in each arm) during the treatment window.</w:t>
      </w:r>
    </w:p>
    <w:p>
      <w:pPr>
        <w:pStyle w:val="ListBullet"/>
        <w:jc w:val="both"/>
      </w:pPr>
      <w:r>
        <w:rPr>
          <w:rFonts w:ascii="Times New Roman" w:hAnsi="Times New Roman"/>
          <w:sz w:val="24"/>
        </w:rPr>
        <w:t>Ovarian response by transrectal ultrasonography (follicle dynamics, corpus luteum diameter on Days 0, 7, 14).</w:t>
      </w:r>
    </w:p>
    <w:p>
      <w:pPr>
        <w:pStyle w:val="ListBullet"/>
        <w:jc w:val="both"/>
      </w:pPr>
      <w:r>
        <w:rPr>
          <w:rFonts w:ascii="Times New Roman" w:hAnsi="Times New Roman"/>
          <w:sz w:val="24"/>
        </w:rPr>
        <w:t>Oestrus response rate and time of onset of oestrus following device removal.</w:t>
      </w:r>
    </w:p>
    <w:p>
      <w:pPr>
        <w:pStyle w:val="ListBullet"/>
        <w:jc w:val="both"/>
      </w:pPr>
      <w:r>
        <w:rPr>
          <w:rFonts w:ascii="Times New Roman" w:hAnsi="Times New Roman"/>
          <w:sz w:val="24"/>
        </w:rPr>
        <w:t>First-service conception rate at 30-45 days post-AI by transrectal ultrasonography.</w:t>
      </w:r>
    </w:p>
    <w:p>
      <w:pPr>
        <w:pStyle w:val="ListBullet"/>
        <w:jc w:val="both"/>
      </w:pPr>
      <w:r>
        <w:rPr>
          <w:rFonts w:ascii="Times New Roman" w:hAnsi="Times New Roman"/>
          <w:sz w:val="24"/>
        </w:rPr>
        <w:t>Overall pregnancy rate within the trial window.</w:t>
      </w:r>
    </w:p>
    <w:p>
      <w:pPr>
        <w:pStyle w:val="ListBullet"/>
        <w:jc w:val="both"/>
      </w:pPr>
      <w:r>
        <w:rPr>
          <w:rFonts w:ascii="Times New Roman" w:hAnsi="Times New Roman"/>
          <w:sz w:val="24"/>
        </w:rPr>
        <w:t>Services per conception and days open.</w:t>
      </w:r>
    </w:p>
    <w:p>
      <w:pPr>
        <w:pStyle w:val="ListBullet"/>
        <w:jc w:val="both"/>
      </w:pPr>
      <w:r>
        <w:rPr>
          <w:rFonts w:ascii="Times New Roman" w:hAnsi="Times New Roman"/>
          <w:sz w:val="24"/>
        </w:rPr>
        <w:t>Adverse events (vaginitis, device retention failure, abnormal discharge).</w:t>
      </w:r>
    </w:p>
    <w:p>
      <w:pPr>
        <w:pStyle w:val="ListBullet"/>
        <w:jc w:val="both"/>
      </w:pPr>
      <w:r>
        <w:rPr>
          <w:rFonts w:ascii="Times New Roman" w:hAnsi="Times New Roman"/>
          <w:sz w:val="24"/>
        </w:rPr>
        <w:t>Per-animal direct cost of the protocol.</w:t>
      </w:r>
    </w:p>
    <w:p>
      <w:pPr>
        <w:pStyle w:val="Heading2"/>
      </w:pPr>
      <w:r>
        <w:t>7.5 Statistical analysis</w:t>
      </w:r>
    </w:p>
    <w:p>
      <w:r>
        <w:rPr>
          <w:rFonts w:ascii="Times New Roman" w:hAnsi="Times New Roman"/>
          <w:b w:val="0"/>
          <w:i w:val="0"/>
        </w:rPr>
        <w:t>Continuous variables will be expressed as mean +/- SD and compared by one-way ANOVA followed by Tukey's HSD; non-normally distributed data by Kruskal-Wallis with Dunn's post-hoc. Categorical outcomes (oestrus response, conception, pregnancy rate) will be compared by chi-square / Fisher's exact test. Multivariable logistic regression will adjust conception outcomes for parity, BCS, days open at enrolment, season and farm. Pharmacokinetic data will be analysed by non-compartmental analysis. All analyses will use SPSS / R / SAS at alpha = 0.05.</w:t>
      </w:r>
    </w:p>
    <w:p>
      <w:pPr>
        <w:pStyle w:val="Heading2"/>
      </w:pPr>
      <w:r>
        <w:t>7.6 Animal ethics, welfare and reporting</w:t>
      </w:r>
    </w:p>
    <w:p>
      <w:r>
        <w:rPr>
          <w:rFonts w:ascii="Times New Roman" w:hAnsi="Times New Roman"/>
          <w:b w:val="0"/>
          <w:i w:val="0"/>
        </w:rPr>
        <w:t>All experimental procedures will be conducted only after approval of the Institutional Animal Ethics Committee (IAEC/CPCSEA) and the institutional biosafety committee. Animals will be enrolled with informed owner consent, handled by trained personnel in compliance with national animal-welfare regulations, monitored daily, and removed from the study in case of any adverse health event. Reporting will follow the ARRIVE 2.0 guidelines.</w:t>
      </w:r>
    </w:p>
    <w:p>
      <w:pPr>
        <w:pStyle w:val="Heading1"/>
        <w:jc w:val="left"/>
      </w:pPr>
      <w:r>
        <w:t>8. EXPECTED OUTCOMES</w:t>
      </w:r>
    </w:p>
    <w:p>
      <w:pPr>
        <w:pStyle w:val="ListBullet"/>
        <w:jc w:val="both"/>
      </w:pPr>
      <w:r>
        <w:rPr>
          <w:rFonts w:ascii="Times New Roman" w:hAnsi="Times New Roman"/>
          <w:sz w:val="24"/>
        </w:rPr>
        <w:t>An optimised biopolymer-based progesterone microparticulate formulation with encapsulation efficiency above 75% and a validated physico-chemical and stability profile.</w:t>
      </w:r>
    </w:p>
    <w:p>
      <w:pPr>
        <w:pStyle w:val="ListBullet"/>
        <w:jc w:val="both"/>
      </w:pPr>
      <w:r>
        <w:rPr>
          <w:rFonts w:ascii="Times New Roman" w:hAnsi="Times New Roman"/>
          <w:sz w:val="24"/>
        </w:rPr>
        <w:t>An in-vitro progesterone release profile sustained over seven to nine days, with a best-fit kinetic model that informs the release mechanism.</w:t>
      </w:r>
    </w:p>
    <w:p>
      <w:pPr>
        <w:pStyle w:val="ListBullet"/>
        <w:jc w:val="both"/>
      </w:pPr>
      <w:r>
        <w:rPr>
          <w:rFonts w:ascii="Times New Roman" w:hAnsi="Times New Roman"/>
          <w:sz w:val="24"/>
        </w:rPr>
        <w:t>An in-vivo plasma progesterone profile in cycling cows that is non-inferior to that of the marketed CIDR insert.</w:t>
      </w:r>
    </w:p>
    <w:p>
      <w:pPr>
        <w:pStyle w:val="ListBullet"/>
        <w:jc w:val="both"/>
      </w:pPr>
      <w:r>
        <w:rPr>
          <w:rFonts w:ascii="Times New Roman" w:hAnsi="Times New Roman"/>
          <w:sz w:val="24"/>
        </w:rPr>
        <w:t>A measurable improvement in oestrus response and first-service conception rate in repeat-breeder cows treated with the new formulation, compared with non-supplemented controls and comparable to the CIDR-based protocol.</w:t>
      </w:r>
    </w:p>
    <w:p>
      <w:pPr>
        <w:pStyle w:val="ListBullet"/>
        <w:jc w:val="both"/>
      </w:pPr>
      <w:r>
        <w:rPr>
          <w:rFonts w:ascii="Times New Roman" w:hAnsi="Times New Roman"/>
          <w:sz w:val="24"/>
        </w:rPr>
        <w:t>A preliminary cost-effectiveness assessment supporting the case for local manufacture and adoption.</w:t>
      </w:r>
    </w:p>
    <w:p>
      <w:pPr>
        <w:pStyle w:val="ListBullet"/>
        <w:jc w:val="both"/>
      </w:pPr>
      <w:r>
        <w:rPr>
          <w:rFonts w:ascii="Times New Roman" w:hAnsi="Times New Roman"/>
          <w:sz w:val="24"/>
        </w:rPr>
        <w:t>A peer-reviewed dataset and methodological template that can be extended to other reproductive hormones (oestradiol valerate, GnRH analogues, prostaglandin F2-alpha).</w:t>
      </w:r>
    </w:p>
    <w:p>
      <w:pPr>
        <w:pStyle w:val="Heading1"/>
        <w:jc w:val="left"/>
      </w:pPr>
      <w:r>
        <w:t>9. NOVELTY OF THE STUDY</w:t>
      </w:r>
    </w:p>
    <w:p>
      <w:pPr>
        <w:pStyle w:val="ListBullet"/>
        <w:jc w:val="both"/>
      </w:pPr>
      <w:r>
        <w:rPr>
          <w:rFonts w:ascii="Times New Roman" w:hAnsi="Times New Roman"/>
          <w:sz w:val="24"/>
        </w:rPr>
        <w:t>Integrated pharmaceutical-and-clinical study design that combines polymer screening, formulation development, physico-chemical characterisation, in-vitro release modelling, in-vivo pharmacokinetics and a randomised clinical trial in repeat-breeder cows in a single coherent programme.</w:t>
      </w:r>
    </w:p>
    <w:p>
      <w:pPr>
        <w:pStyle w:val="ListBullet"/>
        <w:jc w:val="both"/>
      </w:pPr>
      <w:r>
        <w:rPr>
          <w:rFonts w:ascii="Times New Roman" w:hAnsi="Times New Roman"/>
          <w:sz w:val="24"/>
        </w:rPr>
        <w:t>Direct head-to-head comparison of a locally developed biodegradable biopolymer-based formulation with a marketed CIDR device under field conditions.</w:t>
      </w:r>
    </w:p>
    <w:p>
      <w:pPr>
        <w:pStyle w:val="ListBullet"/>
        <w:jc w:val="both"/>
      </w:pPr>
      <w:r>
        <w:rPr>
          <w:rFonts w:ascii="Times New Roman" w:hAnsi="Times New Roman"/>
          <w:sz w:val="24"/>
        </w:rPr>
        <w:t>Application of Design-of-Experiments and ICH-aligned stability evaluation to a veterinary intravaginal P4 product, with explicit attention to reproducibility and regulatory translation.</w:t>
      </w:r>
    </w:p>
    <w:p>
      <w:pPr>
        <w:pStyle w:val="ListBullet"/>
        <w:jc w:val="both"/>
      </w:pPr>
      <w:r>
        <w:rPr>
          <w:rFonts w:ascii="Times New Roman" w:hAnsi="Times New Roman"/>
          <w:sz w:val="24"/>
        </w:rPr>
        <w:t>Focus on cost-effective, biodegradable carriers suitable for smallholder and cooperative dairy systems, addressing both scientific and applied veterinary-public-health priorities.</w:t>
      </w:r>
    </w:p>
    <w:p>
      <w:pPr>
        <w:pStyle w:val="Heading1"/>
        <w:jc w:val="left"/>
      </w:pPr>
      <w:r>
        <w:t>10. FUTURE APPLICATIONS</w:t>
      </w:r>
    </w:p>
    <w:p>
      <w:pPr>
        <w:pStyle w:val="ListBullet"/>
        <w:jc w:val="both"/>
      </w:pPr>
      <w:r>
        <w:rPr>
          <w:rFonts w:ascii="Times New Roman" w:hAnsi="Times New Roman"/>
          <w:sz w:val="24"/>
        </w:rPr>
        <w:t>Field-scale extension of the validated formulation to cooperative dairy programmes for management of repeat breeding, post-partum anoestrus and oestrus synchronisation.</w:t>
      </w:r>
    </w:p>
    <w:p>
      <w:pPr>
        <w:pStyle w:val="ListBullet"/>
        <w:jc w:val="both"/>
      </w:pPr>
      <w:r>
        <w:rPr>
          <w:rFonts w:ascii="Times New Roman" w:hAnsi="Times New Roman"/>
          <w:sz w:val="24"/>
        </w:rPr>
        <w:t>Adaptation of the platform to other ruminant species (buffalo, sheep, goats), with species-specific dose and device optimisation.</w:t>
      </w:r>
    </w:p>
    <w:p>
      <w:pPr>
        <w:pStyle w:val="ListBullet"/>
        <w:jc w:val="both"/>
      </w:pPr>
      <w:r>
        <w:rPr>
          <w:rFonts w:ascii="Times New Roman" w:hAnsi="Times New Roman"/>
          <w:sz w:val="24"/>
        </w:rPr>
        <w:t>Development of a biopolymer-based applicator/insert variant and of a sustained-release oral or feed-additive form for settings where intravaginal administration is impractical.</w:t>
      </w:r>
    </w:p>
    <w:p>
      <w:pPr>
        <w:pStyle w:val="ListBullet"/>
        <w:jc w:val="both"/>
      </w:pPr>
      <w:r>
        <w:rPr>
          <w:rFonts w:ascii="Times New Roman" w:hAnsi="Times New Roman"/>
          <w:sz w:val="24"/>
        </w:rPr>
        <w:t>Application of the same biopolymer microencapsulation platform to other reproductive hormones (oestradiol valerate, GnRH analogues, prostaglandin F2-alpha).</w:t>
      </w:r>
    </w:p>
    <w:p>
      <w:pPr>
        <w:pStyle w:val="ListBullet"/>
        <w:jc w:val="both"/>
      </w:pPr>
      <w:r>
        <w:rPr>
          <w:rFonts w:ascii="Times New Roman" w:hAnsi="Times New Roman"/>
          <w:sz w:val="24"/>
        </w:rPr>
        <w:t>Translation, after additional regulatory development, to human reproductive medicine for sustained intravaginal progesterone supplementation in luteal-phase support and assisted reproductive technology.</w:t>
      </w:r>
    </w:p>
    <w:p>
      <w:pPr>
        <w:pStyle w:val="Heading1"/>
        <w:jc w:val="left"/>
      </w:pPr>
      <w:r>
        <w:t>11. WORK PLAN AND TIMELINE</w:t>
      </w:r>
    </w:p>
    <w:p>
      <w:pPr>
        <w:jc w:val="left"/>
      </w:pPr>
      <w:r>
        <w:rPr>
          <w:rFonts w:ascii="Times New Roman" w:hAnsi="Times New Roman"/>
          <w:b/>
          <w:i/>
          <w:sz w:val="22"/>
        </w:rPr>
        <w:t>Table 2. Month-wise work plan (24-month plan; compress to 18 months for M.V.Sc).</w:t>
      </w:r>
    </w:p>
    <w:tbl>
      <w:tblPr>
        <w:tblStyle w:val="LightGrid-Accent1"/>
        <w:tblW w:type="auto" w:w="0"/>
        <w:jc w:val="center"/>
        <w:tblLook w:firstColumn="1" w:firstRow="1" w:lastColumn="0" w:lastRow="0" w:noHBand="0" w:noVBand="1" w:val="04A0"/>
      </w:tblPr>
      <w:tblGrid>
        <w:gridCol w:w="3041"/>
        <w:gridCol w:w="3041"/>
        <w:gridCol w:w="3041"/>
      </w:tblGrid>
      <w:tr>
        <w:tc>
          <w:tcPr>
            <w:tcW w:type="dxa" w:w="3041"/>
            <w:shd w:val="clear" w:color="auto" w:fill="1F4E78"/>
            <w:vAlign w:val="center"/>
          </w:tcPr>
          <w:p>
            <w:pPr>
              <w:spacing w:after="0"/>
              <w:jc w:val="center"/>
            </w:pPr>
            <w:r>
              <w:rPr>
                <w:rFonts w:ascii="Times New Roman" w:hAnsi="Times New Roman"/>
                <w:b/>
                <w:color w:val="FFFFFF"/>
                <w:sz w:val="20"/>
              </w:rPr>
              <w:t>Month</w:t>
            </w:r>
          </w:p>
        </w:tc>
        <w:tc>
          <w:tcPr>
            <w:tcW w:type="dxa" w:w="3041"/>
            <w:shd w:val="clear" w:color="auto" w:fill="1F4E78"/>
            <w:vAlign w:val="center"/>
          </w:tcPr>
          <w:p>
            <w:pPr>
              <w:spacing w:after="0"/>
              <w:jc w:val="center"/>
            </w:pPr>
            <w:r>
              <w:rPr>
                <w:rFonts w:ascii="Times New Roman" w:hAnsi="Times New Roman"/>
                <w:b/>
                <w:color w:val="FFFFFF"/>
                <w:sz w:val="20"/>
              </w:rPr>
              <w:t>Activity</w:t>
            </w:r>
          </w:p>
        </w:tc>
        <w:tc>
          <w:tcPr>
            <w:tcW w:type="dxa" w:w="3041"/>
            <w:shd w:val="clear" w:color="auto" w:fill="1F4E78"/>
            <w:vAlign w:val="center"/>
          </w:tcPr>
          <w:p>
            <w:pPr>
              <w:spacing w:after="0"/>
              <w:jc w:val="center"/>
            </w:pPr>
            <w:r>
              <w:rPr>
                <w:rFonts w:ascii="Times New Roman" w:hAnsi="Times New Roman"/>
                <w:b/>
                <w:color w:val="FFFFFF"/>
                <w:sz w:val="20"/>
              </w:rPr>
              <w:t>Deliverable</w:t>
            </w:r>
          </w:p>
        </w:tc>
      </w:tr>
      <w:tr>
        <w:tc>
          <w:tcPr>
            <w:tcW w:type="dxa" w:w="3041"/>
            <w:vAlign w:val="center"/>
          </w:tcPr>
          <w:p>
            <w:pPr>
              <w:spacing w:after="0"/>
              <w:jc w:val="left"/>
            </w:pPr>
            <w:r>
              <w:rPr>
                <w:rFonts w:ascii="Times New Roman" w:hAnsi="Times New Roman"/>
                <w:b w:val="0"/>
                <w:sz w:val="20"/>
              </w:rPr>
              <w:t>1-2</w:t>
            </w:r>
          </w:p>
        </w:tc>
        <w:tc>
          <w:tcPr>
            <w:tcW w:type="dxa" w:w="3041"/>
            <w:vAlign w:val="center"/>
          </w:tcPr>
          <w:p>
            <w:pPr>
              <w:spacing w:after="0"/>
              <w:jc w:val="left"/>
            </w:pPr>
            <w:r>
              <w:rPr>
                <w:rFonts w:ascii="Times New Roman" w:hAnsi="Times New Roman"/>
                <w:b w:val="0"/>
                <w:sz w:val="20"/>
              </w:rPr>
              <w:t>Literature review; finalisation of polymer panel; HPLC method development and validation; ethics submissions (IAEC/CPCSEA).</w:t>
            </w:r>
          </w:p>
        </w:tc>
        <w:tc>
          <w:tcPr>
            <w:tcW w:type="dxa" w:w="3041"/>
            <w:vAlign w:val="center"/>
          </w:tcPr>
          <w:p>
            <w:pPr>
              <w:spacing w:after="0"/>
              <w:jc w:val="left"/>
            </w:pPr>
            <w:r>
              <w:rPr>
                <w:rFonts w:ascii="Times New Roman" w:hAnsi="Times New Roman"/>
                <w:b w:val="0"/>
                <w:sz w:val="20"/>
              </w:rPr>
              <w:t>Validated HPLC assay; ethical clearance.</w:t>
            </w:r>
          </w:p>
        </w:tc>
      </w:tr>
      <w:tr>
        <w:tc>
          <w:tcPr>
            <w:tcW w:type="dxa" w:w="3041"/>
            <w:shd w:val="clear" w:color="auto" w:fill="F2F2F2"/>
            <w:vAlign w:val="center"/>
          </w:tcPr>
          <w:p>
            <w:pPr>
              <w:spacing w:after="0"/>
              <w:jc w:val="left"/>
            </w:pPr>
            <w:r>
              <w:rPr>
                <w:rFonts w:ascii="Times New Roman" w:hAnsi="Times New Roman"/>
                <w:b w:val="0"/>
                <w:sz w:val="20"/>
              </w:rPr>
              <w:t>3-4</w:t>
            </w:r>
          </w:p>
        </w:tc>
        <w:tc>
          <w:tcPr>
            <w:tcW w:type="dxa" w:w="3041"/>
            <w:shd w:val="clear" w:color="auto" w:fill="F2F2F2"/>
            <w:vAlign w:val="center"/>
          </w:tcPr>
          <w:p>
            <w:pPr>
              <w:spacing w:after="0"/>
              <w:jc w:val="left"/>
            </w:pPr>
            <w:r>
              <w:rPr>
                <w:rFonts w:ascii="Times New Roman" w:hAnsi="Times New Roman"/>
                <w:b w:val="0"/>
                <w:sz w:val="20"/>
              </w:rPr>
              <w:t>Drug-polymer compatibility screening (FTIR, DSC, isothermal stress); short-listing of polymer panel.</w:t>
            </w:r>
          </w:p>
        </w:tc>
        <w:tc>
          <w:tcPr>
            <w:tcW w:type="dxa" w:w="3041"/>
            <w:shd w:val="clear" w:color="auto" w:fill="F2F2F2"/>
            <w:vAlign w:val="center"/>
          </w:tcPr>
          <w:p>
            <w:pPr>
              <w:spacing w:after="0"/>
              <w:jc w:val="left"/>
            </w:pPr>
            <w:r>
              <w:rPr>
                <w:rFonts w:ascii="Times New Roman" w:hAnsi="Times New Roman"/>
                <w:b w:val="0"/>
                <w:sz w:val="20"/>
              </w:rPr>
              <w:t>Compatibility report.</w:t>
            </w:r>
          </w:p>
        </w:tc>
      </w:tr>
      <w:tr>
        <w:tc>
          <w:tcPr>
            <w:tcW w:type="dxa" w:w="3041"/>
            <w:vAlign w:val="center"/>
          </w:tcPr>
          <w:p>
            <w:pPr>
              <w:spacing w:after="0"/>
              <w:jc w:val="left"/>
            </w:pPr>
            <w:r>
              <w:rPr>
                <w:rFonts w:ascii="Times New Roman" w:hAnsi="Times New Roman"/>
                <w:b w:val="0"/>
                <w:sz w:val="20"/>
              </w:rPr>
              <w:t>5-7</w:t>
            </w:r>
          </w:p>
        </w:tc>
        <w:tc>
          <w:tcPr>
            <w:tcW w:type="dxa" w:w="3041"/>
            <w:vAlign w:val="center"/>
          </w:tcPr>
          <w:p>
            <w:pPr>
              <w:spacing w:after="0"/>
              <w:jc w:val="left"/>
            </w:pPr>
            <w:r>
              <w:rPr>
                <w:rFonts w:ascii="Times New Roman" w:hAnsi="Times New Roman"/>
                <w:b w:val="0"/>
                <w:sz w:val="20"/>
              </w:rPr>
              <w:t>Pilot spray-drying trials; Design of Experiments runs; factorial / response-surface optimisation.</w:t>
            </w:r>
          </w:p>
        </w:tc>
        <w:tc>
          <w:tcPr>
            <w:tcW w:type="dxa" w:w="3041"/>
            <w:vAlign w:val="center"/>
          </w:tcPr>
          <w:p>
            <w:pPr>
              <w:spacing w:after="0"/>
              <w:jc w:val="left"/>
            </w:pPr>
            <w:r>
              <w:rPr>
                <w:rFonts w:ascii="Times New Roman" w:hAnsi="Times New Roman"/>
                <w:b w:val="0"/>
                <w:sz w:val="20"/>
              </w:rPr>
              <w:t>Optimised formulation.</w:t>
            </w:r>
          </w:p>
        </w:tc>
      </w:tr>
      <w:tr>
        <w:tc>
          <w:tcPr>
            <w:tcW w:type="dxa" w:w="3041"/>
            <w:shd w:val="clear" w:color="auto" w:fill="F2F2F2"/>
            <w:vAlign w:val="center"/>
          </w:tcPr>
          <w:p>
            <w:pPr>
              <w:spacing w:after="0"/>
              <w:jc w:val="left"/>
            </w:pPr>
            <w:r>
              <w:rPr>
                <w:rFonts w:ascii="Times New Roman" w:hAnsi="Times New Roman"/>
                <w:b w:val="0"/>
                <w:sz w:val="20"/>
              </w:rPr>
              <w:t>8-9</w:t>
            </w:r>
          </w:p>
        </w:tc>
        <w:tc>
          <w:tcPr>
            <w:tcW w:type="dxa" w:w="3041"/>
            <w:shd w:val="clear" w:color="auto" w:fill="F2F2F2"/>
            <w:vAlign w:val="center"/>
          </w:tcPr>
          <w:p>
            <w:pPr>
              <w:spacing w:after="0"/>
              <w:jc w:val="left"/>
            </w:pPr>
            <w:r>
              <w:rPr>
                <w:rFonts w:ascii="Times New Roman" w:hAnsi="Times New Roman"/>
                <w:b w:val="0"/>
                <w:sz w:val="20"/>
              </w:rPr>
              <w:t>Physico-chemical characterisation (PSD, SEM, zeta potential, DSC, XRD, residual moisture, EE/DL).</w:t>
            </w:r>
          </w:p>
        </w:tc>
        <w:tc>
          <w:tcPr>
            <w:tcW w:type="dxa" w:w="3041"/>
            <w:shd w:val="clear" w:color="auto" w:fill="F2F2F2"/>
            <w:vAlign w:val="center"/>
          </w:tcPr>
          <w:p>
            <w:pPr>
              <w:spacing w:after="0"/>
              <w:jc w:val="left"/>
            </w:pPr>
            <w:r>
              <w:rPr>
                <w:rFonts w:ascii="Times New Roman" w:hAnsi="Times New Roman"/>
                <w:b w:val="0"/>
                <w:sz w:val="20"/>
              </w:rPr>
              <w:t>Characterisation dossier.</w:t>
            </w:r>
          </w:p>
        </w:tc>
      </w:tr>
      <w:tr>
        <w:tc>
          <w:tcPr>
            <w:tcW w:type="dxa" w:w="3041"/>
            <w:vAlign w:val="center"/>
          </w:tcPr>
          <w:p>
            <w:pPr>
              <w:spacing w:after="0"/>
              <w:jc w:val="left"/>
            </w:pPr>
            <w:r>
              <w:rPr>
                <w:rFonts w:ascii="Times New Roman" w:hAnsi="Times New Roman"/>
                <w:b w:val="0"/>
                <w:sz w:val="20"/>
              </w:rPr>
              <w:t>10-11</w:t>
            </w:r>
          </w:p>
        </w:tc>
        <w:tc>
          <w:tcPr>
            <w:tcW w:type="dxa" w:w="3041"/>
            <w:vAlign w:val="center"/>
          </w:tcPr>
          <w:p>
            <w:pPr>
              <w:spacing w:after="0"/>
              <w:jc w:val="left"/>
            </w:pPr>
            <w:r>
              <w:rPr>
                <w:rFonts w:ascii="Times New Roman" w:hAnsi="Times New Roman"/>
                <w:b w:val="0"/>
                <w:sz w:val="20"/>
              </w:rPr>
              <w:t>In-vitro release studies in simulated vaginal fluid; release-kinetic modelling; preliminary stability.</w:t>
            </w:r>
          </w:p>
        </w:tc>
        <w:tc>
          <w:tcPr>
            <w:tcW w:type="dxa" w:w="3041"/>
            <w:vAlign w:val="center"/>
          </w:tcPr>
          <w:p>
            <w:pPr>
              <w:spacing w:after="0"/>
              <w:jc w:val="left"/>
            </w:pPr>
            <w:r>
              <w:rPr>
                <w:rFonts w:ascii="Times New Roman" w:hAnsi="Times New Roman"/>
                <w:b w:val="0"/>
                <w:sz w:val="20"/>
              </w:rPr>
              <w:t>Release profile and kinetic model report.</w:t>
            </w:r>
          </w:p>
        </w:tc>
      </w:tr>
      <w:tr>
        <w:tc>
          <w:tcPr>
            <w:tcW w:type="dxa" w:w="3041"/>
            <w:shd w:val="clear" w:color="auto" w:fill="F2F2F2"/>
            <w:vAlign w:val="center"/>
          </w:tcPr>
          <w:p>
            <w:pPr>
              <w:spacing w:after="0"/>
              <w:jc w:val="left"/>
            </w:pPr>
            <w:r>
              <w:rPr>
                <w:rFonts w:ascii="Times New Roman" w:hAnsi="Times New Roman"/>
                <w:b w:val="0"/>
                <w:sz w:val="20"/>
              </w:rPr>
              <w:t>12-13</w:t>
            </w:r>
          </w:p>
        </w:tc>
        <w:tc>
          <w:tcPr>
            <w:tcW w:type="dxa" w:w="3041"/>
            <w:shd w:val="clear" w:color="auto" w:fill="F2F2F2"/>
            <w:vAlign w:val="center"/>
          </w:tcPr>
          <w:p>
            <w:pPr>
              <w:spacing w:after="0"/>
              <w:jc w:val="left"/>
            </w:pPr>
            <w:r>
              <w:rPr>
                <w:rFonts w:ascii="Times New Roman" w:hAnsi="Times New Roman"/>
                <w:b w:val="0"/>
                <w:sz w:val="20"/>
              </w:rPr>
              <w:t>Pharmacokinetic study in healthy cycling cows (cross-over design vs CIDR).</w:t>
            </w:r>
          </w:p>
        </w:tc>
        <w:tc>
          <w:tcPr>
            <w:tcW w:type="dxa" w:w="3041"/>
            <w:shd w:val="clear" w:color="auto" w:fill="F2F2F2"/>
            <w:vAlign w:val="center"/>
          </w:tcPr>
          <w:p>
            <w:pPr>
              <w:spacing w:after="0"/>
              <w:jc w:val="left"/>
            </w:pPr>
            <w:r>
              <w:rPr>
                <w:rFonts w:ascii="Times New Roman" w:hAnsi="Times New Roman"/>
                <w:b w:val="0"/>
                <w:sz w:val="20"/>
              </w:rPr>
              <w:t>PK dossier.</w:t>
            </w:r>
          </w:p>
        </w:tc>
      </w:tr>
      <w:tr>
        <w:tc>
          <w:tcPr>
            <w:tcW w:type="dxa" w:w="3041"/>
            <w:vAlign w:val="center"/>
          </w:tcPr>
          <w:p>
            <w:pPr>
              <w:spacing w:after="0"/>
              <w:jc w:val="left"/>
            </w:pPr>
            <w:r>
              <w:rPr>
                <w:rFonts w:ascii="Times New Roman" w:hAnsi="Times New Roman"/>
                <w:b w:val="0"/>
                <w:sz w:val="20"/>
              </w:rPr>
              <w:t>14-19</w:t>
            </w:r>
          </w:p>
        </w:tc>
        <w:tc>
          <w:tcPr>
            <w:tcW w:type="dxa" w:w="3041"/>
            <w:vAlign w:val="center"/>
          </w:tcPr>
          <w:p>
            <w:pPr>
              <w:spacing w:after="0"/>
              <w:jc w:val="left"/>
            </w:pPr>
            <w:r>
              <w:rPr>
                <w:rFonts w:ascii="Times New Roman" w:hAnsi="Times New Roman"/>
                <w:b w:val="0"/>
                <w:sz w:val="20"/>
              </w:rPr>
              <w:t>Randomised clinical trial in repeat-breeder cows; ultrasonographic follow-up; pregnancy diagnosis at 30-45 days.</w:t>
            </w:r>
          </w:p>
        </w:tc>
        <w:tc>
          <w:tcPr>
            <w:tcW w:type="dxa" w:w="3041"/>
            <w:vAlign w:val="center"/>
          </w:tcPr>
          <w:p>
            <w:pPr>
              <w:spacing w:after="0"/>
              <w:jc w:val="left"/>
            </w:pPr>
            <w:r>
              <w:rPr>
                <w:rFonts w:ascii="Times New Roman" w:hAnsi="Times New Roman"/>
                <w:b w:val="0"/>
                <w:sz w:val="20"/>
              </w:rPr>
              <w:t>Clinical efficacy data.</w:t>
            </w:r>
          </w:p>
        </w:tc>
      </w:tr>
      <w:tr>
        <w:tc>
          <w:tcPr>
            <w:tcW w:type="dxa" w:w="3041"/>
            <w:shd w:val="clear" w:color="auto" w:fill="F2F2F2"/>
            <w:vAlign w:val="center"/>
          </w:tcPr>
          <w:p>
            <w:pPr>
              <w:spacing w:after="0"/>
              <w:jc w:val="left"/>
            </w:pPr>
            <w:r>
              <w:rPr>
                <w:rFonts w:ascii="Times New Roman" w:hAnsi="Times New Roman"/>
                <w:b w:val="0"/>
                <w:sz w:val="20"/>
              </w:rPr>
              <w:t>20-21</w:t>
            </w:r>
          </w:p>
        </w:tc>
        <w:tc>
          <w:tcPr>
            <w:tcW w:type="dxa" w:w="3041"/>
            <w:shd w:val="clear" w:color="auto" w:fill="F2F2F2"/>
            <w:vAlign w:val="center"/>
          </w:tcPr>
          <w:p>
            <w:pPr>
              <w:spacing w:after="0"/>
              <w:jc w:val="left"/>
            </w:pPr>
            <w:r>
              <w:rPr>
                <w:rFonts w:ascii="Times New Roman" w:hAnsi="Times New Roman"/>
                <w:b w:val="0"/>
                <w:sz w:val="20"/>
              </w:rPr>
              <w:t>Long-term stability continuation; cost-effectiveness analysis; data consolidation.</w:t>
            </w:r>
          </w:p>
        </w:tc>
        <w:tc>
          <w:tcPr>
            <w:tcW w:type="dxa" w:w="3041"/>
            <w:shd w:val="clear" w:color="auto" w:fill="F2F2F2"/>
            <w:vAlign w:val="center"/>
          </w:tcPr>
          <w:p>
            <w:pPr>
              <w:spacing w:after="0"/>
              <w:jc w:val="left"/>
            </w:pPr>
            <w:r>
              <w:rPr>
                <w:rFonts w:ascii="Times New Roman" w:hAnsi="Times New Roman"/>
                <w:b w:val="0"/>
                <w:sz w:val="20"/>
              </w:rPr>
              <w:t>Stability and economic reports.</w:t>
            </w:r>
          </w:p>
        </w:tc>
      </w:tr>
      <w:tr>
        <w:tc>
          <w:tcPr>
            <w:tcW w:type="dxa" w:w="3041"/>
            <w:vAlign w:val="center"/>
          </w:tcPr>
          <w:p>
            <w:pPr>
              <w:spacing w:after="0"/>
              <w:jc w:val="left"/>
            </w:pPr>
            <w:r>
              <w:rPr>
                <w:rFonts w:ascii="Times New Roman" w:hAnsi="Times New Roman"/>
                <w:b w:val="0"/>
                <w:sz w:val="20"/>
              </w:rPr>
              <w:t>22-24</w:t>
            </w:r>
          </w:p>
        </w:tc>
        <w:tc>
          <w:tcPr>
            <w:tcW w:type="dxa" w:w="3041"/>
            <w:vAlign w:val="center"/>
          </w:tcPr>
          <w:p>
            <w:pPr>
              <w:spacing w:after="0"/>
              <w:jc w:val="left"/>
            </w:pPr>
            <w:r>
              <w:rPr>
                <w:rFonts w:ascii="Times New Roman" w:hAnsi="Times New Roman"/>
                <w:b w:val="0"/>
                <w:sz w:val="20"/>
              </w:rPr>
              <w:t>Manuscript preparation, thesis writing, viva voce.</w:t>
            </w:r>
          </w:p>
        </w:tc>
        <w:tc>
          <w:tcPr>
            <w:tcW w:type="dxa" w:w="3041"/>
            <w:vAlign w:val="center"/>
          </w:tcPr>
          <w:p>
            <w:pPr>
              <w:spacing w:after="0"/>
              <w:jc w:val="left"/>
            </w:pPr>
            <w:r>
              <w:rPr>
                <w:rFonts w:ascii="Times New Roman" w:hAnsi="Times New Roman"/>
                <w:b w:val="0"/>
                <w:sz w:val="20"/>
              </w:rPr>
              <w:t>Submitted manuscript(s); final thesis.</w:t>
            </w:r>
          </w:p>
        </w:tc>
      </w:tr>
    </w:tbl>
    <w:p/>
    <w:p>
      <w:pPr>
        <w:pStyle w:val="Heading1"/>
        <w:jc w:val="left"/>
      </w:pPr>
      <w:r>
        <w:t>12. EXPECTED BUDGET</w:t>
      </w:r>
    </w:p>
    <w:p>
      <w:r>
        <w:rPr>
          <w:rFonts w:ascii="Times New Roman" w:hAnsi="Times New Roman"/>
          <w:b w:val="0"/>
          <w:i/>
          <w:sz w:val="22"/>
        </w:rPr>
        <w:t>Budget figures are indicative academic estimates in Indian Rupees (INR) for a 24-month programme conducted in a university research environment with shared central instrumentation. They should be adjusted to local supplier quotations, animal-trial size and the scope of the approved proposal.</w:t>
      </w:r>
    </w:p>
    <w:p>
      <w:pPr>
        <w:jc w:val="left"/>
      </w:pPr>
      <w:r>
        <w:rPr>
          <w:rFonts w:ascii="Times New Roman" w:hAnsi="Times New Roman"/>
          <w:b/>
          <w:i/>
          <w:sz w:val="22"/>
        </w:rPr>
        <w:t>Table 3. Indicative budget estimate (INR).</w:t>
      </w:r>
    </w:p>
    <w:tbl>
      <w:tblPr>
        <w:tblStyle w:val="LightGrid-Accent1"/>
        <w:tblW w:type="auto" w:w="0"/>
        <w:jc w:val="center"/>
        <w:tblLook w:firstColumn="1" w:firstRow="1" w:lastColumn="0" w:lastRow="0" w:noHBand="0" w:noVBand="1" w:val="04A0"/>
      </w:tblPr>
      <w:tblGrid>
        <w:gridCol w:w="3041"/>
        <w:gridCol w:w="3041"/>
        <w:gridCol w:w="3041"/>
      </w:tblGrid>
      <w:tr>
        <w:tc>
          <w:tcPr>
            <w:tcW w:type="dxa" w:w="3041"/>
            <w:shd w:val="clear" w:color="auto" w:fill="1F4E78"/>
            <w:vAlign w:val="center"/>
          </w:tcPr>
          <w:p>
            <w:pPr>
              <w:spacing w:after="0"/>
              <w:jc w:val="center"/>
            </w:pPr>
            <w:r>
              <w:rPr>
                <w:rFonts w:ascii="Times New Roman" w:hAnsi="Times New Roman"/>
                <w:b/>
                <w:color w:val="FFFFFF"/>
                <w:sz w:val="20"/>
              </w:rPr>
              <w:t>Head</w:t>
            </w:r>
          </w:p>
        </w:tc>
        <w:tc>
          <w:tcPr>
            <w:tcW w:type="dxa" w:w="3041"/>
            <w:shd w:val="clear" w:color="auto" w:fill="1F4E78"/>
            <w:vAlign w:val="center"/>
          </w:tcPr>
          <w:p>
            <w:pPr>
              <w:spacing w:after="0"/>
              <w:jc w:val="center"/>
            </w:pPr>
            <w:r>
              <w:rPr>
                <w:rFonts w:ascii="Times New Roman" w:hAnsi="Times New Roman"/>
                <w:b/>
                <w:color w:val="FFFFFF"/>
                <w:sz w:val="20"/>
              </w:rPr>
              <w:t>Item</w:t>
            </w:r>
          </w:p>
        </w:tc>
        <w:tc>
          <w:tcPr>
            <w:tcW w:type="dxa" w:w="3041"/>
            <w:shd w:val="clear" w:color="auto" w:fill="1F4E78"/>
            <w:vAlign w:val="center"/>
          </w:tcPr>
          <w:p>
            <w:pPr>
              <w:spacing w:after="0"/>
              <w:jc w:val="center"/>
            </w:pPr>
            <w:r>
              <w:rPr>
                <w:rFonts w:ascii="Times New Roman" w:hAnsi="Times New Roman"/>
                <w:b/>
                <w:color w:val="FFFFFF"/>
                <w:sz w:val="20"/>
              </w:rPr>
              <w:t>Approx. cost (INR)</w:t>
            </w:r>
          </w:p>
        </w:tc>
      </w:tr>
      <w:tr>
        <w:tc>
          <w:tcPr>
            <w:tcW w:type="dxa" w:w="3041"/>
            <w:vAlign w:val="center"/>
          </w:tcPr>
          <w:p>
            <w:pPr>
              <w:spacing w:after="0"/>
              <w:jc w:val="left"/>
            </w:pPr>
            <w:r>
              <w:rPr>
                <w:rFonts w:ascii="Times New Roman" w:hAnsi="Times New Roman"/>
                <w:b/>
                <w:sz w:val="20"/>
              </w:rPr>
              <w:t>Drug</w:t>
            </w:r>
          </w:p>
        </w:tc>
        <w:tc>
          <w:tcPr>
            <w:tcW w:type="dxa" w:w="3041"/>
            <w:vAlign w:val="center"/>
          </w:tcPr>
          <w:p>
            <w:pPr>
              <w:spacing w:after="0"/>
              <w:jc w:val="left"/>
            </w:pPr>
            <w:r>
              <w:rPr>
                <w:rFonts w:ascii="Times New Roman" w:hAnsi="Times New Roman"/>
                <w:b w:val="0"/>
                <w:sz w:val="20"/>
              </w:rPr>
              <w:t>Pharmaceutical-grade progesterone (USP/IP), 25-50 g</w:t>
            </w:r>
          </w:p>
        </w:tc>
        <w:tc>
          <w:tcPr>
            <w:tcW w:type="dxa" w:w="3041"/>
            <w:vAlign w:val="center"/>
          </w:tcPr>
          <w:p>
            <w:pPr>
              <w:spacing w:after="0"/>
              <w:jc w:val="left"/>
            </w:pPr>
            <w:r>
              <w:rPr>
                <w:rFonts w:ascii="Times New Roman" w:hAnsi="Times New Roman"/>
                <w:b w:val="0"/>
                <w:sz w:val="20"/>
              </w:rPr>
              <w:t>30,000 - 60,000</w:t>
            </w:r>
          </w:p>
        </w:tc>
      </w:tr>
      <w:tr>
        <w:tc>
          <w:tcPr>
            <w:tcW w:type="dxa" w:w="3041"/>
            <w:shd w:val="clear" w:color="auto" w:fill="F2F2F2"/>
            <w:vAlign w:val="center"/>
          </w:tcPr>
          <w:p>
            <w:pPr>
              <w:spacing w:after="0"/>
              <w:jc w:val="left"/>
            </w:pPr>
            <w:r>
              <w:rPr>
                <w:rFonts w:ascii="Times New Roman" w:hAnsi="Times New Roman"/>
                <w:b/>
                <w:sz w:val="20"/>
              </w:rPr>
              <w:t>Biopolymers</w:t>
            </w:r>
          </w:p>
        </w:tc>
        <w:tc>
          <w:tcPr>
            <w:tcW w:type="dxa" w:w="3041"/>
            <w:shd w:val="clear" w:color="auto" w:fill="F2F2F2"/>
            <w:vAlign w:val="center"/>
          </w:tcPr>
          <w:p>
            <w:pPr>
              <w:spacing w:after="0"/>
              <w:jc w:val="left"/>
            </w:pPr>
            <w:r>
              <w:rPr>
                <w:rFonts w:ascii="Times New Roman" w:hAnsi="Times New Roman"/>
                <w:b w:val="0"/>
                <w:sz w:val="20"/>
              </w:rPr>
              <w:t>Chitosan, alginate, gelatin, whey protein, sodium caseinate, gum arabic, maltodextrin, modified starch, HPMC, EC, PLGA, HP-beta-CD</w:t>
            </w:r>
          </w:p>
        </w:tc>
        <w:tc>
          <w:tcPr>
            <w:tcW w:type="dxa" w:w="3041"/>
            <w:shd w:val="clear" w:color="auto" w:fill="F2F2F2"/>
            <w:vAlign w:val="center"/>
          </w:tcPr>
          <w:p>
            <w:pPr>
              <w:spacing w:after="0"/>
              <w:jc w:val="left"/>
            </w:pPr>
            <w:r>
              <w:rPr>
                <w:rFonts w:ascii="Times New Roman" w:hAnsi="Times New Roman"/>
                <w:b w:val="0"/>
                <w:sz w:val="20"/>
              </w:rPr>
              <w:t>1,50,000 - 2,50,000</w:t>
            </w:r>
          </w:p>
        </w:tc>
      </w:tr>
      <w:tr>
        <w:tc>
          <w:tcPr>
            <w:tcW w:type="dxa" w:w="3041"/>
            <w:vAlign w:val="center"/>
          </w:tcPr>
          <w:p>
            <w:pPr>
              <w:spacing w:after="0"/>
              <w:jc w:val="left"/>
            </w:pPr>
            <w:r>
              <w:rPr>
                <w:rFonts w:ascii="Times New Roman" w:hAnsi="Times New Roman"/>
                <w:b/>
                <w:sz w:val="20"/>
              </w:rPr>
              <w:t>Solvents and reagents</w:t>
            </w:r>
          </w:p>
        </w:tc>
        <w:tc>
          <w:tcPr>
            <w:tcW w:type="dxa" w:w="3041"/>
            <w:vAlign w:val="center"/>
          </w:tcPr>
          <w:p>
            <w:pPr>
              <w:spacing w:after="0"/>
              <w:jc w:val="left"/>
            </w:pPr>
            <w:r>
              <w:rPr>
                <w:rFonts w:ascii="Times New Roman" w:hAnsi="Times New Roman"/>
                <w:b w:val="0"/>
                <w:sz w:val="20"/>
              </w:rPr>
              <w:t>HPLC-grade solvents, buffer salts, surfactants, crosslinkers</w:t>
            </w:r>
          </w:p>
        </w:tc>
        <w:tc>
          <w:tcPr>
            <w:tcW w:type="dxa" w:w="3041"/>
            <w:vAlign w:val="center"/>
          </w:tcPr>
          <w:p>
            <w:pPr>
              <w:spacing w:after="0"/>
              <w:jc w:val="left"/>
            </w:pPr>
            <w:r>
              <w:rPr>
                <w:rFonts w:ascii="Times New Roman" w:hAnsi="Times New Roman"/>
                <w:b w:val="0"/>
                <w:sz w:val="20"/>
              </w:rPr>
              <w:t>75,000 - 1,00,000</w:t>
            </w:r>
          </w:p>
        </w:tc>
      </w:tr>
      <w:tr>
        <w:tc>
          <w:tcPr>
            <w:tcW w:type="dxa" w:w="3041"/>
            <w:shd w:val="clear" w:color="auto" w:fill="F2F2F2"/>
            <w:vAlign w:val="center"/>
          </w:tcPr>
          <w:p>
            <w:pPr>
              <w:spacing w:after="0"/>
              <w:jc w:val="left"/>
            </w:pPr>
            <w:r>
              <w:rPr>
                <w:rFonts w:ascii="Times New Roman" w:hAnsi="Times New Roman"/>
                <w:b/>
                <w:sz w:val="20"/>
              </w:rPr>
              <w:t>Spray-drying charges</w:t>
            </w:r>
          </w:p>
        </w:tc>
        <w:tc>
          <w:tcPr>
            <w:tcW w:type="dxa" w:w="3041"/>
            <w:shd w:val="clear" w:color="auto" w:fill="F2F2F2"/>
            <w:vAlign w:val="center"/>
          </w:tcPr>
          <w:p>
            <w:pPr>
              <w:spacing w:after="0"/>
              <w:jc w:val="left"/>
            </w:pPr>
            <w:r>
              <w:rPr>
                <w:rFonts w:ascii="Times New Roman" w:hAnsi="Times New Roman"/>
                <w:b w:val="0"/>
                <w:sz w:val="20"/>
              </w:rPr>
              <w:t>Use of laboratory spray dryer (Buchi B-290 or equivalent); optimisation runs at central facility</w:t>
            </w:r>
          </w:p>
        </w:tc>
        <w:tc>
          <w:tcPr>
            <w:tcW w:type="dxa" w:w="3041"/>
            <w:shd w:val="clear" w:color="auto" w:fill="F2F2F2"/>
            <w:vAlign w:val="center"/>
          </w:tcPr>
          <w:p>
            <w:pPr>
              <w:spacing w:after="0"/>
              <w:jc w:val="left"/>
            </w:pPr>
            <w:r>
              <w:rPr>
                <w:rFonts w:ascii="Times New Roman" w:hAnsi="Times New Roman"/>
                <w:b w:val="0"/>
                <w:sz w:val="20"/>
              </w:rPr>
              <w:t>1,50,000 - 2,00,000</w:t>
            </w:r>
          </w:p>
        </w:tc>
      </w:tr>
      <w:tr>
        <w:tc>
          <w:tcPr>
            <w:tcW w:type="dxa" w:w="3041"/>
            <w:vAlign w:val="center"/>
          </w:tcPr>
          <w:p>
            <w:pPr>
              <w:spacing w:after="0"/>
              <w:jc w:val="left"/>
            </w:pPr>
            <w:r>
              <w:rPr>
                <w:rFonts w:ascii="Times New Roman" w:hAnsi="Times New Roman"/>
                <w:b/>
                <w:sz w:val="20"/>
              </w:rPr>
              <w:t>Reference device</w:t>
            </w:r>
          </w:p>
        </w:tc>
        <w:tc>
          <w:tcPr>
            <w:tcW w:type="dxa" w:w="3041"/>
            <w:vAlign w:val="center"/>
          </w:tcPr>
          <w:p>
            <w:pPr>
              <w:spacing w:after="0"/>
              <w:jc w:val="left"/>
            </w:pPr>
            <w:r>
              <w:rPr>
                <w:rFonts w:ascii="Times New Roman" w:hAnsi="Times New Roman"/>
                <w:b w:val="0"/>
                <w:sz w:val="20"/>
              </w:rPr>
              <w:t>Marketed CIDR / PRID inserts for comparator arm</w:t>
            </w:r>
          </w:p>
        </w:tc>
        <w:tc>
          <w:tcPr>
            <w:tcW w:type="dxa" w:w="3041"/>
            <w:vAlign w:val="center"/>
          </w:tcPr>
          <w:p>
            <w:pPr>
              <w:spacing w:after="0"/>
              <w:jc w:val="left"/>
            </w:pPr>
            <w:r>
              <w:rPr>
                <w:rFonts w:ascii="Times New Roman" w:hAnsi="Times New Roman"/>
                <w:b w:val="0"/>
                <w:sz w:val="20"/>
              </w:rPr>
              <w:t>1,00,000 - 1,50,000</w:t>
            </w:r>
          </w:p>
        </w:tc>
      </w:tr>
      <w:tr>
        <w:tc>
          <w:tcPr>
            <w:tcW w:type="dxa" w:w="3041"/>
            <w:shd w:val="clear" w:color="auto" w:fill="F2F2F2"/>
            <w:vAlign w:val="center"/>
          </w:tcPr>
          <w:p>
            <w:pPr>
              <w:spacing w:after="0"/>
              <w:jc w:val="left"/>
            </w:pPr>
            <w:r>
              <w:rPr>
                <w:rFonts w:ascii="Times New Roman" w:hAnsi="Times New Roman"/>
                <w:b/>
                <w:sz w:val="20"/>
              </w:rPr>
              <w:t>In-vivo trial - hormones and consumables</w:t>
            </w:r>
          </w:p>
        </w:tc>
        <w:tc>
          <w:tcPr>
            <w:tcW w:type="dxa" w:w="3041"/>
            <w:shd w:val="clear" w:color="auto" w:fill="F2F2F2"/>
            <w:vAlign w:val="center"/>
          </w:tcPr>
          <w:p>
            <w:pPr>
              <w:spacing w:after="0"/>
              <w:jc w:val="left"/>
            </w:pPr>
            <w:r>
              <w:rPr>
                <w:rFonts w:ascii="Times New Roman" w:hAnsi="Times New Roman"/>
                <w:b w:val="0"/>
                <w:sz w:val="20"/>
              </w:rPr>
              <w:t>GnRH analogue, PGF2-alpha, AI semen straws, Metricheck, ultrasound gel, gloves</w:t>
            </w:r>
          </w:p>
        </w:tc>
        <w:tc>
          <w:tcPr>
            <w:tcW w:type="dxa" w:w="3041"/>
            <w:shd w:val="clear" w:color="auto" w:fill="F2F2F2"/>
            <w:vAlign w:val="center"/>
          </w:tcPr>
          <w:p>
            <w:pPr>
              <w:spacing w:after="0"/>
              <w:jc w:val="left"/>
            </w:pPr>
            <w:r>
              <w:rPr>
                <w:rFonts w:ascii="Times New Roman" w:hAnsi="Times New Roman"/>
                <w:b w:val="0"/>
                <w:sz w:val="20"/>
              </w:rPr>
              <w:t>1,50,000 - 2,00,000</w:t>
            </w:r>
          </w:p>
        </w:tc>
      </w:tr>
      <w:tr>
        <w:tc>
          <w:tcPr>
            <w:tcW w:type="dxa" w:w="3041"/>
            <w:vAlign w:val="center"/>
          </w:tcPr>
          <w:p>
            <w:pPr>
              <w:spacing w:after="0"/>
              <w:jc w:val="left"/>
            </w:pPr>
            <w:r>
              <w:rPr>
                <w:rFonts w:ascii="Times New Roman" w:hAnsi="Times New Roman"/>
                <w:b/>
                <w:sz w:val="20"/>
              </w:rPr>
              <w:t>In-vivo trial - assays</w:t>
            </w:r>
          </w:p>
        </w:tc>
        <w:tc>
          <w:tcPr>
            <w:tcW w:type="dxa" w:w="3041"/>
            <w:vAlign w:val="center"/>
          </w:tcPr>
          <w:p>
            <w:pPr>
              <w:spacing w:after="0"/>
              <w:jc w:val="left"/>
            </w:pPr>
            <w:r>
              <w:rPr>
                <w:rFonts w:ascii="Times New Roman" w:hAnsi="Times New Roman"/>
                <w:b w:val="0"/>
                <w:sz w:val="20"/>
              </w:rPr>
              <w:t>Plasma progesterone (RIA/ELISA) for ~25-30 cows x ~10 samples each</w:t>
            </w:r>
          </w:p>
        </w:tc>
        <w:tc>
          <w:tcPr>
            <w:tcW w:type="dxa" w:w="3041"/>
            <w:vAlign w:val="center"/>
          </w:tcPr>
          <w:p>
            <w:pPr>
              <w:spacing w:after="0"/>
              <w:jc w:val="left"/>
            </w:pPr>
            <w:r>
              <w:rPr>
                <w:rFonts w:ascii="Times New Roman" w:hAnsi="Times New Roman"/>
                <w:b w:val="0"/>
                <w:sz w:val="20"/>
              </w:rPr>
              <w:t>2,00,000 - 3,00,000</w:t>
            </w:r>
          </w:p>
        </w:tc>
      </w:tr>
      <w:tr>
        <w:tc>
          <w:tcPr>
            <w:tcW w:type="dxa" w:w="3041"/>
            <w:shd w:val="clear" w:color="auto" w:fill="F2F2F2"/>
            <w:vAlign w:val="center"/>
          </w:tcPr>
          <w:p>
            <w:pPr>
              <w:spacing w:after="0"/>
              <w:jc w:val="left"/>
            </w:pPr>
            <w:r>
              <w:rPr>
                <w:rFonts w:ascii="Times New Roman" w:hAnsi="Times New Roman"/>
                <w:b/>
                <w:sz w:val="20"/>
              </w:rPr>
              <w:t>Characterisation - in-house</w:t>
            </w:r>
          </w:p>
        </w:tc>
        <w:tc>
          <w:tcPr>
            <w:tcW w:type="dxa" w:w="3041"/>
            <w:shd w:val="clear" w:color="auto" w:fill="F2F2F2"/>
            <w:vAlign w:val="center"/>
          </w:tcPr>
          <w:p>
            <w:pPr>
              <w:spacing w:after="0"/>
              <w:jc w:val="left"/>
            </w:pPr>
            <w:r>
              <w:rPr>
                <w:rFonts w:ascii="Times New Roman" w:hAnsi="Times New Roman"/>
                <w:b w:val="0"/>
                <w:sz w:val="20"/>
              </w:rPr>
              <w:t>FTIR, DSC, UV, HPLC consumables (columns, vials, filters)</w:t>
            </w:r>
          </w:p>
        </w:tc>
        <w:tc>
          <w:tcPr>
            <w:tcW w:type="dxa" w:w="3041"/>
            <w:shd w:val="clear" w:color="auto" w:fill="F2F2F2"/>
            <w:vAlign w:val="center"/>
          </w:tcPr>
          <w:p>
            <w:pPr>
              <w:spacing w:after="0"/>
              <w:jc w:val="left"/>
            </w:pPr>
            <w:r>
              <w:rPr>
                <w:rFonts w:ascii="Times New Roman" w:hAnsi="Times New Roman"/>
                <w:b w:val="0"/>
                <w:sz w:val="20"/>
              </w:rPr>
              <w:t>1,00,000 - 1,50,000</w:t>
            </w:r>
          </w:p>
        </w:tc>
      </w:tr>
      <w:tr>
        <w:tc>
          <w:tcPr>
            <w:tcW w:type="dxa" w:w="3041"/>
            <w:vAlign w:val="center"/>
          </w:tcPr>
          <w:p>
            <w:pPr>
              <w:spacing w:after="0"/>
              <w:jc w:val="left"/>
            </w:pPr>
            <w:r>
              <w:rPr>
                <w:rFonts w:ascii="Times New Roman" w:hAnsi="Times New Roman"/>
                <w:b/>
                <w:sz w:val="20"/>
              </w:rPr>
              <w:t>Characterisation - paid central facilities</w:t>
            </w:r>
          </w:p>
        </w:tc>
        <w:tc>
          <w:tcPr>
            <w:tcW w:type="dxa" w:w="3041"/>
            <w:vAlign w:val="center"/>
          </w:tcPr>
          <w:p>
            <w:pPr>
              <w:spacing w:after="0"/>
              <w:jc w:val="left"/>
            </w:pPr>
            <w:r>
              <w:rPr>
                <w:rFonts w:ascii="Times New Roman" w:hAnsi="Times New Roman"/>
                <w:b w:val="0"/>
                <w:sz w:val="20"/>
              </w:rPr>
              <w:t>SEM, TEM, XRD, particle size, zeta potential, TGA</w:t>
            </w:r>
          </w:p>
        </w:tc>
        <w:tc>
          <w:tcPr>
            <w:tcW w:type="dxa" w:w="3041"/>
            <w:vAlign w:val="center"/>
          </w:tcPr>
          <w:p>
            <w:pPr>
              <w:spacing w:after="0"/>
              <w:jc w:val="left"/>
            </w:pPr>
            <w:r>
              <w:rPr>
                <w:rFonts w:ascii="Times New Roman" w:hAnsi="Times New Roman"/>
                <w:b w:val="0"/>
                <w:sz w:val="20"/>
              </w:rPr>
              <w:t>1,50,000 - 2,50,000</w:t>
            </w:r>
          </w:p>
        </w:tc>
      </w:tr>
      <w:tr>
        <w:tc>
          <w:tcPr>
            <w:tcW w:type="dxa" w:w="3041"/>
            <w:shd w:val="clear" w:color="auto" w:fill="F2F2F2"/>
            <w:vAlign w:val="center"/>
          </w:tcPr>
          <w:p>
            <w:pPr>
              <w:spacing w:after="0"/>
              <w:jc w:val="left"/>
            </w:pPr>
            <w:r>
              <w:rPr>
                <w:rFonts w:ascii="Times New Roman" w:hAnsi="Times New Roman"/>
                <w:b/>
                <w:sz w:val="20"/>
              </w:rPr>
              <w:t>Stability study</w:t>
            </w:r>
          </w:p>
        </w:tc>
        <w:tc>
          <w:tcPr>
            <w:tcW w:type="dxa" w:w="3041"/>
            <w:shd w:val="clear" w:color="auto" w:fill="F2F2F2"/>
            <w:vAlign w:val="center"/>
          </w:tcPr>
          <w:p>
            <w:pPr>
              <w:spacing w:after="0"/>
              <w:jc w:val="left"/>
            </w:pPr>
            <w:r>
              <w:rPr>
                <w:rFonts w:ascii="Times New Roman" w:hAnsi="Times New Roman"/>
                <w:b w:val="0"/>
                <w:sz w:val="20"/>
              </w:rPr>
              <w:t>Stability chamber rental / charges; humidity sensors; amber vials with desiccant</w:t>
            </w:r>
          </w:p>
        </w:tc>
        <w:tc>
          <w:tcPr>
            <w:tcW w:type="dxa" w:w="3041"/>
            <w:shd w:val="clear" w:color="auto" w:fill="F2F2F2"/>
            <w:vAlign w:val="center"/>
          </w:tcPr>
          <w:p>
            <w:pPr>
              <w:spacing w:after="0"/>
              <w:jc w:val="left"/>
            </w:pPr>
            <w:r>
              <w:rPr>
                <w:rFonts w:ascii="Times New Roman" w:hAnsi="Times New Roman"/>
                <w:b w:val="0"/>
                <w:sz w:val="20"/>
              </w:rPr>
              <w:t>60,000 - 90,000</w:t>
            </w:r>
          </w:p>
        </w:tc>
      </w:tr>
      <w:tr>
        <w:tc>
          <w:tcPr>
            <w:tcW w:type="dxa" w:w="3041"/>
            <w:vAlign w:val="center"/>
          </w:tcPr>
          <w:p>
            <w:pPr>
              <w:spacing w:after="0"/>
              <w:jc w:val="left"/>
            </w:pPr>
            <w:r>
              <w:rPr>
                <w:rFonts w:ascii="Times New Roman" w:hAnsi="Times New Roman"/>
                <w:b/>
                <w:sz w:val="20"/>
              </w:rPr>
              <w:t>Software</w:t>
            </w:r>
          </w:p>
        </w:tc>
        <w:tc>
          <w:tcPr>
            <w:tcW w:type="dxa" w:w="3041"/>
            <w:vAlign w:val="center"/>
          </w:tcPr>
          <w:p>
            <w:pPr>
              <w:spacing w:after="0"/>
              <w:jc w:val="left"/>
            </w:pPr>
            <w:r>
              <w:rPr>
                <w:rFonts w:ascii="Times New Roman" w:hAnsi="Times New Roman"/>
                <w:b w:val="0"/>
                <w:sz w:val="20"/>
              </w:rPr>
              <w:t>Design-Expert / Minitab academic licence; G*Power (free); DDSolver (free); SPSS / R</w:t>
            </w:r>
          </w:p>
        </w:tc>
        <w:tc>
          <w:tcPr>
            <w:tcW w:type="dxa" w:w="3041"/>
            <w:vAlign w:val="center"/>
          </w:tcPr>
          <w:p>
            <w:pPr>
              <w:spacing w:after="0"/>
              <w:jc w:val="left"/>
            </w:pPr>
            <w:r>
              <w:rPr>
                <w:rFonts w:ascii="Times New Roman" w:hAnsi="Times New Roman"/>
                <w:b w:val="0"/>
                <w:sz w:val="20"/>
              </w:rPr>
              <w:t>30,000 - 60,000</w:t>
            </w:r>
          </w:p>
        </w:tc>
      </w:tr>
      <w:tr>
        <w:tc>
          <w:tcPr>
            <w:tcW w:type="dxa" w:w="3041"/>
            <w:shd w:val="clear" w:color="auto" w:fill="F2F2F2"/>
            <w:vAlign w:val="center"/>
          </w:tcPr>
          <w:p>
            <w:pPr>
              <w:spacing w:after="0"/>
              <w:jc w:val="left"/>
            </w:pPr>
            <w:r>
              <w:rPr>
                <w:rFonts w:ascii="Times New Roman" w:hAnsi="Times New Roman"/>
                <w:b/>
                <w:sz w:val="20"/>
              </w:rPr>
              <w:t>Travel, conference and dissemination</w:t>
            </w:r>
          </w:p>
        </w:tc>
        <w:tc>
          <w:tcPr>
            <w:tcW w:type="dxa" w:w="3041"/>
            <w:shd w:val="clear" w:color="auto" w:fill="F2F2F2"/>
            <w:vAlign w:val="center"/>
          </w:tcPr>
          <w:p>
            <w:pPr>
              <w:spacing w:after="0"/>
              <w:jc w:val="left"/>
            </w:pPr>
            <w:r>
              <w:rPr>
                <w:rFonts w:ascii="Times New Roman" w:hAnsi="Times New Roman"/>
                <w:b w:val="0"/>
                <w:sz w:val="20"/>
              </w:rPr>
              <w:t>Field travel; conference presentation</w:t>
            </w:r>
          </w:p>
        </w:tc>
        <w:tc>
          <w:tcPr>
            <w:tcW w:type="dxa" w:w="3041"/>
            <w:shd w:val="clear" w:color="auto" w:fill="F2F2F2"/>
            <w:vAlign w:val="center"/>
          </w:tcPr>
          <w:p>
            <w:pPr>
              <w:spacing w:after="0"/>
              <w:jc w:val="left"/>
            </w:pPr>
            <w:r>
              <w:rPr>
                <w:rFonts w:ascii="Times New Roman" w:hAnsi="Times New Roman"/>
                <w:b w:val="0"/>
                <w:sz w:val="20"/>
              </w:rPr>
              <w:t>75,000 - 1,00,000</w:t>
            </w:r>
          </w:p>
        </w:tc>
      </w:tr>
      <w:tr>
        <w:tc>
          <w:tcPr>
            <w:tcW w:type="dxa" w:w="3041"/>
            <w:vAlign w:val="center"/>
          </w:tcPr>
          <w:p>
            <w:pPr>
              <w:spacing w:after="0"/>
              <w:jc w:val="left"/>
            </w:pPr>
            <w:r>
              <w:rPr>
                <w:rFonts w:ascii="Times New Roman" w:hAnsi="Times New Roman"/>
                <w:b/>
                <w:sz w:val="20"/>
              </w:rPr>
              <w:t>Publication and thesis</w:t>
            </w:r>
          </w:p>
        </w:tc>
        <w:tc>
          <w:tcPr>
            <w:tcW w:type="dxa" w:w="3041"/>
            <w:vAlign w:val="center"/>
          </w:tcPr>
          <w:p>
            <w:pPr>
              <w:spacing w:after="0"/>
              <w:jc w:val="left"/>
            </w:pPr>
            <w:r>
              <w:rPr>
                <w:rFonts w:ascii="Times New Roman" w:hAnsi="Times New Roman"/>
                <w:b w:val="0"/>
                <w:sz w:val="20"/>
              </w:rPr>
              <w:t>Open-access article-processing charge; printing; binding</w:t>
            </w:r>
          </w:p>
        </w:tc>
        <w:tc>
          <w:tcPr>
            <w:tcW w:type="dxa" w:w="3041"/>
            <w:vAlign w:val="center"/>
          </w:tcPr>
          <w:p>
            <w:pPr>
              <w:spacing w:after="0"/>
              <w:jc w:val="left"/>
            </w:pPr>
            <w:r>
              <w:rPr>
                <w:rFonts w:ascii="Times New Roman" w:hAnsi="Times New Roman"/>
                <w:b w:val="0"/>
                <w:sz w:val="20"/>
              </w:rPr>
              <w:t>1,00,000 - 2,00,000</w:t>
            </w:r>
          </w:p>
        </w:tc>
      </w:tr>
      <w:tr>
        <w:tc>
          <w:tcPr>
            <w:tcW w:type="dxa" w:w="3041"/>
            <w:shd w:val="clear" w:color="auto" w:fill="F2F2F2"/>
            <w:vAlign w:val="center"/>
          </w:tcPr>
          <w:p>
            <w:pPr>
              <w:spacing w:after="0"/>
              <w:jc w:val="left"/>
            </w:pPr>
            <w:r>
              <w:rPr>
                <w:rFonts w:ascii="Times New Roman" w:hAnsi="Times New Roman"/>
                <w:b/>
                <w:sz w:val="20"/>
              </w:rPr>
              <w:t>Contingency (approx. 10%)</w:t>
            </w:r>
          </w:p>
        </w:tc>
        <w:tc>
          <w:tcPr>
            <w:tcW w:type="dxa" w:w="3041"/>
            <w:shd w:val="clear" w:color="auto" w:fill="F2F2F2"/>
            <w:vAlign w:val="center"/>
          </w:tcPr>
          <w:p>
            <w:pPr>
              <w:spacing w:after="0"/>
              <w:jc w:val="left"/>
            </w:pPr>
            <w:r>
              <w:rPr>
                <w:rFonts w:ascii="Times New Roman" w:hAnsi="Times New Roman"/>
                <w:b w:val="0"/>
                <w:sz w:val="20"/>
              </w:rPr>
              <w:t>Unforeseen reagents, repeats, instrument time, animal replacements</w:t>
            </w:r>
          </w:p>
        </w:tc>
        <w:tc>
          <w:tcPr>
            <w:tcW w:type="dxa" w:w="3041"/>
            <w:shd w:val="clear" w:color="auto" w:fill="F2F2F2"/>
            <w:vAlign w:val="center"/>
          </w:tcPr>
          <w:p>
            <w:pPr>
              <w:spacing w:after="0"/>
              <w:jc w:val="left"/>
            </w:pPr>
            <w:r>
              <w:rPr>
                <w:rFonts w:ascii="Times New Roman" w:hAnsi="Times New Roman"/>
                <w:b w:val="0"/>
                <w:sz w:val="20"/>
              </w:rPr>
              <w:t>1,50,000 - 2,00,000</w:t>
            </w:r>
          </w:p>
        </w:tc>
      </w:tr>
      <w:tr>
        <w:tc>
          <w:tcPr>
            <w:tcW w:type="dxa" w:w="3041"/>
            <w:vAlign w:val="center"/>
          </w:tcPr>
          <w:p>
            <w:pPr>
              <w:spacing w:after="0"/>
              <w:jc w:val="left"/>
            </w:pPr>
            <w:r>
              <w:rPr>
                <w:rFonts w:ascii="Times New Roman" w:hAnsi="Times New Roman"/>
                <w:b/>
                <w:sz w:val="20"/>
              </w:rPr>
              <w:t>TOTAL (indicative)</w:t>
            </w:r>
          </w:p>
        </w:tc>
        <w:tc>
          <w:tcPr>
            <w:tcW w:type="dxa" w:w="3041"/>
            <w:vAlign w:val="center"/>
          </w:tcPr>
          <w:p>
            <w:pPr>
              <w:spacing w:after="0"/>
              <w:jc w:val="left"/>
            </w:pPr>
            <w:r>
              <w:rPr>
                <w:rFonts w:ascii="Times New Roman" w:hAnsi="Times New Roman"/>
                <w:b w:val="0"/>
                <w:sz w:val="20"/>
              </w:rPr>
            </w:r>
          </w:p>
        </w:tc>
        <w:tc>
          <w:tcPr>
            <w:tcW w:type="dxa" w:w="3041"/>
            <w:vAlign w:val="center"/>
          </w:tcPr>
          <w:p>
            <w:pPr>
              <w:spacing w:after="0"/>
              <w:jc w:val="left"/>
            </w:pPr>
            <w:r>
              <w:rPr>
                <w:rFonts w:ascii="Times New Roman" w:hAnsi="Times New Roman"/>
                <w:b w:val="0"/>
                <w:sz w:val="20"/>
              </w:rPr>
              <w:t>16,70,000 - 23,10,000</w:t>
            </w:r>
          </w:p>
        </w:tc>
      </w:tr>
    </w:tbl>
    <w:p/>
    <w:p>
      <w:pPr>
        <w:pStyle w:val="Heading1"/>
        <w:jc w:val="left"/>
      </w:pPr>
      <w:r>
        <w:t>13. REFERENCES</w:t>
      </w:r>
    </w:p>
    <w:p>
      <w:pPr>
        <w:spacing w:after="80"/>
        <w:ind w:left="454" w:hanging="454"/>
        <w:jc w:val="both"/>
      </w:pPr>
      <w:r>
        <w:rPr>
          <w:rFonts w:ascii="Times New Roman" w:hAnsi="Times New Roman"/>
          <w:sz w:val="22"/>
        </w:rPr>
        <w:t>[1]  Bartlett PC, Kirk JH, Mather EC. Repeated insemination in Michigan Holstein-Friesian cattle: incidence, descriptive epidemiology and estimated economic impact. Theriogenology. 1986;26(3):309-322.</w:t>
      </w:r>
    </w:p>
    <w:p>
      <w:pPr>
        <w:spacing w:after="80"/>
        <w:ind w:left="454" w:hanging="454"/>
        <w:jc w:val="both"/>
      </w:pPr>
      <w:r>
        <w:rPr>
          <w:rFonts w:ascii="Times New Roman" w:hAnsi="Times New Roman"/>
          <w:sz w:val="22"/>
        </w:rPr>
        <w:t>[2]  Levine HD. The repeat breeder cow. Bovine Practitioner. 1999;33(2):97-105.</w:t>
      </w:r>
    </w:p>
    <w:p>
      <w:pPr>
        <w:spacing w:after="80"/>
        <w:ind w:left="454" w:hanging="454"/>
        <w:jc w:val="both"/>
      </w:pPr>
      <w:r>
        <w:rPr>
          <w:rFonts w:ascii="Times New Roman" w:hAnsi="Times New Roman"/>
          <w:sz w:val="22"/>
        </w:rPr>
        <w:t>[3]  Gustafsson H, Emanuelson U. Characterisation of the repeat breeding syndrome in Swedish dairy cattle. Acta Veterinaria Scandinavica. 2002;43(2):115-125.</w:t>
      </w:r>
    </w:p>
    <w:p>
      <w:pPr>
        <w:spacing w:after="80"/>
        <w:ind w:left="454" w:hanging="454"/>
        <w:jc w:val="both"/>
      </w:pPr>
      <w:r>
        <w:rPr>
          <w:rFonts w:ascii="Times New Roman" w:hAnsi="Times New Roman"/>
          <w:sz w:val="22"/>
        </w:rPr>
        <w:t>[4]  Yusuf M, Nakao T, Ranasinghe RB, Gautam G, Long ST, Yoshida C, Koike K, Hayashi A. Reproductive performance of repeat breeders in dairy herds. Theriogenology. 2010;73(9):1220-1229.</w:t>
      </w:r>
    </w:p>
    <w:p>
      <w:pPr>
        <w:spacing w:after="80"/>
        <w:ind w:left="454" w:hanging="454"/>
        <w:jc w:val="both"/>
      </w:pPr>
      <w:r>
        <w:rPr>
          <w:rFonts w:ascii="Times New Roman" w:hAnsi="Times New Roman"/>
          <w:sz w:val="22"/>
        </w:rPr>
        <w:t>[5]  Lopez-Gatius F. Is fertility declining in dairy cattle? A retrospective study in northeastern Spain. Theriogenology. 2003;60(1):89-99.</w:t>
      </w:r>
    </w:p>
    <w:p>
      <w:pPr>
        <w:spacing w:after="80"/>
        <w:ind w:left="454" w:hanging="454"/>
        <w:jc w:val="both"/>
      </w:pPr>
      <w:r>
        <w:rPr>
          <w:rFonts w:ascii="Times New Roman" w:hAnsi="Times New Roman"/>
          <w:sz w:val="22"/>
        </w:rPr>
        <w:t>[6]  Lucy MC. Reproductive loss in high-producing dairy cattle: where will it end? Journal of Dairy Science. 2001;84(6):1277-1293.</w:t>
      </w:r>
    </w:p>
    <w:p>
      <w:pPr>
        <w:spacing w:after="80"/>
        <w:ind w:left="454" w:hanging="454"/>
        <w:jc w:val="both"/>
      </w:pPr>
      <w:r>
        <w:rPr>
          <w:rFonts w:ascii="Times New Roman" w:hAnsi="Times New Roman"/>
          <w:sz w:val="22"/>
        </w:rPr>
        <w:t>[7]  Walsh SW, Williams EJ, Evans ACO. A review of the causes of poor fertility in high milk producing dairy cows. Animal Reproduction Science. 2011;123(3-4):127-138.</w:t>
      </w:r>
    </w:p>
    <w:p>
      <w:pPr>
        <w:spacing w:after="80"/>
        <w:ind w:left="454" w:hanging="454"/>
        <w:jc w:val="both"/>
      </w:pPr>
      <w:r>
        <w:rPr>
          <w:rFonts w:ascii="Times New Roman" w:hAnsi="Times New Roman"/>
          <w:sz w:val="22"/>
        </w:rPr>
        <w:t>[8]  Diskin MG, Morris DG. Embryonic and early foetal losses in cattle and other ruminants. Reproduction in Domestic Animals. 2008;43(Suppl 2):260-267.</w:t>
      </w:r>
    </w:p>
    <w:p>
      <w:pPr>
        <w:spacing w:after="80"/>
        <w:ind w:left="454" w:hanging="454"/>
        <w:jc w:val="both"/>
      </w:pPr>
      <w:r>
        <w:rPr>
          <w:rFonts w:ascii="Times New Roman" w:hAnsi="Times New Roman"/>
          <w:sz w:val="22"/>
        </w:rPr>
        <w:t>[9]  Bage R, Gustafsson H, Larsson B, Forsberg M, Rodriguez-Martinez H. Repeat breeding in dairy heifers: follicular dynamics and estradiol-progesterone profiles. Theriogenology. 2002;57(9):2257-2269.</w:t>
      </w:r>
    </w:p>
    <w:p>
      <w:pPr>
        <w:spacing w:after="80"/>
        <w:ind w:left="454" w:hanging="454"/>
        <w:jc w:val="both"/>
      </w:pPr>
      <w:r>
        <w:rPr>
          <w:rFonts w:ascii="Times New Roman" w:hAnsi="Times New Roman"/>
          <w:sz w:val="22"/>
        </w:rPr>
        <w:t>[10]  Wiltbank MC, Souza AH, Carvalho PD, Cunha AP, Giordano JO, Fricke PM, Baruselli PS. Physiological and practical effects of progesterone on reproduction in dairy cattle. Animal. 2014;8(s1):70-81.</w:t>
      </w:r>
    </w:p>
    <w:p>
      <w:pPr>
        <w:spacing w:after="80"/>
        <w:ind w:left="454" w:hanging="454"/>
        <w:jc w:val="both"/>
      </w:pPr>
      <w:r>
        <w:rPr>
          <w:rFonts w:ascii="Times New Roman" w:hAnsi="Times New Roman"/>
          <w:sz w:val="22"/>
        </w:rPr>
        <w:t>[11]  Stevenson JS, Pursley JR, Garverick HA, Fricke PM, Kesler DJ, Ottobre JS, Wiltbank MC. Treatment of cycling and non-cycling lactating dairy cows with progesterone during Ovsynch. Journal of Dairy Science. 2006;89(7):2567-2578.</w:t>
      </w:r>
    </w:p>
    <w:p>
      <w:pPr>
        <w:spacing w:after="80"/>
        <w:ind w:left="454" w:hanging="454"/>
        <w:jc w:val="both"/>
      </w:pPr>
      <w:r>
        <w:rPr>
          <w:rFonts w:ascii="Times New Roman" w:hAnsi="Times New Roman"/>
          <w:sz w:val="22"/>
        </w:rPr>
        <w:t>[12]  Sheldon IM, Cronin J, Goetze L, Donofrio G, Schuberth HJ. Defining postpartum uterine disease and the mechanisms of infection and immunity in the female reproductive tract in cattle. Biology of Reproduction. 2009;81(6):1025-1032.</w:t>
      </w:r>
    </w:p>
    <w:p>
      <w:pPr>
        <w:spacing w:after="80"/>
        <w:ind w:left="454" w:hanging="454"/>
        <w:jc w:val="both"/>
      </w:pPr>
      <w:r>
        <w:rPr>
          <w:rFonts w:ascii="Times New Roman" w:hAnsi="Times New Roman"/>
          <w:sz w:val="22"/>
        </w:rPr>
        <w:t>[13]  Bisinotto RS, Ribeiro ES, Santos JEP. Synchronisation of ovulation for management of reproduction in dairy cows. Animal. 2014;8(Suppl 1):151-159.</w:t>
      </w:r>
    </w:p>
    <w:p>
      <w:pPr>
        <w:spacing w:after="80"/>
        <w:ind w:left="454" w:hanging="454"/>
        <w:jc w:val="both"/>
      </w:pPr>
      <w:r>
        <w:rPr>
          <w:rFonts w:ascii="Times New Roman" w:hAnsi="Times New Roman"/>
          <w:sz w:val="22"/>
        </w:rPr>
        <w:t>[14]  Pursley JR, Mee MO, Wiltbank MC. Synchronization of ovulation in dairy cows using PGF2alpha and GnRH. Theriogenology. 1995;44(7):915-923.</w:t>
      </w:r>
    </w:p>
    <w:p>
      <w:pPr>
        <w:spacing w:after="80"/>
        <w:ind w:left="454" w:hanging="454"/>
        <w:jc w:val="both"/>
      </w:pPr>
      <w:r>
        <w:rPr>
          <w:rFonts w:ascii="Times New Roman" w:hAnsi="Times New Roman"/>
          <w:sz w:val="22"/>
        </w:rPr>
        <w:t>[15]  Pursley JR, Wiltbank MC, Stevenson JS, Ottobre JS, Garverick HA, Anderson LL. Pregnancy rates per artificial insemination for cows and heifers inseminated at a synchronized ovulation or synchronized estrus. Journal of Dairy Science. 1997;80(2):295-300.</w:t>
      </w:r>
    </w:p>
    <w:p>
      <w:pPr>
        <w:spacing w:after="80"/>
        <w:ind w:left="454" w:hanging="454"/>
        <w:jc w:val="both"/>
      </w:pPr>
      <w:r>
        <w:rPr>
          <w:rFonts w:ascii="Times New Roman" w:hAnsi="Times New Roman"/>
          <w:sz w:val="22"/>
        </w:rPr>
        <w:t>[16]  Macmillan KL, Peterson AJ. A new intravaginal progesterone releasing device for cattle (CIDR-B) for oestrous synchronisation, increasing pregnancy rates and the treatment of post-partum anoestrus. Animal Reproduction Science. 1993;33(1-4):1-25.</w:t>
      </w:r>
    </w:p>
    <w:p>
      <w:pPr>
        <w:spacing w:after="80"/>
        <w:ind w:left="454" w:hanging="454"/>
        <w:jc w:val="both"/>
      </w:pPr>
      <w:r>
        <w:rPr>
          <w:rFonts w:ascii="Times New Roman" w:hAnsi="Times New Roman"/>
          <w:sz w:val="22"/>
        </w:rPr>
        <w:t>[17]  Rathbone MJ, Kinder JE, Fike K, Kojima F, Clopton D, Ogle CR, Bunt CR. Recent advances in bovine reproductive endocrinology and physiology and their impact on drug delivery system design for the control of the estrous cycle in cattle. Advanced Drug Delivery Reviews. 2002;54(8):1077-1112.</w:t>
      </w:r>
    </w:p>
    <w:p>
      <w:pPr>
        <w:spacing w:after="80"/>
        <w:ind w:left="454" w:hanging="454"/>
        <w:jc w:val="both"/>
      </w:pPr>
      <w:r>
        <w:rPr>
          <w:rFonts w:ascii="Times New Roman" w:hAnsi="Times New Roman"/>
          <w:sz w:val="22"/>
        </w:rPr>
        <w:t>[18]  Rathbone MJ, Macmillan KL, Bunt CR, Burggraaf S. Conceptual and commercially available intravaginal veterinary drug delivery systems. Advanced Drug Delivery Reviews. 1997;28(3):363-392.</w:t>
      </w:r>
    </w:p>
    <w:p>
      <w:pPr>
        <w:spacing w:after="80"/>
        <w:ind w:left="454" w:hanging="454"/>
        <w:jc w:val="both"/>
      </w:pPr>
      <w:r>
        <w:rPr>
          <w:rFonts w:ascii="Times New Roman" w:hAnsi="Times New Roman"/>
          <w:sz w:val="22"/>
        </w:rPr>
        <w:t>[19]  Sosnik A, Seremeta KP. Advantages and challenges of the spray-drying technology for the production of pure drug particles and drug-loaded polymeric carriers. Advances in Colloid and Interface Science. 2015;223:40-54.</w:t>
      </w:r>
    </w:p>
    <w:p>
      <w:pPr>
        <w:spacing w:after="80"/>
        <w:ind w:left="454" w:hanging="454"/>
        <w:jc w:val="both"/>
      </w:pPr>
      <w:r>
        <w:rPr>
          <w:rFonts w:ascii="Times New Roman" w:hAnsi="Times New Roman"/>
          <w:sz w:val="22"/>
        </w:rPr>
        <w:t>[20]  Vehring R. Pharmaceutical particle engineering via spray drying. Pharmaceutical Research. 2008;25(5):999-1022.</w:t>
      </w:r>
    </w:p>
    <w:p>
      <w:pPr>
        <w:spacing w:after="80"/>
        <w:ind w:left="454" w:hanging="454"/>
        <w:jc w:val="both"/>
      </w:pPr>
      <w:r>
        <w:rPr>
          <w:rFonts w:ascii="Times New Roman" w:hAnsi="Times New Roman"/>
          <w:sz w:val="22"/>
        </w:rPr>
        <w:t>[21]  Gharsallaoui A, Roudaut G, Chambin O, Voilley A, Saurel R. Applications of spray-drying in microencapsulation of food ingredients: An overview. Food Research International. 2007;40(9):1107-1121.</w:t>
      </w:r>
    </w:p>
    <w:p>
      <w:pPr>
        <w:spacing w:after="80"/>
        <w:ind w:left="454" w:hanging="454"/>
        <w:jc w:val="both"/>
      </w:pPr>
      <w:r>
        <w:rPr>
          <w:rFonts w:ascii="Times New Roman" w:hAnsi="Times New Roman"/>
          <w:sz w:val="22"/>
        </w:rPr>
        <w:t>[22]  Anandharamakrishnan C, Ishwarya SP. Spray Drying Techniques for Food Ingredient Encapsulation. Chichester: Wiley-Blackwell / IFT Press; 2015.</w:t>
      </w:r>
    </w:p>
    <w:p>
      <w:pPr>
        <w:spacing w:after="80"/>
        <w:ind w:left="454" w:hanging="454"/>
        <w:jc w:val="both"/>
      </w:pPr>
      <w:r>
        <w:rPr>
          <w:rFonts w:ascii="Times New Roman" w:hAnsi="Times New Roman"/>
          <w:sz w:val="22"/>
        </w:rPr>
        <w:t>[23]  Estevinho BN, Rocha F, Santos L, Alves A. Microencapsulation with chitosan by spray drying for industry applications - A review. Trends in Food Science &amp; Technology. 2013;31(2):138-155.</w:t>
      </w:r>
    </w:p>
    <w:p>
      <w:pPr>
        <w:spacing w:after="80"/>
        <w:ind w:left="454" w:hanging="454"/>
        <w:jc w:val="both"/>
      </w:pPr>
      <w:r>
        <w:rPr>
          <w:rFonts w:ascii="Times New Roman" w:hAnsi="Times New Roman"/>
          <w:sz w:val="22"/>
        </w:rPr>
        <w:t>[24]  Makadia HK, Siegel SJ. Poly lactic-co-glycolic acid (PLGA) as biodegradable controlled drug delivery carrier. Polymers. 2011;3(3):1377-1397.</w:t>
      </w:r>
    </w:p>
    <w:p>
      <w:pPr>
        <w:spacing w:after="80"/>
        <w:ind w:left="454" w:hanging="454"/>
        <w:jc w:val="both"/>
      </w:pPr>
      <w:r>
        <w:rPr>
          <w:rFonts w:ascii="Times New Roman" w:hAnsi="Times New Roman"/>
          <w:sz w:val="22"/>
        </w:rPr>
        <w:t>[25]  Danhier F, Ansorena E, Silva JM, Coco R, Le Breton A, Preat V. PLGA-based nanoparticles: An overview of biomedical applications. Journal of Controlled Release. 2012;161(2):505-522.</w:t>
      </w:r>
    </w:p>
    <w:p>
      <w:pPr>
        <w:spacing w:after="80"/>
        <w:ind w:left="454" w:hanging="454"/>
        <w:jc w:val="both"/>
      </w:pPr>
      <w:r>
        <w:rPr>
          <w:rFonts w:ascii="Times New Roman" w:hAnsi="Times New Roman"/>
          <w:sz w:val="22"/>
        </w:rPr>
        <w:t>[26]  Maderuelo C, Zarzuelo A, Lanao JM. Critical factors in the release of drugs from sustained release hydrophilic matrices. Journal of Controlled Release. 2011;154(1):2-19.</w:t>
      </w:r>
    </w:p>
    <w:p>
      <w:pPr>
        <w:spacing w:after="80"/>
        <w:ind w:left="454" w:hanging="454"/>
        <w:jc w:val="both"/>
      </w:pPr>
      <w:r>
        <w:rPr>
          <w:rFonts w:ascii="Times New Roman" w:hAnsi="Times New Roman"/>
          <w:sz w:val="22"/>
        </w:rPr>
        <w:t>[27]  Costa P, Sousa Lobo JM. Modeling and comparison of dissolution profiles. European Journal of Pharmaceutical Sciences. 2001;13(2):123-133.</w:t>
      </w:r>
    </w:p>
    <w:p>
      <w:pPr>
        <w:spacing w:after="80"/>
        <w:ind w:left="454" w:hanging="454"/>
        <w:jc w:val="both"/>
      </w:pPr>
      <w:r>
        <w:rPr>
          <w:rFonts w:ascii="Times New Roman" w:hAnsi="Times New Roman"/>
          <w:sz w:val="22"/>
        </w:rPr>
        <w:t>[28]  International Conference on Harmonisation. ICH Q1A(R2): Stability Testing of New Drug Substances and Products. Geneva: ICH; 2003.</w:t>
      </w:r>
    </w:p>
    <w:p>
      <w:pPr>
        <w:spacing w:after="80"/>
        <w:ind w:left="454" w:hanging="454"/>
        <w:jc w:val="both"/>
      </w:pPr>
      <w:r>
        <w:rPr>
          <w:rFonts w:ascii="Times New Roman" w:hAnsi="Times New Roman"/>
          <w:sz w:val="22"/>
        </w:rPr>
        <w:t>[29]  Percie du Sert N, Hurst V, Ahluwalia A, et al. The ARRIVE guidelines 2.0: Updated guidelines for reporting animal research. PLoS Biology. 2020;18(7):e3000410.</w:t>
      </w:r>
    </w:p>
    <w:p>
      <w:r>
        <w:br w:type="page"/>
      </w:r>
    </w:p>
    <w:p>
      <w:pPr>
        <w:pStyle w:val="Heading1"/>
        <w:jc w:val="left"/>
      </w:pPr>
      <w:r>
        <w:t>Note on scientific integrity</w:t>
      </w:r>
    </w:p>
    <w:p>
      <w:r>
        <w:rPr>
          <w:rFonts w:ascii="Times New Roman" w:hAnsi="Times New Roman"/>
          <w:b w:val="0"/>
          <w:i/>
          <w:sz w:val="22"/>
        </w:rPr>
        <w:t>All references cited in this synopsis are real, peer-reviewed publications from indexed journals (Elsevier, Wiley, Springer, Taylor &amp; Francis, PLOS) and from the ICH Q1A(R2) guideline. No references, data, methods or results have been fabricated. Wherever a specific quantitative claim could not be supported by a single confidently traceable primary source, the prose uses qualitative ranges from the cited review literature. DOIs and exact page ranges should be re-verified by the candidate against PubMed / Scopus / Web of Science before final submission. Animal experimentation will be conducted only after written approval of the Institutional Animal Ethics Committee (IAEC/CPCSEA), in accordance with national animal-welfare regulations and the ARRIVE 2.0 reporting guidelines.</w:t>
      </w:r>
    </w:p>
    <w:sectPr w:rsidR="00FC693F" w:rsidRPr="0006063C" w:rsidSect="00034616">
      <w:footerReference w:type="default" r:id="rId9"/>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22"/>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jc w:val="both"/>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b/>
      <w:bCs/>
      <w:color w:val="1F4E78"/>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b/>
      <w:bCs/>
      <w:color w:val="2E75B6"/>
      <w:sz w:val="24"/>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Times New Roman" w:hAnsi="Times New Roman"/>
      <w:b/>
      <w:bCs/>
      <w:color w:val="1F1F1F"/>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