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numPr>
          <w:ilvl w:val="0"/>
          <w:numId w:val="1"/>
        </w:numPr>
        <w:kinsoku/>
        <w:wordWrap/>
        <w:overflowPunct/>
        <w:topLinePunct w:val="0"/>
        <w:autoSpaceDE/>
        <w:autoSpaceDN/>
        <w:bidi w:val="0"/>
        <w:snapToGrid/>
        <w:spacing w:line="360" w:lineRule="auto"/>
        <w:ind w:left="158" w:leftChars="0" w:firstLine="562" w:firstLineChars="0"/>
        <w:textAlignment w:val="auto"/>
        <w:outlineLvl w:val="0"/>
        <w:rPr>
          <w:rFonts w:hint="default"/>
          <w:b/>
          <w:bCs/>
          <w:color w:val="4F81BD"/>
          <w:sz w:val="28"/>
          <w:szCs w:val="36"/>
          <w:highlight w:val="green"/>
          <w:shd w:val="clear" w:color="FFFFFF" w:fill="D9D9D9"/>
          <w:lang w:val="en-US" w:eastAsia="zh-CN"/>
        </w:rPr>
      </w:pPr>
      <w:bookmarkStart w:id="0" w:name="_Toc11754"/>
      <w:bookmarkStart w:id="1" w:name="_Toc11752"/>
      <w:bookmarkStart w:id="2" w:name="_Toc19410"/>
      <w:bookmarkStart w:id="3" w:name="_Toc1556"/>
      <w:bookmarkStart w:id="4" w:name="_Toc16058"/>
      <w:bookmarkStart w:id="5" w:name="_Toc23724"/>
      <w:bookmarkStart w:id="6" w:name="_Toc4271"/>
      <w:r>
        <w:rPr>
          <w:rFonts w:hint="eastAsia"/>
          <w:b/>
          <w:bCs/>
          <w:color w:val="4F81BD"/>
          <w:sz w:val="28"/>
          <w:szCs w:val="36"/>
          <w:highlight w:val="green"/>
          <w:shd w:val="clear" w:color="FFFFFF" w:fill="D9D9D9"/>
          <w:lang w:val="en-US" w:eastAsia="zh-CN"/>
        </w:rPr>
        <w:t>文中图形、结论文字描述均为ai写作，可自行将自己的结果发给ai，以便更好的降重，ai生成部分会进行绿色标注</w:t>
      </w:r>
      <w:bookmarkEnd w:id="0"/>
      <w:bookmarkEnd w:id="1"/>
      <w:bookmarkEnd w:id="2"/>
      <w:bookmarkEnd w:id="3"/>
    </w:p>
    <w:p>
      <w:pPr>
        <w:keepNext w:val="0"/>
        <w:keepLines w:val="0"/>
        <w:pageBreakBefore w:val="0"/>
        <w:kinsoku/>
        <w:wordWrap/>
        <w:overflowPunct/>
        <w:topLinePunct w:val="0"/>
        <w:autoSpaceDE/>
        <w:autoSpaceDN/>
        <w:bidi w:val="0"/>
        <w:snapToGrid/>
        <w:spacing w:line="360" w:lineRule="auto"/>
        <w:ind w:firstLine="562" w:firstLineChars="200"/>
        <w:textAlignment w:val="auto"/>
        <w:outlineLvl w:val="0"/>
        <w:rPr>
          <w:rFonts w:hint="eastAsia"/>
          <w:b/>
          <w:bCs/>
          <w:color w:val="4F81BD"/>
          <w:sz w:val="28"/>
          <w:szCs w:val="36"/>
          <w:highlight w:val="magenta"/>
          <w:shd w:val="clear" w:color="FFFFFF" w:fill="D9D9D9"/>
          <w:lang w:val="en-US" w:eastAsia="zh-CN"/>
        </w:rPr>
      </w:pPr>
      <w:bookmarkStart w:id="7" w:name="_Toc19749"/>
      <w:bookmarkStart w:id="8" w:name="_Toc5426"/>
      <w:bookmarkStart w:id="9" w:name="_Toc29308"/>
      <w:bookmarkStart w:id="10" w:name="_Toc20488"/>
      <w:r>
        <w:rPr>
          <w:rFonts w:hint="eastAsia"/>
          <w:b/>
          <w:bCs/>
          <w:color w:val="4F81BD"/>
          <w:sz w:val="28"/>
          <w:szCs w:val="36"/>
          <w:highlight w:val="magenta"/>
          <w:shd w:val="clear" w:color="FFFFFF" w:fill="D9D9D9"/>
          <w:lang w:val="en-US" w:eastAsia="zh-CN"/>
        </w:rPr>
        <w:t>必读！！！</w:t>
      </w:r>
      <w:bookmarkStart w:id="11" w:name="_Toc32461"/>
      <w:r>
        <w:rPr>
          <w:rFonts w:hint="eastAsia"/>
          <w:b/>
          <w:bCs/>
          <w:color w:val="4F81BD"/>
          <w:sz w:val="28"/>
          <w:szCs w:val="36"/>
          <w:highlight w:val="magenta"/>
          <w:shd w:val="clear" w:color="FFFFFF" w:fill="D9D9D9"/>
          <w:lang w:val="en-US" w:eastAsia="zh-CN"/>
        </w:rPr>
        <w:t>为了防伪，做出以下防盗措施</w:t>
      </w:r>
      <w:bookmarkEnd w:id="4"/>
      <w:bookmarkEnd w:id="5"/>
      <w:bookmarkEnd w:id="6"/>
      <w:bookmarkEnd w:id="7"/>
      <w:bookmarkEnd w:id="8"/>
      <w:bookmarkEnd w:id="9"/>
      <w:bookmarkEnd w:id="10"/>
    </w:p>
    <w:p>
      <w:pPr>
        <w:keepNext w:val="0"/>
        <w:keepLines w:val="0"/>
        <w:pageBreakBefore w:val="0"/>
        <w:numPr>
          <w:ilvl w:val="0"/>
          <w:numId w:val="2"/>
        </w:numPr>
        <w:kinsoku/>
        <w:wordWrap/>
        <w:overflowPunct/>
        <w:topLinePunct w:val="0"/>
        <w:autoSpaceDE/>
        <w:autoSpaceDN/>
        <w:bidi w:val="0"/>
        <w:snapToGrid/>
        <w:spacing w:line="360" w:lineRule="auto"/>
        <w:ind w:left="-82" w:leftChars="0" w:firstLine="562" w:firstLineChars="0"/>
        <w:textAlignment w:val="auto"/>
        <w:outlineLvl w:val="0"/>
        <w:rPr>
          <w:rFonts w:hint="eastAsia"/>
          <w:b/>
          <w:bCs/>
          <w:color w:val="4F81BD"/>
          <w:sz w:val="28"/>
          <w:szCs w:val="36"/>
          <w:highlight w:val="magenta"/>
          <w:shd w:val="clear" w:color="FFFFFF" w:fill="D9D9D9"/>
          <w:lang w:val="en-US" w:eastAsia="zh-CN"/>
        </w:rPr>
      </w:pPr>
      <w:bookmarkStart w:id="12" w:name="_Toc22314"/>
      <w:bookmarkStart w:id="13" w:name="_Toc13341"/>
      <w:bookmarkStart w:id="14" w:name="_Toc24930"/>
      <w:bookmarkStart w:id="15" w:name="_Toc15651"/>
      <w:bookmarkStart w:id="16" w:name="_Toc19846"/>
      <w:bookmarkStart w:id="17" w:name="_Toc6074"/>
      <w:bookmarkStart w:id="18" w:name="_Toc20788"/>
      <w:r>
        <w:rPr>
          <w:rFonts w:hint="eastAsia"/>
          <w:b/>
          <w:bCs/>
          <w:color w:val="4F81BD"/>
          <w:sz w:val="28"/>
          <w:szCs w:val="36"/>
          <w:highlight w:val="magenta"/>
          <w:shd w:val="clear" w:color="FFFFFF" w:fill="D9D9D9"/>
          <w:lang w:val="en-US" w:eastAsia="zh-CN"/>
        </w:rPr>
        <w:t>目前论文中所有图片均有水印，结束前一天将公布无水印版本</w:t>
      </w:r>
      <w:bookmarkEnd w:id="11"/>
      <w:r>
        <w:rPr>
          <w:rFonts w:hint="eastAsia"/>
          <w:b/>
          <w:bCs/>
          <w:color w:val="4F81BD"/>
          <w:sz w:val="28"/>
          <w:szCs w:val="36"/>
          <w:highlight w:val="magenta"/>
          <w:shd w:val="clear" w:color="FFFFFF" w:fill="D9D9D9"/>
          <w:lang w:val="en-US" w:eastAsia="zh-CN"/>
        </w:rPr>
        <w:t>。</w:t>
      </w:r>
      <w:bookmarkEnd w:id="12"/>
      <w:bookmarkEnd w:id="13"/>
      <w:bookmarkEnd w:id="14"/>
      <w:bookmarkEnd w:id="15"/>
      <w:bookmarkEnd w:id="16"/>
      <w:bookmarkEnd w:id="17"/>
      <w:bookmarkEnd w:id="18"/>
    </w:p>
    <w:p>
      <w:pPr>
        <w:keepNext w:val="0"/>
        <w:keepLines w:val="0"/>
        <w:pageBreakBefore w:val="0"/>
        <w:numPr>
          <w:ilvl w:val="0"/>
          <w:numId w:val="2"/>
        </w:numPr>
        <w:kinsoku/>
        <w:wordWrap/>
        <w:overflowPunct/>
        <w:topLinePunct w:val="0"/>
        <w:autoSpaceDE/>
        <w:autoSpaceDN/>
        <w:bidi w:val="0"/>
        <w:snapToGrid/>
        <w:spacing w:line="360" w:lineRule="auto"/>
        <w:ind w:left="-82" w:leftChars="0" w:firstLine="562" w:firstLineChars="0"/>
        <w:textAlignment w:val="auto"/>
        <w:outlineLvl w:val="0"/>
        <w:rPr>
          <w:rFonts w:hint="default"/>
          <w:b/>
          <w:bCs/>
          <w:color w:val="4F81BD"/>
          <w:sz w:val="28"/>
          <w:szCs w:val="36"/>
          <w:highlight w:val="magenta"/>
          <w:shd w:val="clear" w:color="FFFFFF" w:fill="D9D9D9"/>
          <w:lang w:val="en-US" w:eastAsia="zh-CN"/>
        </w:rPr>
      </w:pPr>
      <w:bookmarkStart w:id="19" w:name="_Toc21827"/>
      <w:bookmarkStart w:id="20" w:name="_Toc21854"/>
      <w:bookmarkStart w:id="21" w:name="_Toc10837"/>
      <w:bookmarkStart w:id="22" w:name="_Toc13878"/>
      <w:bookmarkStart w:id="23" w:name="_Toc32638"/>
      <w:bookmarkStart w:id="24" w:name="_Toc7214"/>
      <w:bookmarkStart w:id="25" w:name="_Toc13958"/>
      <w:r>
        <w:rPr>
          <w:rFonts w:hint="eastAsia"/>
          <w:b/>
          <w:bCs/>
          <w:color w:val="4F81BD"/>
          <w:sz w:val="28"/>
          <w:szCs w:val="36"/>
          <w:highlight w:val="magenta"/>
          <w:shd w:val="clear" w:color="FFFFFF" w:fill="D9D9D9"/>
          <w:lang w:val="en-US" w:eastAsia="zh-CN"/>
        </w:rPr>
        <w:t>在写作过程中，本文求解过程存在明显的模型逻辑问题，该问题会在</w:t>
      </w:r>
      <w:r>
        <w:rPr>
          <w:rFonts w:hint="eastAsia"/>
          <w:b/>
          <w:bCs/>
          <w:color w:val="4F81BD"/>
          <w:sz w:val="28"/>
          <w:szCs w:val="36"/>
          <w:highlight w:val="red"/>
          <w:shd w:val="clear" w:color="FFFFFF" w:fill="D9D9D9"/>
          <w:lang w:val="en-US" w:eastAsia="zh-CN"/>
        </w:rPr>
        <w:t>BZD官方认可的渠道面包多进行购买加入的</w:t>
      </w:r>
      <w:r>
        <w:rPr>
          <w:rFonts w:hint="eastAsia"/>
          <w:b/>
          <w:bCs/>
          <w:color w:val="4F81BD"/>
          <w:sz w:val="28"/>
          <w:szCs w:val="36"/>
          <w:highlight w:val="magenta"/>
          <w:shd w:val="clear" w:color="FFFFFF" w:fill="D9D9D9"/>
          <w:lang w:val="en-US" w:eastAsia="zh-CN"/>
        </w:rPr>
        <w:t>售后群，会在售后群教大家如何修改明显的模型问题。如果不改会对论文整体质量有影响。</w:t>
      </w:r>
      <w:bookmarkEnd w:id="19"/>
      <w:bookmarkEnd w:id="20"/>
      <w:bookmarkEnd w:id="21"/>
      <w:bookmarkEnd w:id="22"/>
      <w:bookmarkEnd w:id="23"/>
      <w:bookmarkEnd w:id="24"/>
      <w:bookmarkEnd w:id="25"/>
    </w:p>
    <w:p>
      <w:pPr>
        <w:keepNext w:val="0"/>
        <w:keepLines w:val="0"/>
        <w:pageBreakBefore w:val="0"/>
        <w:numPr>
          <w:ilvl w:val="0"/>
          <w:numId w:val="0"/>
        </w:numPr>
        <w:kinsoku/>
        <w:wordWrap/>
        <w:overflowPunct/>
        <w:topLinePunct w:val="0"/>
        <w:autoSpaceDE/>
        <w:autoSpaceDN/>
        <w:bidi w:val="0"/>
        <w:snapToGrid/>
        <w:spacing w:line="360" w:lineRule="auto"/>
        <w:textAlignment w:val="auto"/>
        <w:outlineLvl w:val="1"/>
        <w:rPr>
          <w:rFonts w:hint="default"/>
          <w:lang w:val="en-US" w:eastAsia="zh-CN"/>
        </w:rPr>
      </w:pPr>
      <w:bookmarkStart w:id="26" w:name="_Toc8471"/>
      <w:bookmarkStart w:id="27" w:name="_Toc19082"/>
      <w:bookmarkStart w:id="28" w:name="_Toc9089"/>
      <w:bookmarkStart w:id="29" w:name="_Toc7805"/>
      <w:bookmarkStart w:id="30" w:name="_Toc26924"/>
      <w:bookmarkStart w:id="31" w:name="_Toc17057"/>
      <w:bookmarkStart w:id="32" w:name="_Toc31294"/>
      <w:r>
        <w:rPr>
          <w:rFonts w:hint="eastAsia"/>
          <w:b/>
          <w:bCs/>
          <w:color w:val="4F81BD"/>
          <w:sz w:val="28"/>
          <w:szCs w:val="36"/>
          <w:highlight w:val="magenta"/>
          <w:shd w:val="clear" w:color="FFFFFF" w:fill="D9D9D9"/>
          <w:lang w:val="en-US" w:eastAsia="zh-CN"/>
        </w:rPr>
        <w:t>注：</w:t>
      </w:r>
      <w:r>
        <w:rPr>
          <w:rFonts w:hint="eastAsia"/>
          <w:b/>
          <w:bCs/>
          <w:color w:val="4F81BD"/>
          <w:sz w:val="28"/>
          <w:szCs w:val="36"/>
          <w:highlight w:val="red"/>
          <w:shd w:val="clear" w:color="FFFFFF" w:fill="D9D9D9"/>
          <w:lang w:val="en-US" w:eastAsia="zh-CN"/>
        </w:rPr>
        <w:t>在其他渠道购买，写出论文存在漏洞扣分等问题，概不负责</w:t>
      </w:r>
      <w:bookmarkEnd w:id="26"/>
      <w:bookmarkEnd w:id="27"/>
      <w:bookmarkEnd w:id="28"/>
      <w:bookmarkEnd w:id="29"/>
      <w:bookmarkEnd w:id="30"/>
      <w:bookmarkEnd w:id="31"/>
      <w:bookmarkEnd w:id="32"/>
    </w:p>
    <w:p>
      <w:pPr>
        <w:keepNext w:val="0"/>
        <w:keepLines w:val="0"/>
        <w:pageBreakBefore w:val="0"/>
        <w:numPr>
          <w:ilvl w:val="0"/>
          <w:numId w:val="0"/>
        </w:numPr>
        <w:kinsoku/>
        <w:wordWrap/>
        <w:overflowPunct/>
        <w:topLinePunct w:val="0"/>
        <w:autoSpaceDE/>
        <w:autoSpaceDN/>
        <w:bidi w:val="0"/>
        <w:snapToGrid/>
        <w:spacing w:line="360" w:lineRule="auto"/>
        <w:ind w:firstLine="562" w:firstLineChars="200"/>
        <w:textAlignment w:val="auto"/>
        <w:outlineLvl w:val="0"/>
        <w:rPr>
          <w:rFonts w:hint="eastAsia"/>
          <w:b/>
          <w:bCs/>
          <w:color w:val="4F81BD"/>
          <w:sz w:val="28"/>
          <w:szCs w:val="36"/>
          <w:highlight w:val="magenta"/>
          <w:shd w:val="clear" w:color="FFFFFF" w:fill="D9D9D9"/>
          <w:lang w:val="en-US" w:eastAsia="zh-CN"/>
        </w:rPr>
      </w:pPr>
      <w:bookmarkStart w:id="33" w:name="_Toc28386"/>
      <w:bookmarkStart w:id="34" w:name="_Toc12865"/>
      <w:bookmarkStart w:id="35" w:name="_Toc19379"/>
      <w:bookmarkStart w:id="36" w:name="_Toc22274"/>
      <w:bookmarkStart w:id="37" w:name="_Toc24152"/>
      <w:bookmarkStart w:id="38" w:name="_Toc28600"/>
      <w:bookmarkStart w:id="39" w:name="_Toc2428"/>
      <w:r>
        <w:rPr>
          <w:rFonts w:hint="eastAsia"/>
          <w:b/>
          <w:bCs/>
          <w:color w:val="4F81BD"/>
          <w:sz w:val="28"/>
          <w:szCs w:val="36"/>
          <w:highlight w:val="magenta"/>
          <w:shd w:val="clear" w:color="FFFFFF" w:fill="D9D9D9"/>
          <w:lang w:val="en-US" w:eastAsia="zh-CN"/>
        </w:rPr>
        <w:t>BZD数模社官方认可链接：</w:t>
      </w:r>
      <w:bookmarkEnd w:id="33"/>
      <w:bookmarkEnd w:id="34"/>
      <w:bookmarkEnd w:id="35"/>
      <w:bookmarkEnd w:id="36"/>
      <w:bookmarkEnd w:id="37"/>
      <w:bookmarkEnd w:id="38"/>
      <w:bookmarkEnd w:id="39"/>
    </w:p>
    <w:p>
      <w:pPr>
        <w:keepNext w:val="0"/>
        <w:keepLines w:val="0"/>
        <w:pageBreakBefore w:val="0"/>
        <w:numPr>
          <w:ilvl w:val="0"/>
          <w:numId w:val="0"/>
        </w:numPr>
        <w:kinsoku/>
        <w:wordWrap/>
        <w:overflowPunct/>
        <w:topLinePunct w:val="0"/>
        <w:autoSpaceDE/>
        <w:autoSpaceDN/>
        <w:bidi w:val="0"/>
        <w:snapToGrid/>
        <w:spacing w:line="360" w:lineRule="auto"/>
        <w:ind w:firstLine="562" w:firstLineChars="200"/>
        <w:textAlignment w:val="auto"/>
        <w:outlineLvl w:val="0"/>
        <w:rPr>
          <w:rFonts w:hint="eastAsia"/>
          <w:b/>
          <w:bCs/>
          <w:color w:val="4F81BD"/>
          <w:sz w:val="28"/>
          <w:szCs w:val="36"/>
          <w:highlight w:val="magenta"/>
          <w:shd w:val="clear" w:color="FFFFFF" w:fill="D9D9D9"/>
          <w:lang w:val="en-US" w:eastAsia="zh-CN"/>
        </w:rPr>
      </w:pPr>
      <w:bookmarkStart w:id="40" w:name="_Toc393"/>
      <w:bookmarkStart w:id="41" w:name="_Toc7667"/>
      <w:bookmarkStart w:id="42" w:name="_Toc19103"/>
      <w:bookmarkStart w:id="43" w:name="_Toc18656"/>
      <w:bookmarkStart w:id="44" w:name="_Toc16640"/>
      <w:bookmarkStart w:id="45" w:name="_Toc18805"/>
      <w:bookmarkStart w:id="46" w:name="_Toc27715"/>
      <w:r>
        <w:rPr>
          <w:rFonts w:hint="eastAsia"/>
          <w:b/>
          <w:bCs/>
          <w:color w:val="4F81BD"/>
          <w:sz w:val="28"/>
          <w:szCs w:val="36"/>
          <w:highlight w:val="magenta"/>
          <w:shd w:val="clear" w:color="FFFFFF" w:fill="D9D9D9"/>
          <w:lang w:val="en-US" w:eastAsia="zh-CN"/>
        </w:rPr>
        <w:fldChar w:fldCharType="begin"/>
      </w:r>
      <w:r>
        <w:rPr>
          <w:rFonts w:hint="eastAsia"/>
          <w:b/>
          <w:bCs/>
          <w:color w:val="4F81BD"/>
          <w:sz w:val="28"/>
          <w:szCs w:val="36"/>
          <w:highlight w:val="magenta"/>
          <w:shd w:val="clear" w:color="FFFFFF" w:fill="D9D9D9"/>
          <w:lang w:val="en-US" w:eastAsia="zh-CN"/>
        </w:rPr>
        <w:instrText xml:space="preserve"> HYPERLINK "https://mbd.pub/o/author-bGWSnGprag==" </w:instrText>
      </w:r>
      <w:r>
        <w:rPr>
          <w:rFonts w:hint="eastAsia"/>
          <w:b/>
          <w:bCs/>
          <w:color w:val="4F81BD"/>
          <w:sz w:val="28"/>
          <w:szCs w:val="36"/>
          <w:highlight w:val="magenta"/>
          <w:shd w:val="clear" w:color="FFFFFF" w:fill="D9D9D9"/>
          <w:lang w:val="en-US" w:eastAsia="zh-CN"/>
        </w:rPr>
        <w:fldChar w:fldCharType="separate"/>
      </w:r>
      <w:r>
        <w:rPr>
          <w:rStyle w:val="20"/>
          <w:rFonts w:hint="eastAsia"/>
          <w:b/>
          <w:bCs/>
          <w:color w:val="4F81BD"/>
          <w:sz w:val="28"/>
          <w:szCs w:val="36"/>
          <w:highlight w:val="magenta"/>
          <w:shd w:val="clear" w:color="FFFFFF" w:fill="D9D9D9"/>
          <w:lang w:val="en-US" w:eastAsia="zh-CN"/>
        </w:rPr>
        <w:t>https://mbd.pub/o/author-bGWSnGprag==</w:t>
      </w:r>
      <w:r>
        <w:rPr>
          <w:rFonts w:hint="eastAsia"/>
          <w:b/>
          <w:bCs/>
          <w:color w:val="4F81BD"/>
          <w:sz w:val="28"/>
          <w:szCs w:val="36"/>
          <w:highlight w:val="magenta"/>
          <w:shd w:val="clear" w:color="FFFFFF" w:fill="D9D9D9"/>
          <w:lang w:val="en-US" w:eastAsia="zh-CN"/>
        </w:rPr>
        <w:fldChar w:fldCharType="end"/>
      </w:r>
      <w:bookmarkEnd w:id="40"/>
      <w:bookmarkEnd w:id="41"/>
      <w:bookmarkEnd w:id="42"/>
      <w:bookmarkEnd w:id="43"/>
      <w:bookmarkEnd w:id="44"/>
      <w:bookmarkEnd w:id="45"/>
      <w:bookmarkEnd w:id="46"/>
    </w:p>
    <w:p>
      <w:pPr>
        <w:pStyle w:val="15"/>
        <w:ind w:firstLine="281" w:firstLineChars="100"/>
        <w:rPr>
          <w:rFonts w:hint="eastAsia"/>
          <w:lang w:val="en-US" w:eastAsia="zh-CN"/>
        </w:rPr>
      </w:pPr>
      <w:r>
        <w:rPr>
          <w:rFonts w:hint="eastAsia"/>
          <w:b/>
          <w:bCs/>
          <w:color w:val="4F81BD"/>
          <w:sz w:val="28"/>
          <w:szCs w:val="36"/>
          <w:highlight w:val="magenta"/>
          <w:shd w:val="clear" w:color="FFFFFF" w:fill="D9D9D9"/>
          <w:lang w:val="en-US" w:eastAsia="zh-CN"/>
        </w:rPr>
        <w:t>主页截图，如下所示</w:t>
      </w:r>
    </w:p>
    <w:p>
      <w:pPr>
        <w:pStyle w:val="15"/>
      </w:pPr>
      <w:r>
        <w:drawing>
          <wp:inline distT="0" distB="0" distL="114300" distR="114300">
            <wp:extent cx="4584065" cy="2628900"/>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584065" cy="2628900"/>
                    </a:xfrm>
                    <a:prstGeom prst="rect">
                      <a:avLst/>
                    </a:prstGeom>
                    <a:noFill/>
                    <a:ln>
                      <a:noFill/>
                    </a:ln>
                  </pic:spPr>
                </pic:pic>
              </a:graphicData>
            </a:graphic>
          </wp:inline>
        </w:drawing>
      </w:r>
    </w:p>
    <w:p/>
    <w:p>
      <w:pPr>
        <w:pStyle w:val="2"/>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color w:val="4F81BD"/>
          <w:sz w:val="24"/>
          <w:szCs w:val="32"/>
          <w:lang w:val="en-US" w:eastAsia="zh-CN"/>
        </w:rPr>
      </w:pPr>
      <w:r>
        <w:rPr>
          <w:rFonts w:hint="eastAsia" w:ascii="华文中宋" w:hAnsi="华文中宋" w:eastAsia="华文中宋"/>
          <w:b/>
          <w:color w:val="000000"/>
          <w:sz w:val="36"/>
          <w:szCs w:val="36"/>
          <w:lang w:val="en-US" w:eastAsia="zh-CN"/>
        </w:rPr>
        <w:t>使用须知：</w:t>
      </w:r>
      <w:r>
        <w:rPr>
          <w:rFonts w:hint="eastAsia"/>
          <w:color w:val="4F81BD"/>
          <w:sz w:val="24"/>
          <w:szCs w:val="32"/>
          <w:lang w:val="en-US" w:eastAsia="zh-CN"/>
        </w:rPr>
        <w:t>该论文完全按照提交格式进行写作，很多人都会看到这一版本成品论文，直接提交一定会查重不过关。成品论文是按着之前的解题思路写出的，如果不对外展示，在普通建模竞赛是可以直接提交100%获奖的文章，保二冲一的水平。进行展示的目的，是为了辅助大家写论文。也让大家心里有个数大概获奖论文是个什么层次。【写的比好就是一、二等奖，比差就是三等奖、优秀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color w:val="4F81BD"/>
          <w:sz w:val="24"/>
          <w:szCs w:val="32"/>
          <w:lang w:val="en-US" w:eastAsia="zh-CN"/>
        </w:rPr>
      </w:pPr>
      <w:bookmarkStart w:id="47" w:name="_Toc4122"/>
      <w:bookmarkStart w:id="48" w:name="_Toc9359"/>
      <w:bookmarkStart w:id="49" w:name="_Toc31472"/>
      <w:bookmarkStart w:id="50" w:name="_Toc14741"/>
      <w:bookmarkStart w:id="51" w:name="_Toc11924"/>
      <w:bookmarkStart w:id="52" w:name="_Toc27824"/>
      <w:bookmarkStart w:id="53" w:name="_Toc9715"/>
      <w:bookmarkStart w:id="54" w:name="_Toc998"/>
      <w:bookmarkStart w:id="55" w:name="_Toc19837"/>
      <w:bookmarkStart w:id="56" w:name="_Toc1806"/>
      <w:bookmarkStart w:id="57" w:name="_Toc17282"/>
      <w:bookmarkStart w:id="58" w:name="_Toc3575"/>
      <w:bookmarkStart w:id="59" w:name="_Toc24375"/>
      <w:bookmarkStart w:id="60" w:name="_Toc29525"/>
      <w:r>
        <w:rPr>
          <w:rFonts w:hint="eastAsia"/>
          <w:color w:val="4F81BD"/>
          <w:sz w:val="24"/>
          <w:szCs w:val="32"/>
          <w:lang w:val="en-US" w:eastAsia="zh-CN"/>
        </w:rPr>
        <w:t>组委会要求重要格式规范</w:t>
      </w:r>
      <w:bookmarkEnd w:id="47"/>
      <w:r>
        <w:rPr>
          <w:rFonts w:hint="eastAsia"/>
          <w:color w:val="4F81BD"/>
          <w:sz w:val="24"/>
          <w:szCs w:val="32"/>
          <w:lang w:val="en-US" w:eastAsia="zh-CN"/>
        </w:rPr>
        <w:t>如下所示，大家可以根据要求，以及1资料中提供的优秀论文资料进行修改。以下是竞赛论文要求，请认真阅读！！</w:t>
      </w:r>
      <w:bookmarkEnd w:id="48"/>
      <w:bookmarkEnd w:id="49"/>
      <w:bookmarkEnd w:id="50"/>
      <w:bookmarkEnd w:id="51"/>
      <w:bookmarkEnd w:id="52"/>
      <w:bookmarkEnd w:id="53"/>
      <w:bookmarkEnd w:id="54"/>
      <w:bookmarkEnd w:id="55"/>
      <w:bookmarkEnd w:id="56"/>
      <w:bookmarkEnd w:id="57"/>
      <w:bookmarkEnd w:id="58"/>
      <w:bookmarkEnd w:id="59"/>
      <w:bookmarkEnd w:id="60"/>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jc w:val="left"/>
        <w:textAlignment w:val="auto"/>
        <w:rPr>
          <w:rFonts w:hint="eastAsia" w:ascii="仿宋_GB2312" w:hAnsi="仿宋" w:eastAsia="仿宋_GB2312" w:cs="Times New Roman"/>
          <w:bCs/>
          <w:kern w:val="0"/>
          <w:sz w:val="20"/>
          <w:szCs w:val="20"/>
          <w:lang w:val="en-US" w:eastAsia="zh-CN"/>
        </w:rPr>
      </w:pPr>
      <w:r>
        <w:rPr>
          <w:rFonts w:hint="eastAsia" w:ascii="仿宋_GB2312" w:hAnsi="仿宋" w:eastAsia="仿宋_GB2312" w:cs="Times New Roman"/>
          <w:bCs/>
          <w:kern w:val="0"/>
          <w:sz w:val="20"/>
          <w:szCs w:val="20"/>
          <w:lang w:val="en-US" w:eastAsia="zh-CN"/>
        </w:rPr>
        <w:t>第一页还有论文标题、摘要和关键词（无需译成英文），并从此页开始编写页码；页码必须位于每页页脚中部，用阿拉伯数字从“</w:t>
      </w:r>
      <w:r>
        <w:rPr>
          <w:rFonts w:hint="default" w:ascii="仿宋_GB2312" w:hAnsi="仿宋" w:eastAsia="仿宋_GB2312" w:cs="Times New Roman"/>
          <w:bCs/>
          <w:kern w:val="0"/>
          <w:sz w:val="20"/>
          <w:szCs w:val="20"/>
          <w:lang w:val="en-US" w:eastAsia="zh-CN"/>
        </w:rPr>
        <w:t xml:space="preserve">1 </w:t>
      </w:r>
      <w:r>
        <w:rPr>
          <w:rFonts w:hint="eastAsia" w:ascii="仿宋_GB2312" w:hAnsi="仿宋" w:eastAsia="仿宋_GB2312" w:cs="Times New Roman"/>
          <w:bCs/>
          <w:kern w:val="0"/>
          <w:sz w:val="20"/>
          <w:szCs w:val="20"/>
          <w:lang w:val="en-US" w:eastAsia="zh-CN"/>
        </w:rPr>
        <w:t>”开始连续编号。</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jc w:val="left"/>
        <w:textAlignment w:val="auto"/>
        <w:rPr>
          <w:rFonts w:hint="eastAsia" w:ascii="仿宋_GB2312" w:hAnsi="仿宋" w:eastAsia="仿宋_GB2312" w:cs="Times New Roman"/>
          <w:bCs/>
          <w:kern w:val="0"/>
          <w:sz w:val="20"/>
          <w:szCs w:val="20"/>
          <w:lang w:val="en-US" w:eastAsia="zh-CN"/>
        </w:rPr>
      </w:pPr>
      <w:r>
        <w:rPr>
          <w:rFonts w:hint="eastAsia" w:ascii="仿宋_GB2312" w:hAnsi="仿宋" w:eastAsia="仿宋_GB2312" w:cs="Times New Roman"/>
          <w:bCs/>
          <w:kern w:val="0"/>
          <w:sz w:val="20"/>
          <w:szCs w:val="20"/>
          <w:lang w:val="en-US" w:eastAsia="zh-CN"/>
        </w:rPr>
        <w:t>论文从第二页开始是论文正文；正文之后是参考文献和论文附录（页数不限）。附录需要填写一个表格，交代程序代码名称等信息。</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jc w:val="left"/>
        <w:textAlignment w:val="auto"/>
        <w:rPr>
          <w:rFonts w:hint="eastAsia" w:ascii="仿宋_GB2312" w:hAnsi="仿宋" w:eastAsia="仿宋_GB2312"/>
          <w:bCs/>
          <w:kern w:val="0"/>
          <w:sz w:val="20"/>
          <w:szCs w:val="20"/>
        </w:rPr>
      </w:pPr>
      <w:r>
        <w:rPr>
          <w:rFonts w:hint="eastAsia" w:ascii="仿宋_GB2312" w:hAnsi="仿宋" w:eastAsia="仿宋_GB2312"/>
          <w:bCs/>
          <w:kern w:val="0"/>
          <w:sz w:val="20"/>
          <w:szCs w:val="20"/>
          <w:lang w:val="en-US" w:eastAsia="zh-CN"/>
        </w:rPr>
        <w:t>引用别人的成果或其他公开的资料(包括网上查到的资料) 必须按照规定的参考文献的表述方式在正文引用处和参考文献中均明确列出。正文引用处用方括号标示参考文献的编号，如[1][3]等；引用书籍还必须指出页码。参考文献按正文中的引用次序列出。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default"/>
          <w:color w:val="4F81BD"/>
          <w:sz w:val="24"/>
          <w:szCs w:val="32"/>
          <w:lang w:val="en-US" w:eastAsia="zh-CN"/>
        </w:rPr>
      </w:pPr>
      <w:bookmarkStart w:id="61" w:name="_Toc18405"/>
      <w:bookmarkStart w:id="62" w:name="_Toc25589"/>
      <w:bookmarkStart w:id="63" w:name="_Toc1860"/>
      <w:bookmarkStart w:id="64" w:name="_Toc10368"/>
      <w:bookmarkStart w:id="65" w:name="_Toc7170"/>
      <w:bookmarkStart w:id="66" w:name="_Toc25759"/>
      <w:bookmarkStart w:id="67" w:name="_Toc401"/>
      <w:bookmarkStart w:id="68" w:name="_Toc7833"/>
      <w:bookmarkStart w:id="69" w:name="_Toc1892"/>
      <w:bookmarkStart w:id="70" w:name="_Toc32648"/>
      <w:bookmarkStart w:id="71" w:name="_Toc10251"/>
      <w:bookmarkStart w:id="72" w:name="_Toc12102"/>
      <w:bookmarkStart w:id="73" w:name="_Toc27935"/>
      <w:r>
        <w:rPr>
          <w:rFonts w:hint="eastAsia"/>
          <w:color w:val="4F81BD"/>
          <w:sz w:val="24"/>
          <w:szCs w:val="32"/>
          <w:lang w:val="en-US" w:eastAsia="zh-CN"/>
        </w:rPr>
        <w:t>使用、借鉴、抄写该论文是否违规：只要不超过查重率的20%，就不能算作违规。该论文属于公开发表的网上资料，进行借鉴、参考不能算作违规，切记不要抄的太过分，查重率一定要低于20%就可以。下图为最新的数模竞赛规定</w:t>
      </w:r>
      <w:bookmarkEnd w:id="61"/>
      <w:bookmarkEnd w:id="62"/>
      <w:bookmarkEnd w:id="63"/>
      <w:bookmarkEnd w:id="64"/>
      <w:bookmarkEnd w:id="65"/>
      <w:bookmarkEnd w:id="66"/>
      <w:bookmarkEnd w:id="67"/>
      <w:bookmarkEnd w:id="68"/>
      <w:bookmarkEnd w:id="69"/>
      <w:bookmarkEnd w:id="70"/>
      <w:bookmarkEnd w:id="71"/>
      <w:bookmarkEnd w:id="72"/>
      <w:bookmarkEnd w:id="73"/>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华文中宋" w:hAnsi="华文中宋" w:eastAsia="华文中宋"/>
          <w:b/>
          <w:color w:val="000000"/>
          <w:sz w:val="36"/>
          <w:szCs w:val="36"/>
          <w:lang w:val="en-US" w:eastAsia="zh-CN"/>
        </w:rPr>
      </w:pPr>
      <w:r>
        <w:drawing>
          <wp:inline distT="0" distB="0" distL="114300" distR="114300">
            <wp:extent cx="5411470" cy="455930"/>
            <wp:effectExtent l="0" t="0" r="13970" b="12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rcRect l="5949" t="8768"/>
                    <a:stretch>
                      <a:fillRect/>
                    </a:stretch>
                  </pic:blipFill>
                  <pic:spPr>
                    <a:xfrm>
                      <a:off x="0" y="0"/>
                      <a:ext cx="5411470" cy="455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lang w:val="en-US" w:eastAsia="zh-CN"/>
        </w:rPr>
      </w:pPr>
      <w:r>
        <w:rPr>
          <w:rFonts w:hint="eastAsia"/>
          <w:lang w:val="en-US" w:eastAsia="zh-CN"/>
        </w:rPr>
        <w:t>本数模社提供资料，在制作初期均会特意为了防止盗卖制作多个致命漏洞。因倒卖获取该资料而导致结果问题、论文问题，本数模社概不负责。为了保证购买者的权益，相关问题仅在售后群进行答疑讲解【需订单号进群】</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lang w:val="en-US" w:eastAsia="zh-CN"/>
        </w:rPr>
      </w:pPr>
      <w:r>
        <w:rPr>
          <w:rFonts w:hint="eastAsia"/>
          <w:lang w:val="en-US" w:eastAsia="zh-CN"/>
        </w:rPr>
        <w:t>对咸鱼等平台贩卖人员，已经利用平台的倒卖机制，获取了各位贩卖人员的个人信息，已对严重倒卖人员已经在起诉阶段。请各位贩卖人员自重</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华文中宋" w:hAnsi="华文中宋" w:eastAsia="华文中宋"/>
          <w:b/>
          <w:color w:val="000000"/>
          <w:sz w:val="36"/>
          <w:szCs w:val="36"/>
          <w:lang w:val="en-US" w:eastAsia="zh-CN"/>
        </w:rPr>
      </w:pPr>
      <w:r>
        <w:rPr>
          <w:rFonts w:hint="eastAsia" w:ascii="华文中宋" w:hAnsi="华文中宋" w:eastAsia="华文中宋"/>
          <w:b/>
          <w:color w:val="000000"/>
          <w:sz w:val="36"/>
          <w:szCs w:val="36"/>
          <w:lang w:val="en-US" w:eastAsia="zh-CN"/>
        </w:rPr>
        <w:t xml:space="preserve">下面为成品论文 正文 </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华文中宋" w:hAnsi="华文中宋" w:eastAsia="华文中宋"/>
          <w:b w:val="0"/>
          <w:bCs/>
          <w:color w:val="000000"/>
          <w:sz w:val="28"/>
          <w:szCs w:val="28"/>
          <w:lang w:val="en-US" w:eastAsia="zh-CN"/>
        </w:rPr>
      </w:pPr>
      <w:r>
        <w:rPr>
          <w:rFonts w:hint="eastAsia" w:ascii="华文中宋" w:hAnsi="华文中宋" w:eastAsia="华文中宋"/>
          <w:b w:val="0"/>
          <w:bCs/>
          <w:color w:val="000000"/>
          <w:sz w:val="28"/>
          <w:szCs w:val="28"/>
          <w:lang w:val="en-US" w:eastAsia="zh-CN"/>
        </w:rPr>
        <w:t>后续问题答疑、结果解释等问题关注公众号</w:t>
      </w:r>
      <w:r>
        <w:rPr>
          <w:rFonts w:hint="eastAsia" w:ascii="华文中宋" w:hAnsi="华文中宋" w:eastAsia="华文中宋"/>
          <w:b/>
          <w:bCs w:val="0"/>
          <w:i/>
          <w:iCs/>
          <w:color w:val="0000FF"/>
          <w:sz w:val="28"/>
          <w:szCs w:val="28"/>
          <w:highlight w:val="yellow"/>
          <w:lang w:val="en-US" w:eastAsia="zh-CN"/>
        </w:rPr>
        <w:t xml:space="preserve"> BZD数模社</w:t>
      </w:r>
      <w:r>
        <w:rPr>
          <w:rFonts w:hint="eastAsia" w:ascii="华文中宋" w:hAnsi="华文中宋" w:eastAsia="华文中宋"/>
          <w:b w:val="0"/>
          <w:bCs/>
          <w:color w:val="000000"/>
          <w:sz w:val="28"/>
          <w:szCs w:val="28"/>
          <w:lang w:val="en-US" w:eastAsia="zh-CN"/>
        </w:rPr>
        <w:t xml:space="preserve"> 进行答疑</w:t>
      </w:r>
    </w:p>
    <w:p>
      <w:pPr>
        <w:pStyle w:val="9"/>
        <w:keepNext w:val="0"/>
        <w:keepLines w:val="0"/>
        <w:pageBreakBefore w:val="0"/>
        <w:widowControl w:val="0"/>
        <w:kinsoku/>
        <w:wordWrap/>
        <w:overflowPunct/>
        <w:topLinePunct w:val="0"/>
        <w:autoSpaceDE/>
        <w:autoSpaceDN/>
        <w:bidi w:val="0"/>
        <w:adjustRightInd/>
        <w:ind w:firstLine="0" w:firstLineChars="0"/>
        <w:jc w:val="center"/>
        <w:textAlignment w:val="auto"/>
        <w:rPr>
          <w:rFonts w:ascii="微软雅黑" w:hAnsi="微软雅黑" w:eastAsia="微软雅黑" w:cs="微软雅黑"/>
          <w:i w:val="0"/>
          <w:iCs w:val="0"/>
          <w:caps w:val="0"/>
          <w:color w:val="2D77E5"/>
          <w:spacing w:val="0"/>
          <w:sz w:val="16"/>
          <w:szCs w:val="16"/>
        </w:rPr>
      </w:pPr>
      <w:r>
        <w:rPr>
          <w:rFonts w:hint="eastAsia"/>
        </w:rPr>
        <w:t xml:space="preserve"> 资料助攻购买链接+说明https://docs.qq.com/doc/p/88456ad269539fdd2e3da75b1e53defa66b5c3da</w:t>
      </w:r>
    </w:p>
    <w:p>
      <w:pPr>
        <w:pStyle w:val="2"/>
      </w:pPr>
    </w:p>
    <w:p>
      <w:pPr>
        <w:pStyle w:val="2"/>
      </w:pPr>
    </w:p>
    <w:p>
      <w:pPr>
        <w:pStyle w:val="9"/>
        <w:keepNext w:val="0"/>
        <w:keepLines w:val="0"/>
        <w:pageBreakBefore w:val="0"/>
        <w:kinsoku/>
        <w:wordWrap/>
        <w:overflowPunct/>
        <w:topLinePunct w:val="0"/>
        <w:autoSpaceDE/>
        <w:autoSpaceDN/>
        <w:bidi w:val="0"/>
        <w:adjustRightInd/>
        <w:ind w:firstLine="0" w:firstLineChars="0"/>
        <w:jc w:val="center"/>
        <w:textAlignment w:val="auto"/>
        <w:rPr>
          <w:rFonts w:ascii="微软雅黑" w:hAnsi="微软雅黑" w:eastAsia="微软雅黑" w:cs="微软雅黑"/>
          <w:i w:val="0"/>
          <w:iCs w:val="0"/>
          <w:caps w:val="0"/>
          <w:color w:val="2D77E5"/>
          <w:spacing w:val="0"/>
          <w:sz w:val="16"/>
          <w:szCs w:val="16"/>
        </w:rPr>
      </w:pPr>
    </w:p>
    <w:p>
      <w:pPr>
        <w:keepNext w:val="0"/>
        <w:keepLines w:val="0"/>
        <w:pageBreakBefore w:val="0"/>
        <w:widowControl/>
        <w:suppressLineNumbers w:val="0"/>
        <w:kinsoku/>
        <w:wordWrap/>
        <w:overflowPunct/>
        <w:topLinePunct w:val="0"/>
        <w:autoSpaceDE/>
        <w:autoSpaceDN/>
        <w:bidi w:val="0"/>
        <w:adjustRightInd/>
        <w:snapToGrid/>
        <w:ind w:firstLine="0" w:firstLineChars="0"/>
        <w:jc w:val="center"/>
        <w:textAlignment w:val="auto"/>
        <w:rPr>
          <w:rFonts w:hint="default" w:ascii="华文中宋" w:hAnsi="华文中宋" w:eastAsia="华文中宋" w:cs="华文中宋"/>
          <w:color w:val="000000"/>
          <w:kern w:val="0"/>
          <w:sz w:val="40"/>
          <w:szCs w:val="40"/>
          <w:lang w:val="en-US" w:eastAsia="zh-CN" w:bidi="ar"/>
        </w:rPr>
      </w:pPr>
      <w:r>
        <w:rPr>
          <w:rFonts w:hint="eastAsia" w:ascii="华文中宋" w:hAnsi="华文中宋" w:eastAsia="华文中宋" w:cs="华文中宋"/>
          <w:color w:val="000000"/>
          <w:kern w:val="0"/>
          <w:sz w:val="40"/>
          <w:szCs w:val="40"/>
          <w:lang w:val="en-US" w:eastAsia="zh-CN" w:bidi="ar"/>
        </w:rPr>
        <w:t>基于贪心算法的搬迁问题研究</w:t>
      </w:r>
    </w:p>
    <w:p>
      <w:pPr>
        <w:keepNext w:val="0"/>
        <w:keepLines w:val="0"/>
        <w:pageBreakBefore w:val="0"/>
        <w:kinsoku/>
        <w:wordWrap/>
        <w:overflowPunct/>
        <w:topLinePunct w:val="0"/>
        <w:autoSpaceDE/>
        <w:autoSpaceDN/>
        <w:bidi w:val="0"/>
        <w:adjustRightInd/>
        <w:ind w:firstLine="0" w:firstLineChars="0"/>
        <w:jc w:val="center"/>
        <w:textAlignment w:val="auto"/>
        <w:rPr>
          <w:rFonts w:hint="eastAsia" w:ascii="黑体" w:hAnsi="黑体" w:eastAsia="黑体" w:cs="黑体"/>
          <w:sz w:val="28"/>
          <w:szCs w:val="36"/>
          <w:lang w:val="en-US" w:eastAsia="zh-CN"/>
        </w:rPr>
      </w:pPr>
      <w:r>
        <w:rPr>
          <w:rFonts w:hint="eastAsia" w:ascii="黑体" w:hAnsi="黑体" w:eastAsia="黑体" w:cs="黑体"/>
          <w:sz w:val="28"/>
          <w:szCs w:val="36"/>
          <w:lang w:val="en-US" w:eastAsia="zh-CN"/>
        </w:rPr>
        <w:t>摘要</w:t>
      </w:r>
    </w:p>
    <w:p>
      <w:pPr>
        <w:bidi w:val="0"/>
      </w:pPr>
      <w:r>
        <w:t>随着城市化进程的加速，老城区的更新成为现代城市管理和规划中的重要议题。本文研究了如何利用平移置换策略优化老城区搬迁方案，以实现空间再利用和经济效益的最大化。</w:t>
      </w:r>
    </w:p>
    <w:p>
      <w:pPr>
        <w:bidi w:val="0"/>
      </w:pPr>
      <w:r>
        <w:t>对于数据预处理，我们首先基于给出附件数据进行必要分描述性分析以便进行后续建模。对于提供图片文件，使用图像处理、光学字符识别（OCR）、用户交互坐标获取和坐标显示。获取各院落之间的相对位置以及距离数据。</w:t>
      </w:r>
    </w:p>
    <w:p>
      <w:pPr>
        <w:bidi w:val="0"/>
      </w:pPr>
      <w:r>
        <w:t>对于问题一， 拆迁补偿建模。我们在基于题目给出面积、采光、修缮补偿外，还引入搬迁距离、邻里关系和社区因素、交通便利性。具体而言，我们使用修缮补偿最为最终补偿手段，单一居民最多给予20万修缮费。建立基于熵权法的理想解法，对不同居民的拆迁情况进行建模分析。基于给出数据，我们选出基于约束下，每个居民用户的所有拆迁可能性，一共113个居民，单人搬迁一共3623可能性。基于该数据建立评价模型对修缮费进行配分。最多的居民补偿20万，最低的居民无补偿费。</w:t>
      </w:r>
    </w:p>
    <w:p>
      <w:pPr>
        <w:bidi w:val="0"/>
      </w:pPr>
      <w:r>
        <w:t>针对问题二极值的求解，目标是根据给定的搬迁条件和限制，通过优化方法为每个居民选择一个合适的目标地块。直接引入问题一计算出的全部可能性 进行遍历求解时间复杂度过高，因此本节引入了贪心算法来决策每个居民的搬迁目标，并尽量在满足居民需求的同时最大化开发商的利益，特别是在腾出完整院落方面。</w:t>
      </w:r>
    </w:p>
    <w:p>
      <w:pPr>
        <w:bidi w:val="0"/>
      </w:pPr>
      <w:r>
        <w:t>对于问题三，性价增益的搬迁拐点计算。我们首先基于问题二的结果计算正常情况下的m值。得出具体数值后，我们分别从一个居民开始搬家增加到112个居民进行搬家，分析随着居民搬家个数增多m值的变化趋势。在此，利用问题二的实现代码，初步剔除每个居民信息，分析剔除单个居民后的m值的变化趋势，完成性价增益的搬迁拐点计算</w:t>
      </w:r>
    </w:p>
    <w:p>
      <w:pPr>
        <w:bidi w:val="0"/>
        <w:rPr>
          <w:rFonts w:hint="default"/>
          <w:lang w:val="en-US" w:eastAsia="zh-CN"/>
        </w:rPr>
      </w:pPr>
      <w:r>
        <w:t>对于问题四规划局希望将该案例推广至全国的老旧街区更新搬迁过程中。为了实现这一目标，我们设计一个智能决策软件，能够自动计算老城区的平移置换决策，并为每个搬迁方案计算出相应的性价比m，从而辅助规划和决策。</w:t>
      </w:r>
    </w:p>
    <w:p>
      <w:pPr>
        <w:bidi w:val="0"/>
      </w:pPr>
    </w:p>
    <w:p>
      <w:pPr>
        <w:bidi w:val="0"/>
      </w:pPr>
      <w:r>
        <w:t>最后，模型不仅为老城区的平移置换提供了高效的计算支持，而且在搬迁补偿、毗邻效益等方面的创新考虑，为城市更新的决策提供了新的思路和方法。通过模型的推广，能够为各地城市的老城区更新提供具有普适性的方案和决策支持工具。</w:t>
      </w:r>
    </w:p>
    <w:p>
      <w:pPr>
        <w:pStyle w:val="14"/>
        <w:keepNext w:val="0"/>
        <w:keepLines w:val="0"/>
        <w:widowControl/>
        <w:suppressLineNumbers w:val="0"/>
        <w:spacing w:before="0" w:beforeAutospacing="1" w:after="0" w:afterAutospacing="1"/>
        <w:ind w:left="0" w:right="0"/>
      </w:pPr>
      <w:r>
        <w:rPr>
          <w:rStyle w:val="19"/>
        </w:rPr>
        <w:t>关键词</w:t>
      </w:r>
      <w:r>
        <w:t>：老城区更新、平移置换模型、性价比分析、贪心算法、决策支持系统</w:t>
      </w:r>
    </w:p>
    <w:p>
      <w:pPr>
        <w:pStyle w:val="14"/>
        <w:keepNext w:val="0"/>
        <w:keepLines w:val="0"/>
        <w:widowControl/>
        <w:suppressLineNumbers w:val="0"/>
        <w:ind w:left="0" w:leftChars="0" w:right="0" w:rightChars="0" w:firstLine="480" w:firstLineChars="200"/>
      </w:pPr>
    </w:p>
    <w:p>
      <w:pPr>
        <w:pStyle w:val="14"/>
        <w:keepNext w:val="0"/>
        <w:keepLines w:val="0"/>
        <w:widowControl/>
        <w:suppressLineNumbers w:val="0"/>
        <w:ind w:left="0" w:leftChars="0" w:firstLine="0" w:firstLineChars="0"/>
      </w:pPr>
    </w:p>
    <w:sdt>
      <w:sdtPr>
        <w:rPr>
          <w:rFonts w:ascii="宋体" w:hAnsi="宋体" w:eastAsia="宋体" w:cs="Times New Roman"/>
          <w:kern w:val="2"/>
          <w:sz w:val="21"/>
          <w:szCs w:val="24"/>
          <w:lang w:val="en-US" w:eastAsia="zh-CN" w:bidi="ar-SA"/>
        </w:rPr>
        <w:id w:val="147454141"/>
        <w15:color w:val="DBDBDB"/>
        <w:docPartObj>
          <w:docPartGallery w:val="Table of Contents"/>
          <w:docPartUnique/>
        </w:docPartObj>
      </w:sdtPr>
      <w:sdtEndPr>
        <w:rPr>
          <w:rFonts w:ascii="Times New Roman" w:hAnsi="Times New Roman" w:eastAsia="宋体" w:cs="Times New Roman"/>
          <w:kern w:val="0"/>
          <w:sz w:val="24"/>
          <w:szCs w:val="24"/>
          <w:lang w:val="en-US" w:eastAsia="zh-CN" w:bidi="ar"/>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pPr>
          <w:r>
            <w:rPr>
              <w:rFonts w:ascii="宋体" w:hAnsi="宋体" w:eastAsia="宋体"/>
              <w:sz w:val="21"/>
            </w:rPr>
            <w:t>目录</w:t>
          </w:r>
          <w:r>
            <w:fldChar w:fldCharType="begin"/>
          </w:r>
          <w:r>
            <w:instrText xml:space="preserve">TOC \o "1-3" \h \u </w:instrText>
          </w:r>
          <w:r>
            <w:fldChar w:fldCharType="separate"/>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_Toc15154 </w:instrText>
          </w:r>
          <w:r>
            <w:fldChar w:fldCharType="separate"/>
          </w:r>
          <w:r>
            <w:rPr>
              <w:rFonts w:hint="eastAsia"/>
              <w:lang w:val="en-US" w:eastAsia="zh-CN"/>
            </w:rPr>
            <w:t>一、 问题重述</w:t>
          </w:r>
          <w:r>
            <w:tab/>
          </w:r>
          <w:r>
            <w:fldChar w:fldCharType="begin"/>
          </w:r>
          <w:r>
            <w:instrText xml:space="preserve"> PAGEREF _Toc15154 \h </w:instrText>
          </w:r>
          <w:r>
            <w:fldChar w:fldCharType="separate"/>
          </w:r>
          <w:r>
            <w:t>5</w:t>
          </w:r>
          <w:r>
            <w:fldChar w:fldCharType="end"/>
          </w:r>
          <w: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_Toc9556 </w:instrText>
          </w:r>
          <w:r>
            <w:fldChar w:fldCharType="separate"/>
          </w:r>
          <w:r>
            <w:rPr>
              <w:rFonts w:hint="default"/>
              <w:lang w:val="en-US" w:eastAsia="zh-CN"/>
            </w:rPr>
            <w:t xml:space="preserve">1.1 </w:t>
          </w:r>
          <w:r>
            <w:rPr>
              <w:rFonts w:hint="eastAsia"/>
              <w:lang w:val="en-US" w:eastAsia="zh-CN"/>
            </w:rPr>
            <w:t>问题背景</w:t>
          </w:r>
          <w:r>
            <w:tab/>
          </w:r>
          <w:r>
            <w:fldChar w:fldCharType="begin"/>
          </w:r>
          <w:r>
            <w:instrText xml:space="preserve"> PAGEREF _Toc9556 \h </w:instrText>
          </w:r>
          <w:r>
            <w:fldChar w:fldCharType="separate"/>
          </w:r>
          <w:r>
            <w:t>5</w:t>
          </w:r>
          <w:r>
            <w:fldChar w:fldCharType="end"/>
          </w:r>
          <w: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_Toc5581 </w:instrText>
          </w:r>
          <w:r>
            <w:fldChar w:fldCharType="separate"/>
          </w:r>
          <w:r>
            <w:rPr>
              <w:rFonts w:hint="default"/>
              <w:lang w:val="en-US" w:eastAsia="zh-CN"/>
            </w:rPr>
            <w:t xml:space="preserve">1.2 </w:t>
          </w:r>
          <w:r>
            <w:rPr>
              <w:rFonts w:hint="eastAsia"/>
              <w:lang w:val="en-US" w:eastAsia="zh-CN"/>
            </w:rPr>
            <w:t>问题回顾</w:t>
          </w:r>
          <w:r>
            <w:tab/>
          </w:r>
          <w:r>
            <w:fldChar w:fldCharType="begin"/>
          </w:r>
          <w:r>
            <w:instrText xml:space="preserve"> PAGEREF _Toc5581 \h </w:instrText>
          </w:r>
          <w:r>
            <w:fldChar w:fldCharType="separate"/>
          </w:r>
          <w:r>
            <w:t>6</w:t>
          </w:r>
          <w:r>
            <w:fldChar w:fldCharType="end"/>
          </w:r>
          <w: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_Toc29679 </w:instrText>
          </w:r>
          <w:r>
            <w:fldChar w:fldCharType="separate"/>
          </w:r>
          <w:r>
            <w:rPr>
              <w:rFonts w:hint="default"/>
              <w:lang w:val="en-US" w:eastAsia="zh-CN"/>
            </w:rPr>
            <w:t xml:space="preserve">1.3 </w:t>
          </w:r>
          <w:r>
            <w:rPr>
              <w:rFonts w:hint="eastAsia"/>
              <w:lang w:val="en-US" w:eastAsia="zh-CN"/>
            </w:rPr>
            <w:t>研究现状</w:t>
          </w:r>
          <w:r>
            <w:tab/>
          </w:r>
          <w:r>
            <w:fldChar w:fldCharType="begin"/>
          </w:r>
          <w:r>
            <w:instrText xml:space="preserve"> PAGEREF _Toc29679 \h </w:instrText>
          </w:r>
          <w:r>
            <w:fldChar w:fldCharType="separate"/>
          </w:r>
          <w:r>
            <w:t>6</w:t>
          </w:r>
          <w:r>
            <w:fldChar w:fldCharType="end"/>
          </w:r>
          <w: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_Toc22102 </w:instrText>
          </w:r>
          <w:r>
            <w:fldChar w:fldCharType="separate"/>
          </w:r>
          <w:r>
            <w:rPr>
              <w:rFonts w:hint="eastAsia"/>
              <w:lang w:val="en-US" w:eastAsia="zh-CN"/>
            </w:rPr>
            <w:t>二、 问题分析</w:t>
          </w:r>
          <w:r>
            <w:tab/>
          </w:r>
          <w:r>
            <w:fldChar w:fldCharType="begin"/>
          </w:r>
          <w:r>
            <w:instrText xml:space="preserve"> PAGEREF _Toc22102 \h </w:instrText>
          </w:r>
          <w:r>
            <w:fldChar w:fldCharType="separate"/>
          </w:r>
          <w:r>
            <w:t>7</w:t>
          </w:r>
          <w:r>
            <w:fldChar w:fldCharType="end"/>
          </w:r>
          <w: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_Toc22126 </w:instrText>
          </w:r>
          <w:r>
            <w:fldChar w:fldCharType="separate"/>
          </w:r>
          <w:r>
            <w:rPr>
              <w:rFonts w:hint="eastAsia"/>
              <w:lang w:val="en-US" w:eastAsia="zh-CN"/>
            </w:rPr>
            <w:t>三、 模型假设</w:t>
          </w:r>
          <w:r>
            <w:tab/>
          </w:r>
          <w:r>
            <w:fldChar w:fldCharType="begin"/>
          </w:r>
          <w:r>
            <w:instrText xml:space="preserve"> PAGEREF _Toc22126 \h </w:instrText>
          </w:r>
          <w:r>
            <w:fldChar w:fldCharType="separate"/>
          </w:r>
          <w:r>
            <w:t>8</w:t>
          </w:r>
          <w:r>
            <w:fldChar w:fldCharType="end"/>
          </w:r>
          <w: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_Toc18224 </w:instrText>
          </w:r>
          <w:r>
            <w:fldChar w:fldCharType="separate"/>
          </w:r>
          <w:r>
            <w:rPr>
              <w:rFonts w:hint="eastAsia"/>
              <w:lang w:val="en-US" w:eastAsia="zh-CN"/>
            </w:rPr>
            <w:t>四、 符号说明</w:t>
          </w:r>
          <w:r>
            <w:tab/>
          </w:r>
          <w:r>
            <w:fldChar w:fldCharType="begin"/>
          </w:r>
          <w:r>
            <w:instrText xml:space="preserve"> PAGEREF _Toc18224 \h </w:instrText>
          </w:r>
          <w:r>
            <w:fldChar w:fldCharType="separate"/>
          </w:r>
          <w:r>
            <w:t>9</w:t>
          </w:r>
          <w:r>
            <w:fldChar w:fldCharType="end"/>
          </w:r>
          <w: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_Toc11519 </w:instrText>
          </w:r>
          <w:r>
            <w:fldChar w:fldCharType="separate"/>
          </w:r>
          <w:r>
            <w:rPr>
              <w:rFonts w:hint="eastAsia"/>
              <w:lang w:val="en-US" w:eastAsia="zh-CN"/>
            </w:rPr>
            <w:t>五、 模型的建立与求解</w:t>
          </w:r>
          <w:r>
            <w:tab/>
          </w:r>
          <w:r>
            <w:fldChar w:fldCharType="begin"/>
          </w:r>
          <w:r>
            <w:instrText xml:space="preserve"> PAGEREF _Toc11519 \h </w:instrText>
          </w:r>
          <w:r>
            <w:fldChar w:fldCharType="separate"/>
          </w:r>
          <w:r>
            <w:t>9</w:t>
          </w:r>
          <w:r>
            <w:fldChar w:fldCharType="end"/>
          </w:r>
          <w: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_Toc29123 </w:instrText>
          </w:r>
          <w:r>
            <w:fldChar w:fldCharType="separate"/>
          </w:r>
          <w:r>
            <w:rPr>
              <w:rFonts w:hint="eastAsia"/>
              <w:lang w:val="en-US" w:eastAsia="zh-CN"/>
            </w:rPr>
            <w:t>5.1 数据预处理</w:t>
          </w:r>
          <w:r>
            <w:tab/>
          </w:r>
          <w:r>
            <w:fldChar w:fldCharType="begin"/>
          </w:r>
          <w:r>
            <w:instrText xml:space="preserve"> PAGEREF _Toc29123 \h </w:instrText>
          </w:r>
          <w:r>
            <w:fldChar w:fldCharType="separate"/>
          </w:r>
          <w:r>
            <w:t>9</w:t>
          </w:r>
          <w:r>
            <w:fldChar w:fldCharType="end"/>
          </w:r>
          <w: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_Toc9618 </w:instrText>
          </w:r>
          <w:r>
            <w:fldChar w:fldCharType="separate"/>
          </w:r>
          <w:r>
            <w:rPr>
              <w:rFonts w:hint="eastAsia"/>
              <w:lang w:val="en-US" w:eastAsia="zh-CN"/>
            </w:rPr>
            <w:t>5.1.1描述性分析</w:t>
          </w:r>
          <w:r>
            <w:tab/>
          </w:r>
          <w:r>
            <w:fldChar w:fldCharType="begin"/>
          </w:r>
          <w:r>
            <w:instrText xml:space="preserve"> PAGEREF _Toc9618 \h </w:instrText>
          </w:r>
          <w:r>
            <w:fldChar w:fldCharType="separate"/>
          </w:r>
          <w:r>
            <w:t>10</w:t>
          </w:r>
          <w:r>
            <w:fldChar w:fldCharType="end"/>
          </w:r>
          <w: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_Toc5568 </w:instrText>
          </w:r>
          <w:r>
            <w:fldChar w:fldCharType="separate"/>
          </w:r>
          <w:r>
            <w:rPr>
              <w:rFonts w:hint="eastAsia"/>
              <w:lang w:val="en-US" w:eastAsia="zh-CN"/>
            </w:rPr>
            <w:t>5.1.2 基于图形的信息爬取</w:t>
          </w:r>
          <w:r>
            <w:tab/>
          </w:r>
          <w:r>
            <w:fldChar w:fldCharType="begin"/>
          </w:r>
          <w:r>
            <w:instrText xml:space="preserve"> PAGEREF _Toc5568 \h </w:instrText>
          </w:r>
          <w:r>
            <w:fldChar w:fldCharType="separate"/>
          </w:r>
          <w:r>
            <w:t>12</w:t>
          </w:r>
          <w:r>
            <w:fldChar w:fldCharType="end"/>
          </w:r>
          <w: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_Toc11409 </w:instrText>
          </w:r>
          <w:r>
            <w:fldChar w:fldCharType="separate"/>
          </w:r>
          <w:r>
            <w:rPr>
              <w:rFonts w:hint="eastAsia"/>
              <w:lang w:val="en-US" w:eastAsia="zh-CN"/>
            </w:rPr>
            <w:t>5.2 问题一：搬迁补偿建模</w:t>
          </w:r>
          <w:r>
            <w:tab/>
          </w:r>
          <w:r>
            <w:fldChar w:fldCharType="begin"/>
          </w:r>
          <w:r>
            <w:instrText xml:space="preserve"> PAGEREF _Toc11409 \h </w:instrText>
          </w:r>
          <w:r>
            <w:fldChar w:fldCharType="separate"/>
          </w:r>
          <w:r>
            <w:t>13</w:t>
          </w:r>
          <w:r>
            <w:fldChar w:fldCharType="end"/>
          </w:r>
          <w: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_Toc21377 </w:instrText>
          </w:r>
          <w:r>
            <w:fldChar w:fldCharType="separate"/>
          </w:r>
          <w:r>
            <w:rPr>
              <w:rFonts w:hint="eastAsia"/>
              <w:lang w:val="en-US" w:eastAsia="zh-CN"/>
            </w:rPr>
            <w:t>5.2.1 拆迁因素选择</w:t>
          </w:r>
          <w:r>
            <w:tab/>
          </w:r>
          <w:r>
            <w:fldChar w:fldCharType="begin"/>
          </w:r>
          <w:r>
            <w:instrText xml:space="preserve"> PAGEREF _Toc21377 \h </w:instrText>
          </w:r>
          <w:r>
            <w:fldChar w:fldCharType="separate"/>
          </w:r>
          <w:r>
            <w:t>13</w:t>
          </w:r>
          <w:r>
            <w:fldChar w:fldCharType="end"/>
          </w:r>
          <w: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_Toc30777 </w:instrText>
          </w:r>
          <w:r>
            <w:fldChar w:fldCharType="separate"/>
          </w:r>
          <w:r>
            <w:rPr>
              <w:rFonts w:hint="default" w:ascii="Times New Roman" w:hAnsi="Times New Roman" w:cs="Times New Roman"/>
            </w:rPr>
            <w:t xml:space="preserve"> </w:t>
          </w:r>
          <w:r>
            <w:rPr>
              <w:rFonts w:hint="eastAsia" w:ascii="Times New Roman" w:hAnsi="Times New Roman" w:cs="Times New Roman"/>
              <w:lang w:val="en-US" w:eastAsia="zh-CN"/>
            </w:rPr>
            <w:t>5.2.3</w:t>
          </w:r>
          <w:r>
            <w:rPr>
              <w:rFonts w:hint="eastAsia" w:cs="Times New Roman"/>
              <w:lang w:val="en-US" w:eastAsia="zh-CN"/>
            </w:rPr>
            <w:t>评价模型构建</w:t>
          </w:r>
          <w:r>
            <w:tab/>
          </w:r>
          <w:r>
            <w:fldChar w:fldCharType="begin"/>
          </w:r>
          <w:r>
            <w:instrText xml:space="preserve"> PAGEREF _Toc30777 \h </w:instrText>
          </w:r>
          <w:r>
            <w:fldChar w:fldCharType="separate"/>
          </w:r>
          <w:r>
            <w:t>17</w:t>
          </w:r>
          <w:r>
            <w:fldChar w:fldCharType="end"/>
          </w:r>
          <w: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_Toc27244 </w:instrText>
          </w:r>
          <w:r>
            <w:fldChar w:fldCharType="separate"/>
          </w:r>
          <w:r>
            <w:rPr>
              <w:rFonts w:hint="eastAsia"/>
              <w:lang w:val="en-US" w:eastAsia="zh-CN"/>
            </w:rPr>
            <w:t>5.3 问题二：优化模型</w:t>
          </w:r>
          <w:r>
            <w:tab/>
          </w:r>
          <w:r>
            <w:fldChar w:fldCharType="begin"/>
          </w:r>
          <w:r>
            <w:instrText xml:space="preserve"> PAGEREF _Toc27244 \h </w:instrText>
          </w:r>
          <w:r>
            <w:fldChar w:fldCharType="separate"/>
          </w:r>
          <w:r>
            <w:t>19</w:t>
          </w:r>
          <w:r>
            <w:fldChar w:fldCharType="end"/>
          </w:r>
          <w: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_Toc11245 </w:instrText>
          </w:r>
          <w:r>
            <w:fldChar w:fldCharType="separate"/>
          </w:r>
          <w:r>
            <w:rPr>
              <w:rFonts w:hint="eastAsia"/>
              <w:lang w:val="en-US" w:eastAsia="zh-CN"/>
            </w:rPr>
            <w:t>5.3.1 优化模型建立</w:t>
          </w:r>
          <w:r>
            <w:tab/>
          </w:r>
          <w:r>
            <w:fldChar w:fldCharType="begin"/>
          </w:r>
          <w:r>
            <w:instrText xml:space="preserve"> PAGEREF _Toc11245 \h </w:instrText>
          </w:r>
          <w:r>
            <w:fldChar w:fldCharType="separate"/>
          </w:r>
          <w:r>
            <w:t>19</w:t>
          </w:r>
          <w:r>
            <w:fldChar w:fldCharType="end"/>
          </w:r>
          <w: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_Toc13195 </w:instrText>
          </w:r>
          <w:r>
            <w:fldChar w:fldCharType="separate"/>
          </w:r>
          <w:r>
            <w:rPr>
              <w:rFonts w:hint="eastAsia"/>
              <w:lang w:val="en-US" w:eastAsia="zh-CN"/>
            </w:rPr>
            <w:t>5.3.2贪心算法求解</w:t>
          </w:r>
          <w:r>
            <w:tab/>
          </w:r>
          <w:r>
            <w:fldChar w:fldCharType="begin"/>
          </w:r>
          <w:r>
            <w:instrText xml:space="preserve"> PAGEREF _Toc13195 \h </w:instrText>
          </w:r>
          <w:r>
            <w:fldChar w:fldCharType="separate"/>
          </w:r>
          <w:r>
            <w:t>20</w:t>
          </w:r>
          <w:r>
            <w:fldChar w:fldCharType="end"/>
          </w:r>
          <w: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_Toc15102 </w:instrText>
          </w:r>
          <w:r>
            <w:fldChar w:fldCharType="separate"/>
          </w:r>
          <w:r>
            <w:rPr>
              <w:rFonts w:hint="eastAsia"/>
              <w:lang w:val="en-US" w:eastAsia="zh-CN"/>
            </w:rPr>
            <w:t>5.4 问题三：</w:t>
          </w:r>
          <w:r>
            <w:rPr>
              <w:rFonts w:hint="eastAsia"/>
              <w:lang w:eastAsia="zh-CN"/>
            </w:rPr>
            <w:t>性价增益的搬迁拐点计算</w:t>
          </w:r>
          <w:r>
            <w:tab/>
          </w:r>
          <w:r>
            <w:fldChar w:fldCharType="begin"/>
          </w:r>
          <w:r>
            <w:instrText xml:space="preserve"> PAGEREF _Toc15102 \h </w:instrText>
          </w:r>
          <w:r>
            <w:fldChar w:fldCharType="separate"/>
          </w:r>
          <w:r>
            <w:t>26</w:t>
          </w:r>
          <w:r>
            <w:fldChar w:fldCharType="end"/>
          </w:r>
          <w: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_Toc431 </w:instrText>
          </w:r>
          <w:r>
            <w:fldChar w:fldCharType="separate"/>
          </w:r>
          <w:r>
            <w:rPr>
              <w:rFonts w:hint="eastAsia"/>
              <w:lang w:val="en-US" w:eastAsia="zh-CN"/>
            </w:rPr>
            <w:t>5.4.2 增多分析</w:t>
          </w:r>
          <w:r>
            <w:tab/>
          </w:r>
          <w:r>
            <w:fldChar w:fldCharType="begin"/>
          </w:r>
          <w:r>
            <w:instrText xml:space="preserve"> PAGEREF _Toc431 \h </w:instrText>
          </w:r>
          <w:r>
            <w:fldChar w:fldCharType="separate"/>
          </w:r>
          <w:r>
            <w:t>27</w:t>
          </w:r>
          <w:r>
            <w:fldChar w:fldCharType="end"/>
          </w:r>
          <w: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_Toc11953 </w:instrText>
          </w:r>
          <w:r>
            <w:fldChar w:fldCharType="separate"/>
          </w:r>
          <w:r>
            <w:rPr>
              <w:rFonts w:hint="eastAsia"/>
              <w:lang w:val="en-US" w:eastAsia="zh-CN"/>
            </w:rPr>
            <w:t>5.4.3 递减分析</w:t>
          </w:r>
          <w:r>
            <w:tab/>
          </w:r>
          <w:r>
            <w:fldChar w:fldCharType="begin"/>
          </w:r>
          <w:r>
            <w:instrText xml:space="preserve"> PAGEREF _Toc11953 \h </w:instrText>
          </w:r>
          <w:r>
            <w:fldChar w:fldCharType="separate"/>
          </w:r>
          <w:r>
            <w:t>29</w:t>
          </w:r>
          <w:r>
            <w:fldChar w:fldCharType="end"/>
          </w:r>
          <w: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_Toc7126 </w:instrText>
          </w:r>
          <w:r>
            <w:fldChar w:fldCharType="separate"/>
          </w:r>
          <w:r>
            <w:rPr>
              <w:rFonts w:hint="eastAsia"/>
              <w:lang w:val="en-US" w:eastAsia="zh-CN"/>
            </w:rPr>
            <w:t>5.5 问题四：软件构建</w:t>
          </w:r>
          <w:r>
            <w:tab/>
          </w:r>
          <w:r>
            <w:fldChar w:fldCharType="begin"/>
          </w:r>
          <w:r>
            <w:instrText xml:space="preserve"> PAGEREF _Toc7126 \h </w:instrText>
          </w:r>
          <w:r>
            <w:fldChar w:fldCharType="separate"/>
          </w:r>
          <w:r>
            <w:t>31</w:t>
          </w:r>
          <w:r>
            <w:fldChar w:fldCharType="end"/>
          </w:r>
          <w: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_Toc20887 </w:instrText>
          </w:r>
          <w:r>
            <w:fldChar w:fldCharType="separate"/>
          </w:r>
          <w:r>
            <w:rPr>
              <w:rFonts w:hint="eastAsia"/>
              <w:lang w:val="en-US" w:eastAsia="zh-CN"/>
            </w:rPr>
            <w:t>六、 模型总结</w:t>
          </w:r>
          <w:r>
            <w:tab/>
          </w:r>
          <w:r>
            <w:fldChar w:fldCharType="begin"/>
          </w:r>
          <w:r>
            <w:instrText xml:space="preserve"> PAGEREF _Toc20887 \h </w:instrText>
          </w:r>
          <w:r>
            <w:fldChar w:fldCharType="separate"/>
          </w:r>
          <w:r>
            <w:t>34</w:t>
          </w:r>
          <w:r>
            <w:fldChar w:fldCharType="end"/>
          </w:r>
          <w: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_Toc27574 </w:instrText>
          </w:r>
          <w:r>
            <w:fldChar w:fldCharType="separate"/>
          </w:r>
          <w:r>
            <w:rPr>
              <w:rFonts w:hint="eastAsia"/>
              <w:lang w:val="en-US" w:eastAsia="zh-CN"/>
            </w:rPr>
            <w:t>6.1 模型优点</w:t>
          </w:r>
          <w:r>
            <w:tab/>
          </w:r>
          <w:r>
            <w:fldChar w:fldCharType="begin"/>
          </w:r>
          <w:r>
            <w:instrText xml:space="preserve"> PAGEREF _Toc27574 \h </w:instrText>
          </w:r>
          <w:r>
            <w:fldChar w:fldCharType="separate"/>
          </w:r>
          <w:r>
            <w:t>34</w:t>
          </w:r>
          <w:r>
            <w:fldChar w:fldCharType="end"/>
          </w:r>
          <w: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_Toc4713 </w:instrText>
          </w:r>
          <w:r>
            <w:fldChar w:fldCharType="separate"/>
          </w:r>
          <w:r>
            <w:rPr>
              <w:rFonts w:hint="eastAsia"/>
              <w:lang w:val="en-US" w:eastAsia="zh-CN"/>
            </w:rPr>
            <w:t>6.2 模型缺点</w:t>
          </w:r>
          <w:r>
            <w:tab/>
          </w:r>
          <w:r>
            <w:fldChar w:fldCharType="begin"/>
          </w:r>
          <w:r>
            <w:instrText xml:space="preserve"> PAGEREF _Toc4713 \h </w:instrText>
          </w:r>
          <w:r>
            <w:fldChar w:fldCharType="separate"/>
          </w:r>
          <w:r>
            <w:t>35</w:t>
          </w:r>
          <w:r>
            <w:fldChar w:fldCharType="end"/>
          </w:r>
          <w: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_Toc2448 </w:instrText>
          </w:r>
          <w:r>
            <w:fldChar w:fldCharType="separate"/>
          </w:r>
          <w:r>
            <w:rPr>
              <w:rFonts w:hint="eastAsia"/>
              <w:lang w:val="en-US" w:eastAsia="zh-CN"/>
            </w:rPr>
            <w:t>6.3 模型推广</w:t>
          </w:r>
          <w:r>
            <w:tab/>
          </w:r>
          <w:r>
            <w:fldChar w:fldCharType="begin"/>
          </w:r>
          <w:r>
            <w:instrText xml:space="preserve"> PAGEREF _Toc2448 \h </w:instrText>
          </w:r>
          <w:r>
            <w:fldChar w:fldCharType="separate"/>
          </w:r>
          <w:r>
            <w:t>35</w:t>
          </w:r>
          <w:r>
            <w:fldChar w:fldCharType="end"/>
          </w:r>
          <w: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_Toc17161 </w:instrText>
          </w:r>
          <w:r>
            <w:fldChar w:fldCharType="separate"/>
          </w:r>
          <w:r>
            <w:rPr>
              <w:rFonts w:hint="eastAsia"/>
              <w:lang w:val="en-US" w:eastAsia="zh-CN"/>
            </w:rPr>
            <w:t>七、 参考文献</w:t>
          </w:r>
          <w:r>
            <w:tab/>
          </w:r>
          <w:r>
            <w:fldChar w:fldCharType="begin"/>
          </w:r>
          <w:r>
            <w:instrText xml:space="preserve"> PAGEREF _Toc17161 \h </w:instrText>
          </w:r>
          <w:r>
            <w:fldChar w:fldCharType="separate"/>
          </w:r>
          <w:r>
            <w:t>36</w:t>
          </w:r>
          <w:r>
            <w:fldChar w:fldCharType="end"/>
          </w:r>
          <w: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pPr>
          <w:r>
            <w:fldChar w:fldCharType="begin"/>
          </w:r>
          <w:r>
            <w:instrText xml:space="preserve"> HYPERLINK \l _Toc22465 </w:instrText>
          </w:r>
          <w:r>
            <w:fldChar w:fldCharType="separate"/>
          </w:r>
          <w:r>
            <w:rPr>
              <w:rFonts w:hint="eastAsia"/>
              <w:lang w:val="en-US" w:eastAsia="zh-CN"/>
            </w:rPr>
            <w:t>八、 附录</w:t>
          </w:r>
          <w:r>
            <w:tab/>
          </w:r>
          <w:r>
            <w:fldChar w:fldCharType="begin"/>
          </w:r>
          <w:r>
            <w:instrText xml:space="preserve"> PAGEREF _Toc22465 \h </w:instrText>
          </w:r>
          <w:r>
            <w:fldChar w:fldCharType="separate"/>
          </w:r>
          <w:r>
            <w:t>36</w:t>
          </w:r>
          <w:r>
            <w:fldChar w:fldCharType="end"/>
          </w:r>
          <w:r>
            <w:fldChar w:fldCharType="end"/>
          </w:r>
        </w:p>
        <w:p>
          <w:pPr>
            <w:pStyle w:val="14"/>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0" w:firstLineChars="0"/>
            <w:textAlignment w:val="auto"/>
          </w:pPr>
          <w:r>
            <w:fldChar w:fldCharType="end"/>
          </w:r>
        </w:p>
      </w:sdtContent>
    </w:sdt>
    <w:p>
      <w:pPr>
        <w:jc w:val="center"/>
        <w:rPr>
          <w:rFonts w:hint="eastAsia" w:ascii="黑体" w:hAnsi="黑体" w:eastAsia="黑体" w:cs="黑体"/>
          <w:sz w:val="24"/>
          <w:szCs w:val="32"/>
          <w:lang w:val="en-US" w:eastAsia="zh-CN"/>
        </w:rPr>
      </w:pPr>
    </w:p>
    <w:p>
      <w:pPr>
        <w:pStyle w:val="3"/>
        <w:pageBreakBefore w:val="0"/>
        <w:numPr>
          <w:ilvl w:val="0"/>
          <w:numId w:val="4"/>
        </w:numPr>
        <w:wordWrap/>
        <w:overflowPunct/>
        <w:topLinePunct w:val="0"/>
        <w:bidi w:val="0"/>
        <w:adjustRightInd/>
        <w:spacing w:before="0" w:beforeLines="0" w:beforeAutospacing="0" w:after="0" w:afterLines="0" w:afterAutospacing="0" w:line="240" w:lineRule="auto"/>
        <w:outlineLvl w:val="1"/>
        <w:rPr>
          <w:rFonts w:hint="default"/>
          <w:lang w:val="en-US" w:eastAsia="zh-CN"/>
        </w:rPr>
      </w:pPr>
      <w:bookmarkStart w:id="74" w:name="_Toc10569"/>
      <w:bookmarkStart w:id="75" w:name="_Toc18857"/>
      <w:bookmarkStart w:id="76" w:name="_Toc15154"/>
      <w:r>
        <w:rPr>
          <w:rFonts w:hint="eastAsia"/>
          <w:lang w:val="en-US" w:eastAsia="zh-CN"/>
        </w:rPr>
        <w:t>问题重述</w:t>
      </w:r>
      <w:bookmarkEnd w:id="74"/>
      <w:bookmarkEnd w:id="75"/>
      <w:bookmarkEnd w:id="76"/>
    </w:p>
    <w:p>
      <w:pPr>
        <w:pStyle w:val="4"/>
        <w:pageBreakBefore w:val="0"/>
        <w:numPr>
          <w:ilvl w:val="1"/>
          <w:numId w:val="5"/>
        </w:numPr>
        <w:wordWrap/>
        <w:overflowPunct/>
        <w:topLinePunct w:val="0"/>
        <w:bidi w:val="0"/>
        <w:adjustRightInd/>
        <w:spacing w:before="0" w:beforeLines="0" w:beforeAutospacing="0" w:after="0" w:afterLines="0" w:afterAutospacing="0" w:line="240" w:lineRule="auto"/>
        <w:outlineLvl w:val="2"/>
        <w:rPr>
          <w:rFonts w:hint="eastAsia"/>
          <w:lang w:val="en-US" w:eastAsia="zh-CN"/>
        </w:rPr>
      </w:pPr>
      <w:bookmarkStart w:id="77" w:name="_Toc9990"/>
      <w:bookmarkStart w:id="78" w:name="_Toc19312"/>
      <w:bookmarkStart w:id="79" w:name="_Toc9556"/>
      <w:r>
        <w:rPr>
          <w:rFonts w:hint="eastAsia"/>
          <w:lang w:val="en-US" w:eastAsia="zh-CN"/>
        </w:rPr>
        <w:t>问题背景</w:t>
      </w:r>
      <w:bookmarkEnd w:id="77"/>
      <w:bookmarkEnd w:id="78"/>
      <w:bookmarkEnd w:id="79"/>
    </w:p>
    <w:p>
      <w:pPr>
        <w:rPr>
          <w:rFonts w:hint="eastAsia"/>
          <w:highlight w:val="green"/>
          <w:lang w:val="en-US" w:eastAsia="zh-CN"/>
        </w:rPr>
      </w:pPr>
      <w:r>
        <w:rPr>
          <w:rFonts w:hint="eastAsia"/>
          <w:highlight w:val="green"/>
          <w:lang w:val="en-US" w:eastAsia="zh-CN"/>
        </w:rPr>
        <w:t>随着我国城镇化进程的加快，2020年我国的城镇化率达到了63.89%。这一数字的背后，标志着我国城市建设已经全面进入了提质增效的存量更新阶段。在这个背景下，城市更新成为了一个重要的议题，特别是在老旧小区、街区和城中村等城市空间的改造和更新工作中，如何有效推动历史文化保护、提升居民生活质量、优化城市面貌，成为了亟待解决的难题。</w:t>
      </w:r>
    </w:p>
    <w:p>
      <w:pPr>
        <w:rPr>
          <w:rFonts w:hint="eastAsia"/>
          <w:highlight w:val="green"/>
          <w:lang w:val="en-US" w:eastAsia="zh-CN"/>
        </w:rPr>
      </w:pPr>
      <w:r>
        <w:rPr>
          <w:rFonts w:hint="eastAsia"/>
          <w:highlight w:val="green"/>
          <w:lang w:val="en-US" w:eastAsia="zh-CN"/>
        </w:rPr>
        <w:t>2025年1月3日，国务院召开了常务会议，专门研究并推进城市更新工作，提出了“城市更新关系城市面貌和居住品质的提升，是扩大内需的重要抓手”。会议强调，要加快推动城镇老旧小区、街区、厂区和城中村的改造，特别是在这些区域，要在保护和传承历史文化的同时，改善基础设施、提升居住环境。这一政策的出台，不仅是对我国城镇化进程中亟待解决的问题的回应，也是进一步推动社会经济发展的一个重要措施。</w:t>
      </w:r>
    </w:p>
    <w:p>
      <w:pPr>
        <w:rPr>
          <w:rFonts w:hint="eastAsia"/>
          <w:highlight w:val="green"/>
          <w:lang w:val="en-US" w:eastAsia="zh-CN"/>
        </w:rPr>
      </w:pPr>
      <w:r>
        <w:rPr>
          <w:rFonts w:hint="eastAsia"/>
          <w:highlight w:val="green"/>
          <w:lang w:val="en-US" w:eastAsia="zh-CN"/>
        </w:rPr>
        <w:t>城镇老旧小区大多数指的是“老城存量平房街区”，这些区域在特大城市和大城市中尤为显著。经过多年的发展，这些区域的建筑空间在产权、结构、设施等方面存在着多样化的问题。许多老旧小区的建筑产权复杂多样，涉及的利益主体众多，既有个人的房产所有者，也有国家或集体的公共产权单位。这些老旧平房街区的改造涉及到一系列复杂的法律、经济和社会问题，特别是在这些区域的历史文化保护、建筑遗产传承以及居民社区治理等方面，常常面临许多挑战。</w:t>
      </w:r>
    </w:p>
    <w:p>
      <w:pPr>
        <w:rPr>
          <w:rFonts w:hint="eastAsia"/>
          <w:highlight w:val="green"/>
          <w:lang w:val="en-US" w:eastAsia="zh-CN"/>
        </w:rPr>
      </w:pPr>
      <w:r>
        <w:rPr>
          <w:rFonts w:hint="eastAsia"/>
          <w:highlight w:val="green"/>
          <w:lang w:val="en-US" w:eastAsia="zh-CN"/>
        </w:rPr>
        <w:t>随着城市的快速发展，老城平房街区的空间已经逐渐无法满足现代城市居民的生活需求。特别是在基础设施建设、公共服务设施、交通便利性等方面，这些老旧小区的条件相对滞后，极大地影响了居民的生活质量。同时，由于这些区域通常存在较为严重的历史遗留问题，如土地使用权不清、产权纠纷、空间利用不合理等，导致其再开发、再利用的难度增大。</w:t>
      </w:r>
    </w:p>
    <w:p>
      <w:pPr>
        <w:rPr>
          <w:rFonts w:hint="eastAsia"/>
          <w:highlight w:val="green"/>
          <w:lang w:val="en-US" w:eastAsia="zh-CN"/>
        </w:rPr>
      </w:pPr>
      <w:r>
        <w:rPr>
          <w:rFonts w:hint="eastAsia"/>
          <w:highlight w:val="green"/>
          <w:lang w:val="en-US" w:eastAsia="zh-CN"/>
        </w:rPr>
        <w:t>近年来，老城平房街区的更新实践采取了一种“渐进式”或“针灸式”的更新模式，即每次针对某一个问题进行局部性的改造。这种方式虽然能够在一定程度上改善某些问题，但由于其局部性和零散性，整体效果往往不尽如人意，无法彻底解决老旧小区面临的困境。此外，这种方式往往依赖于逐步的居民自治和政府介入，但由于居民的意见不统一，利益诉求不同，往往造成更新进程缓慢，甚至在某些情况下，更新工作进展停滞。</w:t>
      </w:r>
    </w:p>
    <w:p>
      <w:pPr>
        <w:rPr>
          <w:rFonts w:hint="eastAsia"/>
          <w:highlight w:val="green"/>
          <w:lang w:val="en-US" w:eastAsia="zh-CN"/>
        </w:rPr>
      </w:pPr>
      <w:r>
        <w:rPr>
          <w:rFonts w:hint="eastAsia"/>
          <w:highlight w:val="green"/>
          <w:lang w:val="en-US" w:eastAsia="zh-CN"/>
        </w:rPr>
        <w:t>而且，随着城市的快速发展和人口的不断增加，老城平房街区的空间再利用问题也愈加突出。对于一些有历史文化价值的老旧街区，如何在现代化建设中保护和传承其历史文化，已经成为城市更新中的一大难题。许多历史遗存和文化景观在面临现代城市化进程中的“平移置换”时，可能会面临被破坏或忽视的风险，这对于城市的文化记忆和居民的精神家园建设都是一种极大的损失。</w:t>
      </w:r>
    </w:p>
    <w:p>
      <w:pPr>
        <w:rPr>
          <w:rFonts w:hint="eastAsia"/>
          <w:highlight w:val="green"/>
          <w:lang w:val="en-US" w:eastAsia="zh-CN"/>
        </w:rPr>
      </w:pPr>
      <w:r>
        <w:rPr>
          <w:rFonts w:hint="eastAsia"/>
          <w:highlight w:val="green"/>
          <w:lang w:val="en-US" w:eastAsia="zh-CN"/>
        </w:rPr>
        <w:t>因此，在推进老旧小区和街区的改造时，除了关注基础设施的改善、住房条件的提升外，更应重视历史文化保护和社区治理。合理利用“平移置换”方式，在保持历史建筑和文化特色的基础上，合理规划现代城市空间，形成新旧融合的城市面貌，不仅能够为居民提供更加舒适的居住环境，还能够保持城市的历史韵味，促进社会的和谐发展。</w:t>
      </w:r>
    </w:p>
    <w:p>
      <w:pPr>
        <w:rPr>
          <w:rFonts w:hint="eastAsia"/>
          <w:highlight w:val="green"/>
          <w:lang w:val="en-US" w:eastAsia="zh-CN"/>
        </w:rPr>
      </w:pPr>
      <w:r>
        <w:rPr>
          <w:rFonts w:hint="eastAsia"/>
          <w:highlight w:val="green"/>
          <w:lang w:val="en-US" w:eastAsia="zh-CN"/>
        </w:rPr>
        <w:t>总的来说，老城平房街区的更新面临着多方面的挑战，从产权问题到历史保护、从社区治理到空间再利用，都需要在政策上给予更多支持，提供更加系统和可操作的方案。通过有效的规划和创新的解决方案，才能真正实现城市更新的提质增效，提升居民的生活质量，推动城市的可持续发展。</w:t>
      </w:r>
    </w:p>
    <w:p>
      <w:pPr>
        <w:pStyle w:val="4"/>
        <w:pageBreakBefore w:val="0"/>
        <w:numPr>
          <w:ilvl w:val="1"/>
          <w:numId w:val="5"/>
        </w:numPr>
        <w:wordWrap/>
        <w:overflowPunct/>
        <w:topLinePunct w:val="0"/>
        <w:bidi w:val="0"/>
        <w:adjustRightInd/>
        <w:spacing w:before="0" w:beforeLines="0" w:beforeAutospacing="0" w:after="0" w:afterLines="0" w:afterAutospacing="0" w:line="240" w:lineRule="auto"/>
        <w:outlineLvl w:val="2"/>
        <w:rPr>
          <w:rFonts w:hint="default"/>
          <w:lang w:val="en-US" w:eastAsia="zh-CN"/>
        </w:rPr>
      </w:pPr>
      <w:bookmarkStart w:id="80" w:name="_Toc16741"/>
      <w:bookmarkStart w:id="81" w:name="_Toc5954"/>
      <w:bookmarkStart w:id="82" w:name="_Toc5581"/>
      <w:r>
        <w:rPr>
          <w:rFonts w:hint="eastAsia"/>
          <w:lang w:val="en-US" w:eastAsia="zh-CN"/>
        </w:rPr>
        <w:t>问题回顾</w:t>
      </w:r>
      <w:bookmarkEnd w:id="80"/>
      <w:bookmarkEnd w:id="81"/>
      <w:bookmarkEnd w:id="82"/>
    </w:p>
    <w:p>
      <w:pPr>
        <w:rPr>
          <w:rFonts w:hint="default"/>
          <w:highlight w:val="green"/>
          <w:lang w:val="en-US" w:eastAsia="zh-CN"/>
        </w:rPr>
      </w:pPr>
      <w:r>
        <w:rPr>
          <w:rFonts w:hint="default"/>
          <w:highlight w:val="green"/>
          <w:lang w:val="en-US" w:eastAsia="zh-CN"/>
        </w:rPr>
        <w:t>随着城市化进程的不断推进，老旧街区的更新和搬迁问题已成为城市规划中的一个重要课题。在此背景下，如何设计合理的搬迁补偿方案，并进行科学的搬迁决策，已成为解决这一问题的关键。本文针对老城区的搬迁补偿、搬迁决策和投资回报率等问题，进行了详细的建模与分析，具体问题如下：</w:t>
      </w:r>
    </w:p>
    <w:p>
      <w:pPr>
        <w:rPr>
          <w:rFonts w:hint="default"/>
          <w:highlight w:val="green"/>
          <w:lang w:val="en-US" w:eastAsia="zh-CN"/>
        </w:rPr>
      </w:pPr>
      <w:r>
        <w:rPr>
          <w:rFonts w:hint="eastAsia"/>
          <w:highlight w:val="green"/>
          <w:lang w:val="en-US" w:eastAsia="zh-CN"/>
        </w:rPr>
        <w:t>1、</w:t>
      </w:r>
      <w:r>
        <w:rPr>
          <w:rFonts w:hint="default"/>
          <w:highlight w:val="green"/>
          <w:lang w:val="en-US" w:eastAsia="zh-CN"/>
        </w:rPr>
        <w:t>搬迁补偿建模</w:t>
      </w:r>
    </w:p>
    <w:p>
      <w:pPr>
        <w:rPr>
          <w:rFonts w:hint="default"/>
          <w:highlight w:val="green"/>
          <w:lang w:val="en-US" w:eastAsia="zh-CN"/>
        </w:rPr>
      </w:pPr>
      <w:r>
        <w:rPr>
          <w:rFonts w:hint="default"/>
          <w:highlight w:val="green"/>
          <w:lang w:val="en-US" w:eastAsia="zh-CN"/>
        </w:rPr>
        <w:t>在设计搬迁补偿方案时，需要充分考虑住户房屋的多种因素，如房屋的朝向、面积、布局、心理价位、住宿舒适度等。此外，除了文中提及的这些因素外，还需分析其他可能影响住户是否同意搬迁的因素，如迁入地与迁出地的距离、周边房屋的密集程度等。作为规划局或开发商，在面对住户搬迁时，应如何平衡这些因素并设计合理的补偿方案，确保住户的合理诉求得到满足，是搬迁过程中需要解决的关键问题。</w:t>
      </w:r>
    </w:p>
    <w:p>
      <w:pPr>
        <w:rPr>
          <w:rFonts w:hint="default"/>
          <w:highlight w:val="green"/>
          <w:lang w:val="en-US" w:eastAsia="zh-CN"/>
        </w:rPr>
      </w:pPr>
      <w:r>
        <w:rPr>
          <w:rFonts w:hint="eastAsia"/>
          <w:highlight w:val="green"/>
          <w:lang w:val="en-US" w:eastAsia="zh-CN"/>
        </w:rPr>
        <w:t>2、</w:t>
      </w:r>
      <w:r>
        <w:rPr>
          <w:rFonts w:hint="default"/>
          <w:highlight w:val="green"/>
          <w:lang w:val="en-US" w:eastAsia="zh-CN"/>
        </w:rPr>
        <w:t>整院面积最大化搬迁决策设计</w:t>
      </w:r>
    </w:p>
    <w:p>
      <w:pPr>
        <w:rPr>
          <w:rFonts w:hint="default"/>
          <w:highlight w:val="green"/>
          <w:lang w:val="en-US" w:eastAsia="zh-CN"/>
        </w:rPr>
      </w:pPr>
      <w:r>
        <w:rPr>
          <w:rFonts w:hint="default"/>
          <w:highlight w:val="green"/>
          <w:lang w:val="en-US" w:eastAsia="zh-CN"/>
        </w:rPr>
        <w:t>在根据搬迁补偿方案的结果，如何通过搬迁决策使得最终腾出的空地最大化，并尽量保持完整院落的连贯性，是本问题的核心。目标是在确保成本不超出预算范围的情况下，尽可能减少搬迁住户的数量，最终使得整院面积达到最大。与此同时，还需要考虑搬迁住户的具体位置变动，并计算搬迁过程中所需的总成本、最终的整院面积、收入及盈利情况。</w:t>
      </w:r>
    </w:p>
    <w:p>
      <w:pPr>
        <w:rPr>
          <w:rFonts w:hint="default"/>
          <w:highlight w:val="green"/>
          <w:lang w:val="en-US" w:eastAsia="zh-CN"/>
        </w:rPr>
      </w:pPr>
      <w:r>
        <w:rPr>
          <w:rFonts w:hint="eastAsia"/>
          <w:highlight w:val="green"/>
          <w:lang w:val="en-US" w:eastAsia="zh-CN"/>
        </w:rPr>
        <w:t>3、</w:t>
      </w:r>
      <w:r>
        <w:rPr>
          <w:rFonts w:hint="default"/>
          <w:highlight w:val="green"/>
          <w:lang w:val="en-US" w:eastAsia="zh-CN"/>
        </w:rPr>
        <w:t>性价增益的搬迁拐点计算</w:t>
      </w:r>
    </w:p>
    <w:p>
      <w:pPr>
        <w:rPr>
          <w:rFonts w:hint="default"/>
          <w:highlight w:val="green"/>
          <w:lang w:val="en-US" w:eastAsia="zh-CN"/>
        </w:rPr>
      </w:pPr>
      <w:r>
        <w:rPr>
          <w:rFonts w:hint="default"/>
          <w:highlight w:val="green"/>
          <w:lang w:val="en-US" w:eastAsia="zh-CN"/>
        </w:rPr>
        <w:t>在考虑投资回报率时，开发商通常希望通过十年期的租金收益回报来衡量搬迁的性价比。搬迁的目标是使得搬迁十年后的租金收益相比于不搬迁的情况，增量能够达到或者超过实际搬迁投入的20%。在此过程中，是否存在一个搬迁的“拐点”——即在搬迁的某个阶段，性价比开始下降？如果存在这种拐点，我们将分析它出现的条件，具体搬迁哪些院子的居民，以及搬迁后的收入与盈利情况。同时，探讨当性价比下降至一定程度时，是否仍能存在这种拐点。</w:t>
      </w:r>
    </w:p>
    <w:p>
      <w:pPr>
        <w:rPr>
          <w:rFonts w:hint="default"/>
          <w:highlight w:val="green"/>
          <w:lang w:val="en-US" w:eastAsia="zh-CN"/>
        </w:rPr>
      </w:pPr>
      <w:r>
        <w:rPr>
          <w:rFonts w:hint="eastAsia"/>
          <w:highlight w:val="green"/>
          <w:lang w:val="en-US" w:eastAsia="zh-CN"/>
        </w:rPr>
        <w:t>4、</w:t>
      </w:r>
      <w:r>
        <w:rPr>
          <w:rFonts w:hint="default"/>
          <w:highlight w:val="green"/>
          <w:lang w:val="en-US" w:eastAsia="zh-CN"/>
        </w:rPr>
        <w:t>老城区平移置换决策软件设计</w:t>
      </w:r>
    </w:p>
    <w:p>
      <w:pPr>
        <w:rPr>
          <w:rFonts w:hint="default"/>
          <w:highlight w:val="green"/>
          <w:lang w:val="en-US" w:eastAsia="zh-CN"/>
        </w:rPr>
      </w:pPr>
      <w:r>
        <w:rPr>
          <w:rFonts w:hint="default"/>
          <w:highlight w:val="green"/>
          <w:lang w:val="en-US" w:eastAsia="zh-CN"/>
        </w:rPr>
        <w:t>本问题的最后，规划局希望能够将这一案例的经验推广到全国范围内的老旧街区更新搬迁项目。因此，设计一个智能化的软件框架，用以自动计算搬迁补偿方案、搬迁决策及性价增益等问题，将极大地提升规划效率。该软件应能够根据用户输入的多个参数，如房屋面积、布局、周边环境、居民搬迁意愿等，自动计算出最佳的搬迁决策方案，并结合具体模型提供问题二和问题三的答案。此软件框架的设计，除了具备高效的数据计算能力外，还应支持灵活的输入和输出格式，以适应不同地区的具体情况。</w:t>
      </w:r>
    </w:p>
    <w:p>
      <w:pPr>
        <w:pStyle w:val="4"/>
        <w:pageBreakBefore w:val="0"/>
        <w:numPr>
          <w:ilvl w:val="1"/>
          <w:numId w:val="5"/>
        </w:numPr>
        <w:wordWrap/>
        <w:overflowPunct/>
        <w:topLinePunct w:val="0"/>
        <w:bidi w:val="0"/>
        <w:adjustRightInd/>
        <w:spacing w:before="0" w:beforeLines="0" w:beforeAutospacing="0" w:after="0" w:afterLines="0" w:afterAutospacing="0" w:line="240" w:lineRule="auto"/>
        <w:outlineLvl w:val="2"/>
        <w:rPr>
          <w:rFonts w:hint="default"/>
          <w:lang w:val="en-US" w:eastAsia="zh-CN"/>
        </w:rPr>
      </w:pPr>
      <w:bookmarkStart w:id="83" w:name="_Toc8218"/>
      <w:bookmarkStart w:id="84" w:name="_Toc29679"/>
      <w:r>
        <w:rPr>
          <w:rFonts w:hint="eastAsia"/>
          <w:lang w:val="en-US" w:eastAsia="zh-CN"/>
        </w:rPr>
        <w:t>研究现状</w:t>
      </w:r>
      <w:bookmarkEnd w:id="83"/>
      <w:bookmarkEnd w:id="84"/>
    </w:p>
    <w:p>
      <w:pPr>
        <w:rPr>
          <w:rFonts w:hint="default"/>
          <w:highlight w:val="green"/>
          <w:lang w:val="en-US" w:eastAsia="zh-CN"/>
        </w:rPr>
      </w:pPr>
      <w:r>
        <w:rPr>
          <w:rFonts w:hint="default"/>
          <w:highlight w:val="green"/>
          <w:lang w:val="en-US" w:eastAsia="zh-CN"/>
        </w:rPr>
        <w:t>随着我国城镇化进程的不断推进，老城区的更新和搬迁问题日益成为城市规划和社会发展中的重要课题。特别是在老旧街区的搬迁、补偿和再利用过程中，如何在保障居民利益的同时，推动城市的现代化建设，成为了一个亟待解决的难题。近年来，许多学者和研究机构在该领域开展了大量的研究，主要集中在搬迁补偿模型、搬迁决策优化、投资回报率分析以及智能决策系统的设计等方面。</w:t>
      </w:r>
    </w:p>
    <w:p>
      <w:pPr>
        <w:rPr>
          <w:rFonts w:hint="default"/>
          <w:highlight w:val="green"/>
          <w:lang w:val="en-US" w:eastAsia="zh-CN"/>
        </w:rPr>
      </w:pPr>
      <w:r>
        <w:rPr>
          <w:rFonts w:hint="default"/>
          <w:highlight w:val="green"/>
          <w:lang w:val="en-US" w:eastAsia="zh-CN"/>
        </w:rPr>
        <w:t>搬迁补偿问题一直是城市更新中的核心议题。现有研究大多基于经济学和社会学视角，分析住户的搬迁意愿和补偿需求。早期的研究主要集中在如何设计合理的经济补偿方案，考虑到房屋面积、朝向、布局、地理位置等传统因素。例如，许多学者采用了房屋价值评估模型和效用理论来分析居民对搬迁补偿的期望。近年来，随着研究的深入，学者们开始更多地考虑心理价位、住宿舒适度等主观因素，并提出了心理补偿与物质补偿相结合的综合模型。此外，近年来的研究还结合了行为经济学中的“失落厌恶”理论，认为居民对搬迁的情感成本（如迁移损失）同样需要在补偿方案中予以考虑。</w:t>
      </w:r>
    </w:p>
    <w:p>
      <w:pPr>
        <w:rPr>
          <w:rFonts w:hint="default"/>
          <w:highlight w:val="green"/>
          <w:lang w:val="en-US" w:eastAsia="zh-CN"/>
        </w:rPr>
      </w:pPr>
      <w:r>
        <w:rPr>
          <w:rFonts w:hint="default"/>
          <w:highlight w:val="green"/>
          <w:lang w:val="en-US" w:eastAsia="zh-CN"/>
        </w:rPr>
        <w:t>搬迁决策问题的研究，主要围绕如何制定最优的搬迁方案，最大限度地减少社会成本和经济成本。相关研究采用了多目标优化、博弈论等方法来探讨在有限的资源约束下，如何选择合适的搬迁区域和搬迁住户，以实现整个搬迁过程的最优化。很多研究提出，通过数学建模和计算机算法（如线性规划、整数规划、启发式算法等）可以在满足搬迁补偿方案的基础上，优化搬迁住户的数量和搬迁后的空间利用。与此同时，研究还关注搬迁后地块的整合问题，如何最大化整院面积和地块利用效率，避免搬迁后出现资源浪费。</w:t>
      </w:r>
    </w:p>
    <w:p>
      <w:pPr>
        <w:rPr>
          <w:rFonts w:hint="default"/>
          <w:highlight w:val="green"/>
          <w:lang w:val="en-US" w:eastAsia="zh-CN"/>
        </w:rPr>
      </w:pPr>
      <w:r>
        <w:rPr>
          <w:rFonts w:hint="default"/>
          <w:highlight w:val="green"/>
          <w:lang w:val="en-US" w:eastAsia="zh-CN"/>
        </w:rPr>
        <w:t>投资回报率（IRR）和性价比的研究，主要关注开发商在老旧街区搬迁中的投资决策。开发商往往希望在搬迁过程中最大化租金收益，并根据搬迁后的空间增值来回报其投入。现有研究提出了一些关于搬迁拐点的理论，认为在某些情况下，搬迁的性价比存在“拐点”现象，即随着搬迁的推进，后续搬迁的效益逐渐递减。因此，研究者采用动态规划、成本效益分析等方法，分析如何在不同的搬迁阶段和时间跨度内进行投资回报的最大化。</w:t>
      </w:r>
    </w:p>
    <w:p>
      <w:pPr>
        <w:rPr>
          <w:rFonts w:hint="default"/>
          <w:highlight w:val="green"/>
          <w:lang w:val="en-US" w:eastAsia="zh-CN"/>
        </w:rPr>
      </w:pPr>
      <w:r>
        <w:rPr>
          <w:rFonts w:hint="default"/>
          <w:highlight w:val="green"/>
          <w:lang w:val="en-US" w:eastAsia="zh-CN"/>
        </w:rPr>
        <w:t>随着信息技术的发展，越来越多的研究开始关注智能决策系统在老城区更新中的应用。智能化系统能够基于大数据分析、机器学习和人工智能技术，自动计算搬迁补偿方案、优化搬迁决策，并实现更为精确的规划设计。这些系统通过集成居民需求、地理信息、城市规划数据等多种信息，可以进行全面的数据分析，帮助规划局和开发商制定最符合实际的搬迁决策。近年来，已有部分地方政府和企业在搬迁补偿方案设计中引入了智能决策系统，但在全国范围内尚未形成普及应用，技术的进一步发展和系统的优化仍是一个重要的研究方向。</w:t>
      </w:r>
    </w:p>
    <w:p>
      <w:pPr>
        <w:ind w:left="0" w:leftChars="0" w:firstLine="480" w:firstLineChars="200"/>
        <w:rPr>
          <w:rFonts w:hint="default"/>
          <w:highlight w:val="green"/>
          <w:lang w:val="en-US" w:eastAsia="zh-CN"/>
        </w:rPr>
      </w:pPr>
      <w:r>
        <w:rPr>
          <w:rFonts w:hint="default"/>
          <w:highlight w:val="green"/>
          <w:lang w:val="en-US" w:eastAsia="zh-CN"/>
        </w:rPr>
        <w:t>总的来说，当前在老城区搬迁和补偿领域的研究主要集中在如何平衡经济效益与社会效益、如何通过优化决策减少搬迁的负面影响以及如何利用新兴技术提升决策效率等方面。尽管已有大量的理论与模型研究，但在实际操作中，如何更好地将这些研究成果转化为具体的政策和实践方案，仍然是未来研究的重要任务。</w:t>
      </w:r>
    </w:p>
    <w:p>
      <w:pPr>
        <w:pStyle w:val="3"/>
        <w:pageBreakBefore w:val="0"/>
        <w:numPr>
          <w:ilvl w:val="0"/>
          <w:numId w:val="4"/>
        </w:numPr>
        <w:wordWrap/>
        <w:overflowPunct/>
        <w:topLinePunct w:val="0"/>
        <w:bidi w:val="0"/>
        <w:adjustRightInd/>
        <w:spacing w:before="0" w:beforeLines="0" w:beforeAutospacing="0" w:after="0" w:afterLines="0" w:afterAutospacing="0" w:line="240" w:lineRule="auto"/>
        <w:outlineLvl w:val="1"/>
        <w:rPr>
          <w:rFonts w:hint="default"/>
          <w:lang w:val="en-US" w:eastAsia="zh-CN"/>
        </w:rPr>
      </w:pPr>
      <w:bookmarkStart w:id="85" w:name="_Toc19011"/>
      <w:bookmarkStart w:id="86" w:name="_Toc3394"/>
      <w:bookmarkStart w:id="87" w:name="_Toc22102"/>
      <w:r>
        <w:rPr>
          <w:rFonts w:hint="eastAsia"/>
          <w:lang w:val="en-US" w:eastAsia="zh-CN"/>
        </w:rPr>
        <w:t>问题分析</w:t>
      </w:r>
      <w:bookmarkEnd w:id="85"/>
      <w:bookmarkEnd w:id="86"/>
      <w:bookmarkEnd w:id="87"/>
    </w:p>
    <w:p>
      <w:pPr>
        <w:bidi w:val="0"/>
      </w:pPr>
      <w:r>
        <w:t>对于数据预处理，我们首先基于给出附件数据进行必要分描述性分析以便进行后续建模。对于提供图片文件，使用图像处理、光学字符识别（OCR）、用户交互坐标获取和坐标显示。获取各院落之间的相对位置以及距离数据。</w:t>
      </w:r>
    </w:p>
    <w:p>
      <w:pPr>
        <w:bidi w:val="0"/>
      </w:pPr>
      <w:r>
        <w:t>对于问题一， 拆迁补偿建模。我们在基于题目给出面积、采光、修缮补偿外，还引入搬迁距离、邻里关系和社区因素、交通便利性。具体而言，我们使用修缮补偿最为最终补偿手段，单一居民最多给予20万修缮费。建立基于熵权法的理想解法，对不同居民的拆迁情况进行建模分析。基于给出数据，我们选出基于约束下，每个居民用户的所有拆迁可能性，一共113个居民，单人搬迁一共3623可能性。基于该数据建立评价模型对修缮费进行配分。最多的居民补偿20万，最低的居民无补偿费。</w:t>
      </w:r>
    </w:p>
    <w:p>
      <w:pPr>
        <w:bidi w:val="0"/>
      </w:pPr>
      <w:r>
        <w:t>针对问题二极值的求解，目标是根据给定的搬迁条件和限制，通过优化方法为每个居民选择一个合适的目标地块。直接引入问题一计算出的全部可能性 进行遍历求解时间复杂度过高，因此本节引入了贪心算法来决策每个居民的搬迁目标，并尽量在满足居民需求的同时最大化开发商的利益，特别是在腾出完整院落方面。</w:t>
      </w:r>
    </w:p>
    <w:p>
      <w:pPr>
        <w:bidi w:val="0"/>
      </w:pPr>
      <w:r>
        <w:t>对于问题三，性价增益的搬迁拐点计算。我们首先基于问题二的结果计算正常情况下的m值。得出具体数值后，我们分别从一个居民开始搬家增加到112个居民进行搬家，分析随着居民搬家个数增多m值的变化趋势。在此，利用问题二的实现代码，初步剔除每个居民信息，分析剔除单个居民后的m值的变化趋势，完成性价增益的搬迁拐点计算</w:t>
      </w:r>
    </w:p>
    <w:p>
      <w:pPr>
        <w:bidi w:val="0"/>
        <w:rPr>
          <w:rFonts w:hint="default"/>
          <w:lang w:val="en-US" w:eastAsia="zh-CN"/>
        </w:rPr>
      </w:pPr>
      <w:r>
        <w:t>对于问题四规划局希望将该案例推广至全国的老旧街区更新搬迁过程中。为了实现这一目标，我们设计一个智能决策软件，能够自动计算老城区的平移置换决策，并为每个搬迁方案计算出相应的性价比m，从而辅助规划和决策。</w:t>
      </w:r>
    </w:p>
    <w:p>
      <w:pPr>
        <w:pageBreakBefore w:val="0"/>
        <w:wordWrap/>
        <w:overflowPunct/>
        <w:topLinePunct w:val="0"/>
        <w:bidi w:val="0"/>
        <w:adjustRightInd/>
        <w:spacing w:beforeAutospacing="0" w:afterAutospacing="0" w:line="240" w:lineRule="auto"/>
        <w:rPr>
          <w:rFonts w:hint="eastAsia"/>
          <w:lang w:val="en-US" w:eastAsia="zh-CN"/>
        </w:rPr>
      </w:pPr>
    </w:p>
    <w:p>
      <w:pPr>
        <w:ind w:left="0" w:leftChars="0" w:firstLine="0" w:firstLineChars="0"/>
        <w:rPr>
          <w:rFonts w:hint="default"/>
          <w:lang w:val="en-US" w:eastAsia="zh-CN"/>
        </w:rPr>
      </w:pPr>
    </w:p>
    <w:p>
      <w:pPr>
        <w:pStyle w:val="3"/>
        <w:pageBreakBefore w:val="0"/>
        <w:numPr>
          <w:ilvl w:val="0"/>
          <w:numId w:val="4"/>
        </w:numPr>
        <w:wordWrap/>
        <w:overflowPunct/>
        <w:topLinePunct w:val="0"/>
        <w:bidi w:val="0"/>
        <w:adjustRightInd/>
        <w:spacing w:before="0" w:beforeLines="0" w:beforeAutospacing="0" w:after="0" w:afterLines="0" w:afterAutospacing="0" w:line="240" w:lineRule="auto"/>
        <w:outlineLvl w:val="1"/>
        <w:rPr>
          <w:rFonts w:hint="default"/>
          <w:lang w:val="en-US" w:eastAsia="zh-CN"/>
        </w:rPr>
      </w:pPr>
      <w:bookmarkStart w:id="88" w:name="_Toc13959"/>
      <w:bookmarkStart w:id="89" w:name="_Toc23229"/>
      <w:bookmarkStart w:id="90" w:name="_Toc22126"/>
      <w:r>
        <w:rPr>
          <w:rFonts w:hint="eastAsia"/>
          <w:lang w:val="en-US" w:eastAsia="zh-CN"/>
        </w:rPr>
        <w:t>模型假设</w:t>
      </w:r>
      <w:bookmarkEnd w:id="88"/>
      <w:bookmarkEnd w:id="89"/>
      <w:bookmarkEnd w:id="90"/>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lang w:eastAsia="zh-CN"/>
        </w:rPr>
      </w:pPr>
      <w:r>
        <w:rPr>
          <w:rFonts w:hint="eastAsia"/>
          <w:lang w:eastAsia="zh-CN"/>
        </w:rPr>
        <w:t>为了方便模型的建立与模型的可行性，我们这里首先对模型提出一些假设，使得模型更加完备，</w:t>
      </w:r>
      <w:r>
        <w:rPr>
          <w:rFonts w:hint="eastAsia"/>
          <w:lang w:val="en-US" w:eastAsia="zh-CN"/>
        </w:rPr>
        <w:t>预测的结果更加合理</w:t>
      </w:r>
      <w:r>
        <w:rPr>
          <w:rFonts w:hint="eastAsia"/>
          <w:lang w:eastAsia="zh-CN"/>
        </w:rPr>
        <w:t>。</w:t>
      </w:r>
    </w:p>
    <w:p>
      <w:pPr>
        <w:pStyle w:val="2"/>
        <w:keepNext w:val="0"/>
        <w:keepLines w:val="0"/>
        <w:pageBreakBefore w:val="0"/>
        <w:widowControl w:val="0"/>
        <w:numPr>
          <w:ilvl w:val="0"/>
          <w:numId w:val="6"/>
        </w:numPr>
        <w:kinsoku/>
        <w:wordWrap/>
        <w:overflowPunct/>
        <w:topLinePunct w:val="0"/>
        <w:autoSpaceDE/>
        <w:autoSpaceDN/>
        <w:bidi w:val="0"/>
        <w:adjustRightInd/>
        <w:snapToGrid/>
        <w:spacing w:after="0" w:afterLines="0"/>
        <w:textAlignment w:val="auto"/>
        <w:rPr>
          <w:rFonts w:ascii="宋体" w:hAnsi="宋体" w:eastAsia="宋体" w:cs="宋体"/>
          <w:sz w:val="24"/>
          <w:szCs w:val="24"/>
        </w:rPr>
      </w:pPr>
      <w:r>
        <w:rPr>
          <w:rFonts w:ascii="宋体" w:hAnsi="宋体" w:eastAsia="宋体" w:cs="宋体"/>
          <w:sz w:val="24"/>
          <w:szCs w:val="24"/>
        </w:rPr>
        <w:t>居民搬迁后的目标地块面积不得小于其现有地块面积，最多可补偿原面积的30%。</w:t>
      </w:r>
    </w:p>
    <w:p>
      <w:pPr>
        <w:pStyle w:val="2"/>
        <w:keepNext w:val="0"/>
        <w:keepLines w:val="0"/>
        <w:pageBreakBefore w:val="0"/>
        <w:widowControl w:val="0"/>
        <w:numPr>
          <w:ilvl w:val="0"/>
          <w:numId w:val="6"/>
        </w:numPr>
        <w:kinsoku/>
        <w:wordWrap/>
        <w:overflowPunct/>
        <w:topLinePunct w:val="0"/>
        <w:autoSpaceDE/>
        <w:autoSpaceDN/>
        <w:bidi w:val="0"/>
        <w:adjustRightInd/>
        <w:snapToGrid/>
        <w:spacing w:after="0" w:afterLines="0"/>
        <w:textAlignment w:val="auto"/>
        <w:rPr>
          <w:rFonts w:hint="default" w:ascii="宋体" w:hAnsi="宋体" w:eastAsia="宋体" w:cs="宋体"/>
          <w:sz w:val="24"/>
          <w:szCs w:val="24"/>
          <w:lang w:val="en-US" w:eastAsia="zh-CN"/>
        </w:rPr>
      </w:pPr>
      <w:r>
        <w:rPr>
          <w:rFonts w:ascii="宋体" w:hAnsi="宋体" w:eastAsia="宋体" w:cs="宋体"/>
          <w:sz w:val="24"/>
          <w:szCs w:val="24"/>
        </w:rPr>
        <w:t>朝向影响地块的采光程度，模型假设各地块朝向的采光舒适度标准为正南</w:t>
      </w:r>
      <w:r>
        <w:rPr>
          <w:rFonts w:hint="eastAsia" w:ascii="宋体" w:hAnsi="宋体" w:eastAsia="宋体" w:cs="宋体"/>
          <w:sz w:val="24"/>
          <w:szCs w:val="24"/>
          <w:lang w:val="en-US" w:eastAsia="zh-CN"/>
        </w:rPr>
        <w:t>=</w:t>
      </w:r>
      <w:r>
        <w:rPr>
          <w:rFonts w:ascii="宋体" w:hAnsi="宋体" w:eastAsia="宋体" w:cs="宋体"/>
          <w:sz w:val="24"/>
          <w:szCs w:val="24"/>
        </w:rPr>
        <w:t>正北&gt;东厢&gt;西厢。</w:t>
      </w:r>
    </w:p>
    <w:p>
      <w:pPr>
        <w:pStyle w:val="2"/>
        <w:keepNext w:val="0"/>
        <w:keepLines w:val="0"/>
        <w:pageBreakBefore w:val="0"/>
        <w:widowControl w:val="0"/>
        <w:numPr>
          <w:ilvl w:val="0"/>
          <w:numId w:val="6"/>
        </w:numPr>
        <w:kinsoku/>
        <w:wordWrap/>
        <w:overflowPunct/>
        <w:topLinePunct w:val="0"/>
        <w:autoSpaceDE/>
        <w:autoSpaceDN/>
        <w:bidi w:val="0"/>
        <w:adjustRightInd/>
        <w:snapToGrid/>
        <w:spacing w:after="0" w:afterLine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搬迁补偿：搬迁补偿的最大值为每户20万元，最低无补偿费。</w:t>
      </w:r>
    </w:p>
    <w:p>
      <w:pPr>
        <w:pStyle w:val="2"/>
        <w:keepNext w:val="0"/>
        <w:keepLines w:val="0"/>
        <w:pageBreakBefore w:val="0"/>
        <w:widowControl w:val="0"/>
        <w:numPr>
          <w:ilvl w:val="0"/>
          <w:numId w:val="6"/>
        </w:numPr>
        <w:kinsoku/>
        <w:wordWrap/>
        <w:overflowPunct/>
        <w:topLinePunct w:val="0"/>
        <w:autoSpaceDE/>
        <w:autoSpaceDN/>
        <w:bidi w:val="0"/>
        <w:adjustRightInd/>
        <w:snapToGrid/>
        <w:spacing w:after="0" w:afterLine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租金收入计算基于10年时间跨度（3650天），假设在此期间租金和市场条件保持稳定，不考虑通货膨胀和市场波动。</w:t>
      </w:r>
    </w:p>
    <w:p>
      <w:pPr>
        <w:pStyle w:val="2"/>
        <w:keepNext w:val="0"/>
        <w:keepLines w:val="0"/>
        <w:pageBreakBefore w:val="0"/>
        <w:widowControl w:val="0"/>
        <w:numPr>
          <w:ilvl w:val="0"/>
          <w:numId w:val="6"/>
        </w:numPr>
        <w:kinsoku/>
        <w:wordWrap/>
        <w:overflowPunct/>
        <w:topLinePunct w:val="0"/>
        <w:autoSpaceDE/>
        <w:autoSpaceDN/>
        <w:bidi w:val="0"/>
        <w:adjustRightInd/>
        <w:snapToGrid/>
        <w:spacing w:after="0" w:afterLine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如果两个院落是相邻的，并且都为空地，则相邻院落将会带来额外的20%租金收益。毗邻效益仅适用于完全空置的院落，并且只考虑物理上相邻的院落。</w:t>
      </w:r>
    </w:p>
    <w:p>
      <w:pPr>
        <w:pStyle w:val="2"/>
        <w:keepNext w:val="0"/>
        <w:keepLines w:val="0"/>
        <w:pageBreakBefore w:val="0"/>
        <w:widowControl w:val="0"/>
        <w:numPr>
          <w:ilvl w:val="0"/>
          <w:numId w:val="6"/>
        </w:numPr>
        <w:kinsoku/>
        <w:wordWrap/>
        <w:overflowPunct/>
        <w:topLinePunct w:val="0"/>
        <w:autoSpaceDE/>
        <w:autoSpaceDN/>
        <w:bidi w:val="0"/>
        <w:adjustRightInd/>
        <w:snapToGrid/>
        <w:spacing w:after="0" w:afterLine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模型假设每个搬迁地块会有4个月的租金损失，这一假设基于搬迁的时间成本和空置期间的租金收入损失。所有地块的搬迁都伴随时间损失，无论居民是否搬迁至新地块。</w:t>
      </w:r>
    </w:p>
    <w:p>
      <w:pPr>
        <w:pStyle w:val="2"/>
        <w:keepNext w:val="0"/>
        <w:keepLines w:val="0"/>
        <w:pageBreakBefore w:val="0"/>
        <w:widowControl w:val="0"/>
        <w:numPr>
          <w:ilvl w:val="0"/>
          <w:numId w:val="6"/>
        </w:numPr>
        <w:kinsoku/>
        <w:wordWrap/>
        <w:overflowPunct/>
        <w:topLinePunct w:val="0"/>
        <w:autoSpaceDE/>
        <w:autoSpaceDN/>
        <w:bidi w:val="0"/>
        <w:adjustRightInd/>
        <w:snapToGrid/>
        <w:spacing w:after="0" w:afterLine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每个居民的迁入地块必须满足面积和采光要求：每个目标地块必须满足居民的面积要求，同时确保迁入地块的采光条件至少不低于现有住地的采光条件。若无法满足这些条件，居民将不会搬迁。</w:t>
      </w:r>
    </w:p>
    <w:p>
      <w:pPr>
        <w:pStyle w:val="2"/>
        <w:keepNext w:val="0"/>
        <w:keepLines w:val="0"/>
        <w:pageBreakBefore w:val="0"/>
        <w:widowControl w:val="0"/>
        <w:numPr>
          <w:ilvl w:val="0"/>
          <w:numId w:val="6"/>
        </w:numPr>
        <w:kinsoku/>
        <w:wordWrap/>
        <w:overflowPunct/>
        <w:topLinePunct w:val="0"/>
        <w:autoSpaceDE/>
        <w:autoSpaceDN/>
        <w:bidi w:val="0"/>
        <w:adjustRightInd/>
        <w:snapToGrid/>
        <w:spacing w:after="0" w:afterLine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模型忽略特殊政策和法律因素：在本模型中，我们假设没有复杂的政策或法律因素影响搬迁过程。即所有的搬迁补偿和政策执行都是统一的，没有地区差异和政策变化的影响。</w:t>
      </w:r>
    </w:p>
    <w:p>
      <w:pPr>
        <w:pStyle w:val="2"/>
        <w:keepNext w:val="0"/>
        <w:keepLines w:val="0"/>
        <w:pageBreakBefore w:val="0"/>
        <w:widowControl w:val="0"/>
        <w:numPr>
          <w:ilvl w:val="0"/>
          <w:numId w:val="6"/>
        </w:numPr>
        <w:kinsoku/>
        <w:wordWrap/>
        <w:overflowPunct/>
        <w:topLinePunct w:val="0"/>
        <w:autoSpaceDE/>
        <w:autoSpaceDN/>
        <w:bidi w:val="0"/>
        <w:adjustRightInd/>
        <w:snapToGrid/>
        <w:spacing w:after="0" w:afterLine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所有地块租金标准保持不变：虽然实际情况中可能存在市场波动，但为了简化计算，假设在整个搬迁过程中租金标准保持不变，并且租金收益完全取决于地块的朝向和面积。</w:t>
      </w:r>
    </w:p>
    <w:p>
      <w:pPr>
        <w:pageBreakBefore w:val="0"/>
        <w:wordWrap/>
        <w:overflowPunct/>
        <w:topLinePunct w:val="0"/>
        <w:bidi w:val="0"/>
        <w:adjustRightInd/>
        <w:spacing w:beforeAutospacing="0" w:afterAutospacing="0" w:line="240" w:lineRule="auto"/>
        <w:rPr>
          <w:rFonts w:hint="default"/>
          <w:lang w:val="en-US" w:eastAsia="zh-CN"/>
        </w:rPr>
      </w:pPr>
    </w:p>
    <w:p>
      <w:pPr>
        <w:pStyle w:val="3"/>
        <w:pageBreakBefore w:val="0"/>
        <w:numPr>
          <w:ilvl w:val="0"/>
          <w:numId w:val="4"/>
        </w:numPr>
        <w:wordWrap/>
        <w:overflowPunct/>
        <w:topLinePunct w:val="0"/>
        <w:bidi w:val="0"/>
        <w:adjustRightInd/>
        <w:spacing w:before="0" w:beforeLines="0" w:beforeAutospacing="0" w:after="0" w:afterLines="0" w:afterAutospacing="0" w:line="240" w:lineRule="auto"/>
        <w:outlineLvl w:val="1"/>
        <w:rPr>
          <w:rFonts w:hint="default"/>
          <w:lang w:val="en-US" w:eastAsia="zh-CN"/>
        </w:rPr>
      </w:pPr>
      <w:bookmarkStart w:id="91" w:name="_Toc23847"/>
      <w:bookmarkStart w:id="92" w:name="_Toc18927"/>
      <w:bookmarkStart w:id="93" w:name="_Toc18224"/>
      <w:r>
        <w:rPr>
          <w:rFonts w:hint="eastAsia"/>
          <w:lang w:val="en-US" w:eastAsia="zh-CN"/>
        </w:rPr>
        <w:t>符号说明</w:t>
      </w:r>
      <w:bookmarkEnd w:id="91"/>
      <w:bookmarkEnd w:id="92"/>
      <w:bookmarkEnd w:id="93"/>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jc w:val="center"/>
        <w:textAlignment w:val="auto"/>
        <w:rPr>
          <w:rFonts w:hint="eastAsia"/>
          <w:lang w:val="en-US" w:eastAsia="zh-CN"/>
        </w:rPr>
      </w:pPr>
      <w:r>
        <w:rPr>
          <w:rFonts w:hint="eastAsia"/>
          <w:lang w:val="en-US" w:eastAsia="zh-CN"/>
        </w:rPr>
        <w:t>为了方便我们模型的建立与求解过程 ，我们这里对使用到的关键符号进行以下说明：</w:t>
      </w:r>
    </w:p>
    <w:tbl>
      <w:tblPr>
        <w:tblStyle w:val="27"/>
        <w:tblW w:w="0" w:type="auto"/>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80" w:type="dxa"/>
          <w:left w:w="160" w:type="dxa"/>
          <w:bottom w:w="80" w:type="dxa"/>
          <w:right w:w="160" w:type="dxa"/>
        </w:tblCellMar>
      </w:tblPr>
      <w:tblGrid>
        <w:gridCol w:w="2144"/>
        <w:gridCol w:w="5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tcBorders>
              <w:top w:val="single" w:color="auto" w:sz="12" w:space="0"/>
              <w:bottom w:val="single" w:color="000000" w:sz="12" w:space="0"/>
            </w:tcBorders>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w:r>
              <w:rPr>
                <w:rFonts w:ascii="Georgia" w:hAnsi="Georgia" w:eastAsia="Georgia" w:cs="Georgia"/>
              </w:rPr>
              <w:t>符号</w:t>
            </w:r>
          </w:p>
        </w:tc>
        <w:tc>
          <w:tcPr>
            <w:tcW w:w="5545" w:type="dxa"/>
            <w:tcBorders>
              <w:top w:val="single" w:color="auto" w:sz="12" w:space="0"/>
              <w:bottom w:val="single" w:color="000000" w:sz="12" w:space="0"/>
            </w:tcBorders>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4"/>
                <w:szCs w:val="24"/>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m:oMathPara>
              <m:oMathParaPr>
                <m:jc m:val="center"/>
              </m:oMathParaPr>
              <m:oMath>
                <m:sSub>
                  <m:sSubPr/>
                  <m:e>
                    <m:r>
                      <m:rPr/>
                      <m:t>A</m:t>
                    </m:r>
                  </m:e>
                  <m:sub>
                    <m:r>
                      <m:rPr/>
                      <m:t>i</m:t>
                    </m:r>
                  </m:sub>
                </m:sSub>
              </m:oMath>
            </m:oMathPara>
          </w:p>
        </w:tc>
        <w:tc>
          <w:tcPr>
            <w:tcW w:w="5545"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1"/>
                <w:szCs w:val="21"/>
              </w:rPr>
              <w:t xml:space="preserve">目标地块 </w:t>
            </w:r>
            <m:oMath>
              <m:r>
                <m:rPr/>
                <w:rPr>
                  <w:sz w:val="21"/>
                  <w:szCs w:val="21"/>
                </w:rPr>
                <m:t>i</m:t>
              </m:r>
            </m:oMath>
            <w:r>
              <w:rPr>
                <w:rFonts w:ascii="Georgia" w:hAnsi="Georgia" w:eastAsia="Georgia" w:cs="Georgia"/>
                <w:sz w:val="21"/>
                <w:szCs w:val="21"/>
              </w:rPr>
              <w:t xml:space="preserve"> 的面积（单位：平方米）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m:oMathPara>
              <m:oMathParaPr>
                <m:jc m:val="center"/>
              </m:oMathParaPr>
              <m:oMath>
                <m:r>
                  <m:rPr/>
                  <m:t>R</m:t>
                </m:r>
              </m:oMath>
            </m:oMathPara>
          </w:p>
        </w:tc>
        <w:tc>
          <w:tcPr>
            <w:tcW w:w="5545"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1"/>
                <w:szCs w:val="21"/>
              </w:rPr>
              <w:t>目标地块的租金标准（单位：元／平方米／天），根据地块的朝向和类型确定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w:r>
              <w:t>3650</w:t>
            </w:r>
          </w:p>
        </w:tc>
        <w:tc>
          <w:tcPr>
            <w:tcW w:w="5545"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1"/>
                <w:szCs w:val="21"/>
              </w:rPr>
              <w:t xml:space="preserve">10年内的总天数（10年 </w:t>
            </w:r>
            <m:oMath>
              <m:r>
                <m:rPr>
                  <m:sty m:val="p"/>
                </m:rPr>
                <w:rPr>
                  <w:sz w:val="21"/>
                  <w:szCs w:val="21"/>
                </w:rPr>
                <m:t>=3650</m:t>
              </m:r>
            </m:oMath>
            <w:r>
              <w:rPr>
                <w:rFonts w:ascii="Georgia" w:hAnsi="Georgia" w:eastAsia="Georgia" w:cs="Georgia"/>
                <w:sz w:val="21"/>
                <w:szCs w:val="21"/>
              </w:rPr>
              <w:t xml:space="preserve"> 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w:r>
              <w:t xml:space="preserve">Income </w:t>
            </w:r>
            <m:oMath>
              <m:sSub>
                <m:sSubPr/>
                <m:e>
                  <m:r>
                    <m:rPr/>
                    <m:t xml:space="preserve"> </m:t>
                  </m:r>
                </m:e>
                <m:sub>
                  <m:r>
                    <m:rPr/>
                    <m:t>i</m:t>
                  </m:r>
                </m:sub>
              </m:sSub>
            </m:oMath>
          </w:p>
        </w:tc>
        <w:tc>
          <w:tcPr>
            <w:tcW w:w="5545"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1"/>
                <w:szCs w:val="21"/>
              </w:rPr>
              <w:t xml:space="preserve">目标地块 </w:t>
            </w:r>
            <m:oMath>
              <m:r>
                <m:rPr/>
                <w:rPr>
                  <w:sz w:val="21"/>
                  <w:szCs w:val="21"/>
                </w:rPr>
                <m:t>i</m:t>
              </m:r>
            </m:oMath>
            <w:r>
              <w:rPr>
                <w:rFonts w:ascii="Georgia" w:hAnsi="Georgia" w:eastAsia="Georgia" w:cs="Georgia"/>
                <w:sz w:val="21"/>
                <w:szCs w:val="21"/>
              </w:rPr>
              <w:t xml:space="preserve"> 的租金收入（单位：元）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w:r>
              <w:t xml:space="preserve">Benefit </w:t>
            </w:r>
            <m:oMath>
              <m:sSub>
                <m:sSubPr/>
                <m:e>
                  <m:r>
                    <m:rPr/>
                    <m:t xml:space="preserve"> </m:t>
                  </m:r>
                </m:e>
                <m:sub>
                  <m:r>
                    <m:rPr/>
                    <m:t>i</m:t>
                  </m:r>
                  <m:r>
                    <m:rPr>
                      <m:sty m:val="p"/>
                    </m:rPr>
                    <m:t>,</m:t>
                  </m:r>
                  <m:r>
                    <m:rPr/>
                    <m:t>j</m:t>
                  </m:r>
                </m:sub>
              </m:sSub>
            </m:oMath>
          </w:p>
        </w:tc>
        <w:tc>
          <w:tcPr>
            <w:tcW w:w="5545"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1"/>
                <w:szCs w:val="21"/>
              </w:rPr>
              <w:t xml:space="preserve">毗邻效益，表示目标地块 </w:t>
            </w:r>
            <m:oMath>
              <m:r>
                <m:rPr/>
                <w:rPr>
                  <w:sz w:val="21"/>
                  <w:szCs w:val="21"/>
                </w:rPr>
                <m:t>i</m:t>
              </m:r>
            </m:oMath>
            <w:r>
              <w:rPr>
                <w:rFonts w:ascii="Georgia" w:hAnsi="Georgia" w:eastAsia="Georgia" w:cs="Georgia"/>
                <w:sz w:val="21"/>
                <w:szCs w:val="21"/>
              </w:rPr>
              <w:t xml:space="preserve"> 和相邻空地 </w:t>
            </w:r>
            <m:oMath>
              <m:r>
                <m:rPr/>
                <w:rPr>
                  <w:sz w:val="21"/>
                  <w:szCs w:val="21"/>
                </w:rPr>
                <m:t>j</m:t>
              </m:r>
            </m:oMath>
            <w:r>
              <w:rPr>
                <w:rFonts w:ascii="Georgia" w:hAnsi="Georgia" w:eastAsia="Georgia" w:cs="Georgia"/>
                <w:sz w:val="21"/>
                <w:szCs w:val="21"/>
              </w:rPr>
              <w:t xml:space="preserve"> 带来的额外收益（单位：元）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w:r>
              <w:t xml:space="preserve">Compensation </w:t>
            </w:r>
            <m:oMath>
              <m:sSub>
                <m:sSubPr/>
                <m:e>
                  <m:r>
                    <m:rPr/>
                    <m:t xml:space="preserve"> </m:t>
                  </m:r>
                </m:e>
                <m:sub>
                  <m:r>
                    <m:rPr/>
                    <m:t>i</m:t>
                  </m:r>
                </m:sub>
              </m:sSub>
            </m:oMath>
          </w:p>
        </w:tc>
        <w:tc>
          <w:tcPr>
            <w:tcW w:w="5545"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1"/>
                <w:szCs w:val="21"/>
              </w:rPr>
              <w:t>每个居民的搬迁补偿金额（单位：元）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m:oMathPara>
              <m:oMathParaPr>
                <m:jc m:val="center"/>
              </m:oMathParaPr>
              <m:oMath>
                <m:sSub>
                  <m:sSubPr/>
                  <m:e>
                    <m:r>
                      <m:rPr/>
                      <m:t>n</m:t>
                    </m:r>
                  </m:e>
                  <m:sub>
                    <m:r>
                      <m:rPr>
                        <m:nor/>
                        <m:sty m:val="p"/>
                      </m:rPr>
                      <w:rPr>
                        <w:b w:val="0"/>
                        <w:i w:val="0"/>
                      </w:rPr>
                      <m:t>residents </m:t>
                    </m:r>
                  </m:sub>
                </m:sSub>
              </m:oMath>
            </m:oMathPara>
          </w:p>
        </w:tc>
        <w:tc>
          <w:tcPr>
            <w:tcW w:w="5545"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1"/>
                <w:szCs w:val="21"/>
              </w:rPr>
              <w:t>搬迁的居民总数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w:r>
              <w:t>Time Loss Income</w:t>
            </w:r>
          </w:p>
        </w:tc>
        <w:tc>
          <w:tcPr>
            <w:tcW w:w="5545"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1"/>
                <w:szCs w:val="21"/>
              </w:rPr>
              <w:t>因搬迁造成的时间损失的租金收入损失（单位：元）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w:r>
              <w:t>Total Cost</w:t>
            </w:r>
          </w:p>
        </w:tc>
        <w:tc>
          <w:tcPr>
            <w:tcW w:w="5545"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1"/>
                <w:szCs w:val="21"/>
              </w:rPr>
              <w:t>总搬迁成本，包括搬迁补偿，沟通成本和时间损失（单位：元）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w:r>
              <w:t>Net Income</w:t>
            </w:r>
          </w:p>
        </w:tc>
        <w:tc>
          <w:tcPr>
            <w:tcW w:w="5545" w:type="dxa"/>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1"/>
                <w:szCs w:val="21"/>
              </w:rPr>
              <w:t>搬迁后的净收入，扣除时间损失后的总租金收入（单位：元）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80" w:type="dxa"/>
            <w:left w:w="160" w:type="dxa"/>
            <w:bottom w:w="80" w:type="dxa"/>
            <w:right w:w="160" w:type="dxa"/>
          </w:tblCellMar>
        </w:tblPrEx>
        <w:trPr>
          <w:cantSplit/>
          <w:tblCellSpacing w:w="0" w:type="dxa"/>
          <w:jc w:val="center"/>
        </w:trPr>
        <w:tc>
          <w:tcPr>
            <w:tcW w:w="2144"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pPr>
            <w:r>
              <w:t>No Relocation Income</w:t>
            </w:r>
          </w:p>
        </w:tc>
        <w:tc>
          <w:tcPr>
            <w:tcW w:w="5545"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0" w:line="240" w:lineRule="auto"/>
              <w:ind w:firstLine="0" w:firstLineChars="0"/>
              <w:jc w:val="center"/>
              <w:textAlignment w:val="auto"/>
              <w:rPr>
                <w:sz w:val="21"/>
                <w:szCs w:val="21"/>
              </w:rPr>
            </w:pPr>
            <w:r>
              <w:rPr>
                <w:rFonts w:ascii="Georgia" w:hAnsi="Georgia" w:eastAsia="Georgia" w:cs="Georgia"/>
                <w:sz w:val="21"/>
                <w:szCs w:val="21"/>
              </w:rPr>
              <w:t>不搬迁的总收入（单位：元），不搬迁时的租金收入</w:t>
            </w:r>
          </w:p>
        </w:tc>
      </w:tr>
    </w:tbl>
    <w:p>
      <w:pPr>
        <w:pStyle w:val="2"/>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ascii="宋体" w:hAnsi="宋体" w:eastAsia="宋体" w:cs="宋体"/>
          <w:sz w:val="24"/>
          <w:szCs w:val="24"/>
        </w:rPr>
        <w:t>注：这里只列出论文各部分通用符号，个别模型单独使用的符号在首次引用时会进行说明</w:t>
      </w:r>
      <w:r>
        <w:rPr>
          <w:rFonts w:hint="eastAsia" w:ascii="宋体" w:hAnsi="宋体" w:eastAsia="宋体" w:cs="宋体"/>
          <w:sz w:val="24"/>
          <w:szCs w:val="24"/>
          <w:lang w:eastAsia="zh-CN"/>
        </w:rPr>
        <w:t>。）</w:t>
      </w:r>
    </w:p>
    <w:p>
      <w:pPr>
        <w:pageBreakBefore w:val="0"/>
        <w:wordWrap/>
        <w:overflowPunct/>
        <w:topLinePunct w:val="0"/>
        <w:bidi w:val="0"/>
        <w:adjustRightInd/>
        <w:spacing w:beforeAutospacing="0" w:afterAutospacing="0" w:line="240" w:lineRule="auto"/>
        <w:rPr>
          <w:rFonts w:hint="default"/>
          <w:lang w:val="en-US" w:eastAsia="zh-CN"/>
        </w:rPr>
      </w:pPr>
    </w:p>
    <w:p>
      <w:pPr>
        <w:pStyle w:val="3"/>
        <w:pageBreakBefore w:val="0"/>
        <w:numPr>
          <w:ilvl w:val="0"/>
          <w:numId w:val="4"/>
        </w:numPr>
        <w:wordWrap/>
        <w:overflowPunct/>
        <w:topLinePunct w:val="0"/>
        <w:bidi w:val="0"/>
        <w:adjustRightInd/>
        <w:spacing w:before="0" w:beforeLines="0" w:beforeAutospacing="0" w:after="0" w:afterLines="0" w:afterAutospacing="0" w:line="240" w:lineRule="auto"/>
        <w:outlineLvl w:val="1"/>
        <w:rPr>
          <w:rFonts w:hint="default"/>
          <w:lang w:val="en-US" w:eastAsia="zh-CN"/>
        </w:rPr>
      </w:pPr>
      <w:bookmarkStart w:id="94" w:name="_Toc31481"/>
      <w:bookmarkStart w:id="95" w:name="_Toc2139"/>
      <w:bookmarkStart w:id="96" w:name="_Toc11519"/>
      <w:r>
        <w:rPr>
          <w:rFonts w:hint="eastAsia"/>
          <w:lang w:val="en-US" w:eastAsia="zh-CN"/>
        </w:rPr>
        <w:t>模型的建立与求解</w:t>
      </w:r>
      <w:bookmarkEnd w:id="94"/>
      <w:bookmarkEnd w:id="95"/>
      <w:bookmarkEnd w:id="96"/>
    </w:p>
    <w:p>
      <w:pPr>
        <w:pStyle w:val="4"/>
        <w:bidi w:val="0"/>
        <w:outlineLvl w:val="2"/>
        <w:rPr>
          <w:rFonts w:hint="eastAsia"/>
          <w:lang w:val="en-US" w:eastAsia="zh-CN"/>
        </w:rPr>
      </w:pPr>
      <w:bookmarkStart w:id="97" w:name="_Toc11904"/>
      <w:bookmarkStart w:id="98" w:name="_Toc29123"/>
      <w:r>
        <w:rPr>
          <w:rFonts w:hint="eastAsia"/>
          <w:lang w:val="en-US" w:eastAsia="zh-CN"/>
        </w:rPr>
        <w:t>5.1 数据预处理</w:t>
      </w:r>
      <w:bookmarkEnd w:id="97"/>
      <w:bookmarkEnd w:id="98"/>
    </w:p>
    <w:p>
      <w:pPr>
        <w:rPr>
          <w:rFonts w:hint="default"/>
          <w:lang w:val="en-US" w:eastAsia="zh-CN"/>
        </w:rPr>
      </w:pPr>
      <w:r>
        <w:rPr>
          <w:rFonts w:hint="eastAsia"/>
          <w:lang w:val="en-US" w:eastAsia="zh-CN"/>
        </w:rPr>
        <w:t>对于数据预处理，我们首先基于给出附件数据进行必要分描述性分析以便进行后续建模。对于提供图片文件，使用图像处理、光学字符识别（OCR）、用户交互坐标获取和坐标显示。获取各院落之间的相对位置以及距离数据。</w:t>
      </w:r>
    </w:p>
    <w:p>
      <w:pPr>
        <w:pStyle w:val="5"/>
        <w:bidi w:val="0"/>
        <w:rPr>
          <w:rFonts w:hint="eastAsia"/>
          <w:lang w:val="en-US" w:eastAsia="zh-CN"/>
        </w:rPr>
      </w:pPr>
      <w:bookmarkStart w:id="99" w:name="_Toc9618"/>
      <w:r>
        <w:rPr>
          <w:rFonts w:hint="eastAsia"/>
          <w:lang w:val="en-US" w:eastAsia="zh-CN"/>
        </w:rPr>
        <w:t>5.1.1描述性分析</w:t>
      </w:r>
      <w:bookmarkEnd w:id="99"/>
    </w:p>
    <w:p>
      <w:pPr>
        <w:rPr>
          <w:rFonts w:hint="default"/>
          <w:lang w:val="en-US" w:eastAsia="zh-CN"/>
        </w:rPr>
      </w:pPr>
      <w:r>
        <w:rPr>
          <w:rFonts w:hint="eastAsia"/>
          <w:lang w:val="en-US" w:eastAsia="zh-CN"/>
        </w:rPr>
        <w:t>为了更好地进行后续分析，我们基于附件一：老城街区地块信息.xlsx进行必要分析，以便后续研究</w:t>
      </w:r>
    </w:p>
    <w:p>
      <w:pPr>
        <w:bidi w:val="0"/>
      </w:pPr>
      <w:r>
        <w:t xml:space="preserve">地块面积的描述性统计： 均值：52.77066115702479 标准差：42.12565113094228 最小值：7 最大值：237 </w:t>
      </w:r>
    </w:p>
    <w:p>
      <w:pPr>
        <w:bidi w:val="0"/>
        <w:rPr>
          <w:rFonts w:hint="default"/>
          <w:lang w:val="en-US" w:eastAsia="zh-CN"/>
        </w:rPr>
      </w:pPr>
      <w:r>
        <w:t>院落面积的描述性统计： 均值：599.448347107438 标准差：655.5250636914633 最小值：42 最大值：3417</w:t>
      </w:r>
    </w:p>
    <w:p>
      <w:pPr>
        <w:bidi w:val="0"/>
        <w:rPr>
          <w:rFonts w:hint="default"/>
          <w:highlight w:val="green"/>
          <w:lang w:val="en-US" w:eastAsia="zh-CN"/>
        </w:rPr>
      </w:pPr>
      <w:r>
        <w:rPr>
          <w:rFonts w:hint="default"/>
          <w:highlight w:val="green"/>
          <w:lang w:val="en-US" w:eastAsia="zh-CN"/>
        </w:rPr>
        <w:t>对于地块面积，其均值为52.77，说明大部分地块的面积集中在这个数值附近。标准差为42.13，这意味着地块面积的分布比较广泛，存在较大的差异。最小值为7，说明有些地块非常小，面积仅为7单位，而最大值为237，说明也存在一些相对较大的地块。由此可见，地块面积的分布并非均匀，可能存在一些非常小的地块和一些较大的地块。</w:t>
      </w:r>
    </w:p>
    <w:p>
      <w:pPr>
        <w:bidi w:val="0"/>
        <w:rPr>
          <w:rFonts w:hint="default"/>
          <w:highlight w:val="green"/>
          <w:lang w:val="en-US" w:eastAsia="zh-CN"/>
        </w:rPr>
      </w:pPr>
      <w:r>
        <w:rPr>
          <w:rFonts w:hint="default"/>
          <w:highlight w:val="green"/>
          <w:lang w:val="en-US" w:eastAsia="zh-CN"/>
        </w:rPr>
        <w:t>对于院落面积，均值为599.45，这表明大部分院落的面积集中在这个数值附近，类似于地块面积的均值。标准差为655.53，远大于均值，表明院落面积的分布非常广泛，存在较大的差异，部分院落可能非常大，而另一些则较小。最小值为42，最大值为3417，说明院落面积的差异较为显著，最大的院落面积远高于最小的院落面积，表明院落的规模差距很大。</w:t>
      </w:r>
    </w:p>
    <w:p>
      <w:pPr>
        <w:bidi w:val="0"/>
        <w:rPr>
          <w:rFonts w:hint="default"/>
          <w:highlight w:val="green"/>
          <w:lang w:val="en-US" w:eastAsia="zh-CN"/>
        </w:rPr>
      </w:pPr>
      <w:r>
        <w:rPr>
          <w:rFonts w:hint="default"/>
          <w:highlight w:val="green"/>
          <w:lang w:val="en-US" w:eastAsia="zh-CN"/>
        </w:rPr>
        <w:t>从整体来看，地块面积和院落面积都有较大的标准差，这意味着在这两个数据集中，面积的变化范围较广，呈现出高差异化的特征。尽管均值提供了一个大致的面积范围，但标准差提示了数据的多样性和不均匀性。因此，在进行城市规划、搬迁决策或开发利用时，需要考虑到地块和院落面积之间的巨大差异，以及如何合理规划这些不同规模的空间，以便最大限度地提高开发利用效率并满足居民的需求。</w:t>
      </w:r>
    </w:p>
    <w:p>
      <w:pPr>
        <w:rPr>
          <w:rFonts w:hint="eastAsia"/>
          <w:lang w:val="en-US" w:eastAsia="zh-CN"/>
        </w:rPr>
      </w:pPr>
      <w:r>
        <w:drawing>
          <wp:inline distT="0" distB="0" distL="114300" distR="114300">
            <wp:extent cx="4274820" cy="172212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0"/>
                    <a:stretch>
                      <a:fillRect/>
                    </a:stretch>
                  </pic:blipFill>
                  <pic:spPr>
                    <a:xfrm>
                      <a:off x="0" y="0"/>
                      <a:ext cx="4274820" cy="1722120"/>
                    </a:xfrm>
                    <a:prstGeom prst="rect">
                      <a:avLst/>
                    </a:prstGeom>
                    <a:noFill/>
                    <a:ln>
                      <a:noFill/>
                    </a:ln>
                  </pic:spPr>
                </pic:pic>
              </a:graphicData>
            </a:graphic>
          </wp:inline>
        </w:drawing>
      </w:r>
    </w:p>
    <w:p>
      <w:pPr>
        <w:bidi w:val="0"/>
        <w:jc w:val="center"/>
        <w:rPr>
          <w:rFonts w:hint="eastAsia"/>
          <w:highlight w:val="green"/>
          <w:lang w:val="en-US" w:eastAsia="zh-CN"/>
        </w:rPr>
      </w:pPr>
      <w:r>
        <w:drawing>
          <wp:inline distT="0" distB="0" distL="114300" distR="114300">
            <wp:extent cx="4114800" cy="1478280"/>
            <wp:effectExtent l="0" t="0" r="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1"/>
                    <a:stretch>
                      <a:fillRect/>
                    </a:stretch>
                  </pic:blipFill>
                  <pic:spPr>
                    <a:xfrm>
                      <a:off x="0" y="0"/>
                      <a:ext cx="4114800" cy="1478280"/>
                    </a:xfrm>
                    <a:prstGeom prst="rect">
                      <a:avLst/>
                    </a:prstGeom>
                    <a:noFill/>
                    <a:ln>
                      <a:noFill/>
                    </a:ln>
                  </pic:spPr>
                </pic:pic>
              </a:graphicData>
            </a:graphic>
          </wp:inline>
        </w:drawing>
      </w:r>
    </w:p>
    <w:p>
      <w:pPr>
        <w:bidi w:val="0"/>
        <w:rPr>
          <w:rFonts w:hint="eastAsia"/>
          <w:highlight w:val="green"/>
          <w:lang w:val="en-US" w:eastAsia="zh-CN"/>
        </w:rPr>
      </w:pPr>
      <w:r>
        <w:rPr>
          <w:rFonts w:hint="eastAsia"/>
          <w:highlight w:val="green"/>
          <w:lang w:val="en-US" w:eastAsia="zh-CN"/>
        </w:rPr>
        <w:t>第一幅可视化（成对的直方图）比较了两个变量的分布，可能代表了数据中的不同类别或组别。左边的直方图似乎显示了较小值的高度集中，且在较低的数值区间有一个明显的峰值，随着数值增大，尾部逐渐延伸。右边的直方图则更关注不同的范围，较低的数值观察较少，而数据在较高值范围内分布较均匀。</w:t>
      </w:r>
    </w:p>
    <w:p>
      <w:pPr>
        <w:bidi w:val="0"/>
        <w:rPr>
          <w:rFonts w:hint="eastAsia"/>
          <w:highlight w:val="green"/>
          <w:lang w:val="en-US" w:eastAsia="zh-CN"/>
        </w:rPr>
      </w:pPr>
      <w:r>
        <w:rPr>
          <w:rFonts w:hint="eastAsia"/>
          <w:highlight w:val="green"/>
          <w:lang w:val="en-US" w:eastAsia="zh-CN"/>
        </w:rPr>
        <w:t>第二幅可视化是一个饼图，展示了两个类别的比例：一个标记为“已有户”（已占用），另一个为“无户”（未占用）。图表清晰地显示，大多数（75.7%）是未占用的，而仅有23.3%的单位或空间是已占用的。这表明数据集中存在大量未被占用的单位或空间</w:t>
      </w:r>
    </w:p>
    <w:p>
      <w:pPr>
        <w:pStyle w:val="2"/>
        <w:rPr>
          <w:rFonts w:hint="eastAsia"/>
          <w:lang w:val="en-US" w:eastAsia="zh-CN"/>
        </w:rPr>
      </w:pPr>
      <w:r>
        <w:drawing>
          <wp:inline distT="0" distB="0" distL="114300" distR="114300">
            <wp:extent cx="4114800" cy="3322320"/>
            <wp:effectExtent l="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2"/>
                    <a:stretch>
                      <a:fillRect/>
                    </a:stretch>
                  </pic:blipFill>
                  <pic:spPr>
                    <a:xfrm>
                      <a:off x="0" y="0"/>
                      <a:ext cx="4114800" cy="3322320"/>
                    </a:xfrm>
                    <a:prstGeom prst="rect">
                      <a:avLst/>
                    </a:prstGeom>
                    <a:noFill/>
                    <a:ln>
                      <a:noFill/>
                    </a:ln>
                  </pic:spPr>
                </pic:pic>
              </a:graphicData>
            </a:graphic>
          </wp:inline>
        </w:drawing>
      </w:r>
    </w:p>
    <w:p>
      <w:pPr>
        <w:bidi w:val="0"/>
        <w:rPr>
          <w:rFonts w:hint="eastAsia"/>
          <w:highlight w:val="green"/>
          <w:lang w:val="en-US" w:eastAsia="zh-CN"/>
        </w:rPr>
      </w:pPr>
      <w:r>
        <w:rPr>
          <w:rFonts w:hint="eastAsia"/>
          <w:highlight w:val="green"/>
          <w:lang w:val="en-US" w:eastAsia="zh-CN"/>
        </w:rPr>
        <w:t>根据提供的可视化结果，第一张图是一个散点图，展示了居民地块ID与某种量度（如建筑面积或租金等）之间的关系。散点图中的点分布较为分散，但在某些地块ID上，数据点呈现出明显的集中趋势</w:t>
      </w:r>
    </w:p>
    <w:p>
      <w:pPr>
        <w:bidi w:val="0"/>
        <w:rPr>
          <w:rFonts w:hint="eastAsia"/>
          <w:highlight w:val="green"/>
          <w:lang w:val="en-US" w:eastAsia="zh-CN"/>
        </w:rPr>
      </w:pPr>
      <w:r>
        <w:rPr>
          <w:rFonts w:hint="eastAsia"/>
          <w:highlight w:val="green"/>
          <w:lang w:val="en-US" w:eastAsia="zh-CN"/>
        </w:rPr>
        <w:t>第二张图是一个条形图，显示了不同方向的居民地块数量。通过条形的高度，可以清晰地看出南方向的居民地块数量最高，其他方向（东、北、西）则相对较为平衡。</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p>
        </w:tc>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r>
              <w:rPr>
                <w:rFonts w:hint="eastAsia"/>
                <w:vertAlign w:val="baseline"/>
                <w:lang w:val="en-US" w:eastAsia="zh-CN"/>
              </w:rPr>
              <w:t>该图为python绘制 与右图二选一即可</w:t>
            </w:r>
          </w:p>
        </w:tc>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r>
              <w:rPr>
                <w:rFonts w:hint="eastAsia"/>
                <w:vertAlign w:val="baseline"/>
                <w:lang w:val="en-US" w:eastAsia="zh-CN"/>
              </w:rPr>
              <w:t>该图为 matlab绘制 与左图二选一即可</w:t>
            </w:r>
          </w:p>
        </w:tc>
      </w:tr>
    </w:tbl>
    <w:p>
      <w:pPr>
        <w:pStyle w:val="2"/>
        <w:rPr>
          <w:rFonts w:hint="eastAsia"/>
          <w:lang w:val="en-US" w:eastAsia="zh-CN"/>
        </w:rPr>
      </w:pPr>
    </w:p>
    <w:p>
      <w:pPr>
        <w:rPr>
          <w:rFonts w:hint="eastAsia"/>
          <w:lang w:val="en-US" w:eastAsia="zh-CN"/>
        </w:rPr>
      </w:pPr>
    </w:p>
    <w:p>
      <w:pPr>
        <w:pStyle w:val="5"/>
        <w:bidi w:val="0"/>
        <w:rPr>
          <w:rFonts w:hint="eastAsia"/>
          <w:lang w:val="en-US" w:eastAsia="zh-CN"/>
        </w:rPr>
      </w:pPr>
      <w:bookmarkStart w:id="100" w:name="_Toc5568"/>
      <w:r>
        <w:rPr>
          <w:rFonts w:hint="eastAsia"/>
          <w:lang w:val="en-US" w:eastAsia="zh-CN"/>
        </w:rPr>
        <w:t>5.1.2 基于图形的信息爬取</w:t>
      </w:r>
      <w:bookmarkEnd w:id="100"/>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为了获取各点之间的距离关系，我们使用图像处理、光学字符识别（OCR）、用户交互坐标获取和坐标显示。具体而言</w:t>
      </w:r>
    </w:p>
    <w:p>
      <w:pPr>
        <w:keepNext w:val="0"/>
        <w:keepLines w:val="0"/>
        <w:pageBreakBefore w:val="0"/>
        <w:widowControl w:val="0"/>
        <w:kinsoku/>
        <w:wordWrap/>
        <w:overflowPunct/>
        <w:topLinePunct w:val="0"/>
        <w:autoSpaceDE/>
        <w:autoSpaceDN/>
        <w:bidi w:val="0"/>
        <w:adjustRightInd/>
        <w:snapToGrid/>
        <w:textAlignment w:val="auto"/>
      </w:pPr>
      <w:r>
        <w:rPr>
          <w:rFonts w:ascii="Georgia" w:hAnsi="Georgia" w:eastAsia="Georgia" w:cs="Georgia"/>
        </w:rPr>
        <w:t xml:space="preserve">首先，图像的二值化处理是通过对灰度图像中的每个像素值与设定的阈值进行比较来完成的。假设图像的像素值 </w:t>
      </w:r>
      <m:oMath>
        <m:r>
          <m:rPr/>
          <m:t>p</m:t>
        </m:r>
      </m:oMath>
      <w:r>
        <w:rPr>
          <w:rFonts w:ascii="Georgia" w:hAnsi="Georgia" w:eastAsia="Georgia" w:cs="Georgia"/>
        </w:rPr>
        <w:t xml:space="preserve"> 处于 </w:t>
      </w:r>
      <m:oMath>
        <m:r>
          <m:rPr>
            <m:sty m:val="p"/>
          </m:rPr>
          <m:t>[0,255]</m:t>
        </m:r>
      </m:oMath>
      <w:r>
        <w:rPr>
          <w:rFonts w:ascii="Georgia" w:hAnsi="Georgia" w:eastAsia="Georgia" w:cs="Georgia"/>
        </w:rPr>
        <w:t xml:space="preserve"> 范围内，二值化的过程可以用如下公式表示：</w:t>
      </w:r>
    </w:p>
    <w:p>
      <w:pPr>
        <w:keepNext w:val="0"/>
        <w:keepLines w:val="0"/>
        <w:pageBreakBefore w:val="0"/>
        <w:widowControl w:val="0"/>
        <w:kinsoku/>
        <w:wordWrap/>
        <w:overflowPunct/>
        <w:topLinePunct w:val="0"/>
        <w:autoSpaceDE/>
        <w:autoSpaceDN/>
        <w:bidi w:val="0"/>
        <w:adjustRightInd/>
        <w:snapToGrid/>
        <w:textAlignment w:val="auto"/>
      </w:pPr>
      <m:oMathPara>
        <m:oMath>
          <m:sSub>
            <m:sSubPr/>
            <m:e>
              <m:r>
                <m:rPr/>
                <m:t>p</m:t>
              </m:r>
            </m:e>
            <m:sub>
              <m:r>
                <m:rPr>
                  <m:nor/>
                  <m:sty m:val="p"/>
                </m:rPr>
                <w:rPr>
                  <w:b w:val="0"/>
                  <w:i w:val="0"/>
                </w:rPr>
                <m:t>binary </m:t>
              </m:r>
            </m:sub>
          </m:sSub>
          <m:r>
            <m:rPr>
              <m:sty m:val="p"/>
            </m:rPr>
            <m:t>=</m:t>
          </m:r>
          <m:d>
            <m:dPr>
              <m:begChr m:val="{"/>
              <m:endChr m:val=""/>
              <m:ctrlPr>
                <w:rPr>
                  <w:rFonts w:ascii="Cambria Math" w:hAnsi="Cambria Math"/>
                </w:rPr>
              </m:ctrlPr>
            </m:dPr>
            <m:e>
              <m:m>
                <m:mPr>
                  <m:mcs>
                    <m:mc>
                      <m:mcPr>
                        <m:count m:val="2"/>
                        <m:mcJc m:val="left"/>
                      </m:mcPr>
                    </m:mc>
                  </m:mcs>
                  <m:plcHide m:val="1"/>
                  <m:ctrlPr>
                    <w:rPr>
                      <w:rFonts w:ascii="Cambria Math" w:hAnsi="Cambria Math"/>
                      <w:i/>
                    </w:rPr>
                  </m:ctrlPr>
                </m:mPr>
                <m:mr>
                  <m:e>
                    <m:r>
                      <m:rPr>
                        <m:sty m:val="p"/>
                      </m:rPr>
                      <m:t>1,</m:t>
                    </m:r>
                    <m:ctrlPr>
                      <w:rPr>
                        <w:rFonts w:ascii="Cambria Math" w:hAnsi="Cambria Math"/>
                        <w:i/>
                      </w:rPr>
                    </m:ctrlPr>
                  </m:e>
                  <m:e>
                    <m:r>
                      <m:rPr>
                        <m:nor/>
                        <m:sty m:val="p"/>
                      </m:rPr>
                      <w:rPr>
                        <w:b w:val="0"/>
                        <w:i w:val="0"/>
                      </w:rPr>
                      <m:t> if </m:t>
                    </m:r>
                    <m:r>
                      <m:rPr/>
                      <m:t>p</m:t>
                    </m:r>
                    <m:r>
                      <m:rPr>
                        <m:sty m:val="p"/>
                      </m:rPr>
                      <m:t>≥ threshold </m:t>
                    </m:r>
                    <m:ctrlPr>
                      <w:rPr>
                        <w:rFonts w:ascii="Cambria Math" w:hAnsi="Cambria Math"/>
                        <w:i/>
                      </w:rPr>
                    </m:ctrlPr>
                  </m:e>
                </m:mr>
                <m:mr>
                  <m:e>
                    <m:r>
                      <m:rPr>
                        <m:sty m:val="p"/>
                      </m:rPr>
                      <m:t>0,</m:t>
                    </m:r>
                    <m:ctrlPr>
                      <w:rPr>
                        <w:rFonts w:ascii="Cambria Math" w:hAnsi="Cambria Math"/>
                        <w:i/>
                      </w:rPr>
                    </m:ctrlPr>
                  </m:e>
                  <m:e>
                    <m:r>
                      <m:rPr>
                        <m:nor/>
                        <m:sty m:val="p"/>
                      </m:rPr>
                      <w:rPr>
                        <w:b w:val="0"/>
                        <w:i w:val="0"/>
                      </w:rPr>
                      <m:t> if </m:t>
                    </m:r>
                    <m:r>
                      <m:rPr/>
                      <m:t>p</m:t>
                    </m:r>
                    <m:r>
                      <m:rPr>
                        <m:sty m:val="p"/>
                      </m:rPr>
                      <m:t>&lt; threshold </m:t>
                    </m:r>
                    <m:ctrlPr>
                      <w:rPr>
                        <w:rFonts w:ascii="Cambria Math" w:hAnsi="Cambria Math"/>
                        <w:i/>
                      </w:rPr>
                    </m:ctrlPr>
                  </m:e>
                </m:mr>
              </m:m>
              <m:ctrlPr>
                <w:rPr>
                  <w:rFonts w:ascii="Cambria Math" w:hAnsi="Cambria Math"/>
                </w:rPr>
              </m:ctrlPr>
            </m:e>
          </m:d>
        </m:oMath>
      </m:oMathPara>
    </w:p>
    <w:p>
      <w:pPr>
        <w:keepNext w:val="0"/>
        <w:keepLines w:val="0"/>
        <w:pageBreakBefore w:val="0"/>
        <w:widowControl w:val="0"/>
        <w:kinsoku/>
        <w:wordWrap/>
        <w:overflowPunct/>
        <w:topLinePunct w:val="0"/>
        <w:autoSpaceDE/>
        <w:autoSpaceDN/>
        <w:bidi w:val="0"/>
        <w:adjustRightInd/>
        <w:snapToGrid/>
        <w:textAlignment w:val="auto"/>
      </w:pPr>
      <w:r>
        <w:rPr>
          <w:rFonts w:ascii="Georgia" w:hAnsi="Georgia" w:eastAsia="Georgia" w:cs="Georgia"/>
        </w:rPr>
        <w:t>其中，threshold 是选定的阈值，当像素值大于或等于阈值时，设置为前景</w:t>
      </w:r>
      <w:r>
        <w:br w:type="textWrapping"/>
      </w:r>
      <w:r>
        <w:rPr>
          <w:rFonts w:ascii="Georgia" w:hAnsi="Georgia" w:eastAsia="Georgia" w:cs="Georgia"/>
        </w:rPr>
        <w:t>（1），否则设置为背景（0）。该步骤将图像转换为黑白两种颜色的形式，简化图像信息，以便后续进行OCR处理。</w:t>
      </w:r>
    </w:p>
    <w:p>
      <w:pPr>
        <w:keepNext w:val="0"/>
        <w:keepLines w:val="0"/>
        <w:pageBreakBefore w:val="0"/>
        <w:widowControl w:val="0"/>
        <w:kinsoku/>
        <w:wordWrap/>
        <w:overflowPunct/>
        <w:topLinePunct w:val="0"/>
        <w:autoSpaceDE/>
        <w:autoSpaceDN/>
        <w:bidi w:val="0"/>
        <w:adjustRightInd/>
        <w:snapToGrid/>
        <w:textAlignment w:val="auto"/>
      </w:pPr>
      <w:r>
        <w:rPr>
          <w:rFonts w:ascii="Georgia" w:hAnsi="Georgia" w:eastAsia="Georgia" w:cs="Georgia"/>
        </w:rPr>
        <w:t xml:space="preserve">在对图像进行二值化处理后，我们可以使用OCR技术从中提取文本或数字。假设图像已转换为二值图像 </w:t>
      </w:r>
      <m:oMath>
        <m:sSub>
          <m:sSubPr/>
          <m:e>
            <m:r>
              <m:rPr/>
              <m:t>I</m:t>
            </m:r>
          </m:e>
          <m:sub>
            <m:r>
              <m:rPr>
                <m:nor/>
                <m:sty m:val="p"/>
              </m:rPr>
              <w:rPr>
                <w:b w:val="0"/>
                <w:i w:val="0"/>
              </w:rPr>
              <m:t>binary </m:t>
            </m:r>
          </m:sub>
        </m:sSub>
      </m:oMath>
      <w:r>
        <w:rPr>
          <w:rFonts w:ascii="Georgia" w:hAnsi="Georgia" w:eastAsia="Georgia" w:cs="Georgia"/>
        </w:rPr>
        <w:t xml:space="preserve"> ，OCR处理的目标是将图像中的文字转换为可读文本。OCR的输出文本可以表示为：</w:t>
      </w:r>
    </w:p>
    <w:p>
      <w:pPr>
        <w:keepNext w:val="0"/>
        <w:keepLines w:val="0"/>
        <w:pageBreakBefore w:val="0"/>
        <w:widowControl w:val="0"/>
        <w:kinsoku/>
        <w:wordWrap/>
        <w:overflowPunct/>
        <w:topLinePunct w:val="0"/>
        <w:autoSpaceDE/>
        <w:autoSpaceDN/>
        <w:bidi w:val="0"/>
        <w:adjustRightInd/>
        <w:snapToGrid/>
        <w:textAlignment w:val="auto"/>
      </w:pPr>
      <m:oMathPara>
        <m:oMath>
          <m:sSub>
            <m:sSubPr/>
            <m:e>
              <m:r>
                <m:rPr/>
                <m:t>T</m:t>
              </m:r>
            </m:e>
            <m:sub>
              <m:r>
                <m:rPr>
                  <m:sty m:val="p"/>
                </m:rPr>
                <m:t>OCR</m:t>
              </m:r>
            </m:sub>
          </m:sSub>
          <m:r>
            <m:rPr>
              <m:sty m:val="p"/>
            </m:rPr>
            <m:t>=</m:t>
          </m:r>
          <m:r>
            <m:rPr/>
            <m:t>f</m:t>
          </m:r>
          <m:d>
            <m:dPr>
              <m:ctrlPr>
                <w:rPr>
                  <w:rFonts w:ascii="Cambria Math" w:hAnsi="Cambria Math"/>
                </w:rPr>
              </m:ctrlPr>
            </m:dPr>
            <m:e>
              <m:sSub>
                <m:sSubPr/>
                <m:e>
                  <m:r>
                    <m:rPr/>
                    <m:t>I</m:t>
                  </m:r>
                </m:e>
                <m:sub>
                  <m:r>
                    <m:rPr>
                      <m:nor/>
                      <m:sty m:val="p"/>
                    </m:rPr>
                    <w:rPr>
                      <w:b w:val="0"/>
                      <w:i w:val="0"/>
                    </w:rPr>
                    <m:t>binary </m:t>
                  </m:r>
                </m:sub>
              </m:sSub>
              <m:ctrlPr>
                <w:rPr>
                  <w:rFonts w:ascii="Cambria Math" w:hAnsi="Cambria Math"/>
                </w:rPr>
              </m:ctrlPr>
            </m:e>
          </m:d>
        </m:oMath>
      </m:oMathPara>
    </w:p>
    <w:p>
      <w:pPr>
        <w:keepNext w:val="0"/>
        <w:keepLines w:val="0"/>
        <w:pageBreakBefore w:val="0"/>
        <w:widowControl w:val="0"/>
        <w:kinsoku/>
        <w:wordWrap/>
        <w:overflowPunct/>
        <w:topLinePunct w:val="0"/>
        <w:autoSpaceDE/>
        <w:autoSpaceDN/>
        <w:bidi w:val="0"/>
        <w:adjustRightInd/>
        <w:snapToGrid/>
        <w:textAlignment w:val="auto"/>
      </w:pPr>
      <w:r>
        <w:rPr>
          <w:rFonts w:ascii="Georgia" w:hAnsi="Georgia" w:eastAsia="Georgia" w:cs="Georgia"/>
        </w:rPr>
        <w:t>其中，</w:t>
      </w:r>
      <m:oMath>
        <m:r>
          <m:rPr/>
          <m:t>f</m:t>
        </m:r>
      </m:oMath>
      <w:r>
        <w:rPr>
          <w:rFonts w:ascii="Georgia" w:hAnsi="Georgia" w:eastAsia="Georgia" w:cs="Georgia"/>
        </w:rPr>
        <w:t xml:space="preserve"> 是OCR函数，它将二值图像 </w:t>
      </w:r>
      <m:oMath>
        <m:sSub>
          <m:sSubPr/>
          <m:e>
            <m:r>
              <m:rPr/>
              <m:t>I</m:t>
            </m:r>
          </m:e>
          <m:sub>
            <m:r>
              <m:rPr>
                <m:nor/>
                <m:sty m:val="p"/>
              </m:rPr>
              <w:rPr>
                <w:b w:val="0"/>
                <w:i w:val="0"/>
              </w:rPr>
              <m:t>binary </m:t>
            </m:r>
          </m:sub>
        </m:sSub>
      </m:oMath>
      <w:r>
        <w:rPr>
          <w:rFonts w:ascii="Georgia" w:hAnsi="Georgia" w:eastAsia="Georgia" w:cs="Georgia"/>
        </w:rPr>
        <w:t xml:space="preserve"> 转换为识别出的文本内容 </w:t>
      </w:r>
      <m:oMath>
        <m:sSub>
          <m:sSubPr/>
          <m:e>
            <m:r>
              <m:rPr/>
              <m:t>T</m:t>
            </m:r>
          </m:e>
          <m:sub>
            <m:r>
              <m:rPr>
                <m:sty m:val="p"/>
              </m:rPr>
              <m:t>OCR</m:t>
            </m:r>
          </m:sub>
        </m:sSub>
      </m:oMath>
      <w:r>
        <w:rPr>
          <w:rFonts w:ascii="Georgia" w:hAnsi="Georgia" w:eastAsia="Georgia" w:cs="Georgia"/>
        </w:rPr>
        <w:t xml:space="preserve"> 。</w:t>
      </w:r>
      <w:r>
        <w:br w:type="textWrapping"/>
      </w:r>
      <w:r>
        <w:rPr>
          <w:rFonts w:hint="eastAsia"/>
          <w:lang w:val="en-US" w:eastAsia="zh-CN"/>
        </w:rPr>
        <w:t xml:space="preserve">  </w:t>
      </w:r>
      <w:r>
        <w:rPr>
          <w:rFonts w:ascii="Georgia" w:hAnsi="Georgia" w:eastAsia="Georgia" w:cs="Georgia"/>
        </w:rPr>
        <w:t>用户在图像中通过点击选择</w:t>
      </w:r>
      <w:r>
        <w:rPr>
          <w:rFonts w:hint="eastAsia" w:ascii="Georgia" w:hAnsi="Georgia" w:eastAsia="宋体" w:cs="Georgia"/>
          <w:lang w:val="en-US" w:eastAsia="zh-CN"/>
        </w:rPr>
        <w:t>特定</w:t>
      </w:r>
      <w:r>
        <w:rPr>
          <w:rFonts w:ascii="Georgia" w:hAnsi="Georgia" w:eastAsia="Georgia" w:cs="Georgia"/>
        </w:rPr>
        <w:t xml:space="preserve">区域，程序通过 ginput 函数获取这些点击的坐标位置。每次点击时，用户的点击位置将被记录为坐标对 </w:t>
      </w:r>
      <m:oMath>
        <m:d>
          <m:dPr>
            <m:ctrlPr>
              <w:rPr>
                <w:rFonts w:ascii="Cambria Math" w:hAnsi="Cambria Math"/>
              </w:rPr>
            </m:ctrlPr>
          </m:dPr>
          <m:e>
            <m:sSub>
              <m:sSubPr/>
              <m:e>
                <m:r>
                  <m:rPr/>
                  <m:t>x</m:t>
                </m:r>
              </m:e>
              <m:sub>
                <m:r>
                  <m:rPr/>
                  <m:t>i</m:t>
                </m:r>
              </m:sub>
            </m:sSub>
            <m:r>
              <m:rPr>
                <m:sty m:val="p"/>
              </m:rPr>
              <m:t>,</m:t>
            </m:r>
            <m:sSub>
              <m:sSubPr/>
              <m:e>
                <m:r>
                  <m:rPr/>
                  <m:t>y</m:t>
                </m:r>
              </m:e>
              <m:sub>
                <m:r>
                  <m:rPr/>
                  <m:t>i</m:t>
                </m:r>
              </m:sub>
            </m:sSub>
            <m:ctrlPr>
              <w:rPr>
                <w:rFonts w:ascii="Cambria Math" w:hAnsi="Cambria Math"/>
              </w:rPr>
            </m:ctrlPr>
          </m:e>
        </m:d>
      </m:oMath>
      <w:r>
        <w:rPr>
          <w:rFonts w:ascii="Georgia" w:hAnsi="Georgia" w:eastAsia="Georgia" w:cs="Georgia"/>
        </w:rPr>
        <w:t xml:space="preserve"> ，其中 </w:t>
      </w:r>
      <m:oMath>
        <m:sSub>
          <m:sSubPr/>
          <m:e>
            <m:r>
              <m:rPr/>
              <m:t>x</m:t>
            </m:r>
          </m:e>
          <m:sub>
            <m:r>
              <m:rPr/>
              <m:t>i</m:t>
            </m:r>
          </m:sub>
        </m:sSub>
      </m:oMath>
      <w:r>
        <w:rPr>
          <w:rFonts w:ascii="Georgia" w:hAnsi="Georgia" w:eastAsia="Georgia" w:cs="Georgia"/>
        </w:rPr>
        <w:t xml:space="preserve">和 </w:t>
      </w:r>
      <m:oMath>
        <m:sSub>
          <m:sSubPr/>
          <m:e>
            <m:r>
              <m:rPr/>
              <m:t>y</m:t>
            </m:r>
          </m:e>
          <m:sub>
            <m:r>
              <m:rPr/>
              <m:t>i</m:t>
            </m:r>
          </m:sub>
        </m:sSub>
      </m:oMath>
      <w:r>
        <w:rPr>
          <w:rFonts w:ascii="Georgia" w:hAnsi="Georgia" w:eastAsia="Georgia" w:cs="Georgia"/>
        </w:rPr>
        <w:t xml:space="preserve"> 分别表示第 </w:t>
      </w:r>
      <m:oMath>
        <m:r>
          <m:rPr/>
          <m:t>i</m:t>
        </m:r>
      </m:oMath>
      <w:r>
        <w:rPr>
          <w:rFonts w:ascii="Georgia" w:hAnsi="Georgia" w:eastAsia="Georgia" w:cs="Georgia"/>
        </w:rPr>
        <w:t xml:space="preserve"> 次点击的横纵坐标。假设用户点击了 </w:t>
      </w:r>
      <m:oMath>
        <m:r>
          <m:rPr/>
          <m:t>n</m:t>
        </m:r>
      </m:oMath>
      <w:r>
        <w:rPr>
          <w:rFonts w:ascii="Georgia" w:hAnsi="Georgia" w:eastAsia="Georgia" w:cs="Georgia"/>
        </w:rPr>
        <w:t xml:space="preserve"> 次，所有坐标点可以表示为：</w:t>
      </w:r>
    </w:p>
    <w:p>
      <w:pPr>
        <w:keepNext w:val="0"/>
        <w:keepLines w:val="0"/>
        <w:pageBreakBefore w:val="0"/>
        <w:widowControl w:val="0"/>
        <w:kinsoku/>
        <w:wordWrap/>
        <w:overflowPunct/>
        <w:topLinePunct w:val="0"/>
        <w:autoSpaceDE/>
        <w:autoSpaceDN/>
        <w:bidi w:val="0"/>
        <w:adjustRightInd/>
        <w:snapToGrid/>
        <w:textAlignment w:val="auto"/>
      </w:pPr>
      <m:oMathPara>
        <m:oMath>
          <m:d>
            <m:dPr>
              <m:begChr m:val="{"/>
              <m:endChr m:val="}"/>
              <m:ctrlPr>
                <w:rPr>
                  <w:rFonts w:ascii="Cambria Math" w:hAnsi="Cambria Math"/>
                </w:rPr>
              </m:ctrlPr>
            </m:dPr>
            <m:e>
              <m:d>
                <m:dPr>
                  <m:ctrlPr>
                    <w:rPr>
                      <w:rFonts w:ascii="Cambria Math" w:hAnsi="Cambria Math"/>
                    </w:rPr>
                  </m:ctrlPr>
                </m:dPr>
                <m:e>
                  <m:sSub>
                    <m:sSubPr/>
                    <m:e>
                      <m:r>
                        <m:rPr/>
                        <m:t>x</m:t>
                      </m:r>
                    </m:e>
                    <m:sub>
                      <m:r>
                        <m:rPr>
                          <m:sty m:val="p"/>
                        </m:rPr>
                        <m:t>1</m:t>
                      </m:r>
                    </m:sub>
                  </m:sSub>
                  <m:r>
                    <m:rPr>
                      <m:sty m:val="p"/>
                    </m:rPr>
                    <m:t>,</m:t>
                  </m:r>
                  <m:sSub>
                    <m:sSubPr/>
                    <m:e>
                      <m:r>
                        <m:rPr/>
                        <m:t>y</m:t>
                      </m:r>
                    </m:e>
                    <m:sub>
                      <m:r>
                        <m:rPr>
                          <m:sty m:val="p"/>
                        </m:rPr>
                        <m:t>1</m:t>
                      </m:r>
                    </m:sub>
                  </m:sSub>
                  <m:ctrlPr>
                    <w:rPr>
                      <w:rFonts w:ascii="Cambria Math" w:hAnsi="Cambria Math"/>
                    </w:rPr>
                  </m:ctrlPr>
                </m:e>
              </m:d>
              <m:r>
                <m:rPr>
                  <m:sty m:val="p"/>
                </m:rPr>
                <m:t>,</m:t>
              </m:r>
              <m:d>
                <m:dPr>
                  <m:ctrlPr>
                    <w:rPr>
                      <w:rFonts w:ascii="Cambria Math" w:hAnsi="Cambria Math"/>
                    </w:rPr>
                  </m:ctrlPr>
                </m:dPr>
                <m:e>
                  <m:sSub>
                    <m:sSubPr/>
                    <m:e>
                      <m:r>
                        <m:rPr/>
                        <m:t>x</m:t>
                      </m:r>
                    </m:e>
                    <m:sub>
                      <m:r>
                        <m:rPr>
                          <m:sty m:val="p"/>
                        </m:rPr>
                        <m:t>2</m:t>
                      </m:r>
                    </m:sub>
                  </m:sSub>
                  <m:r>
                    <m:rPr>
                      <m:sty m:val="p"/>
                    </m:rPr>
                    <m:t>,</m:t>
                  </m:r>
                  <m:sSub>
                    <m:sSubPr/>
                    <m:e>
                      <m:r>
                        <m:rPr/>
                        <m:t>y</m:t>
                      </m:r>
                    </m:e>
                    <m:sub>
                      <m:r>
                        <m:rPr>
                          <m:sty m:val="p"/>
                        </m:rPr>
                        <m:t>2</m:t>
                      </m:r>
                    </m:sub>
                  </m:sSub>
                  <m:ctrlPr>
                    <w:rPr>
                      <w:rFonts w:ascii="Cambria Math" w:hAnsi="Cambria Math"/>
                    </w:rPr>
                  </m:ctrlPr>
                </m:e>
              </m:d>
              <m:r>
                <m:rPr>
                  <m:sty m:val="p"/>
                </m:rPr>
                <m:t>,…,</m:t>
              </m:r>
              <m:d>
                <m:dPr>
                  <m:ctrlPr>
                    <w:rPr>
                      <w:rFonts w:ascii="Cambria Math" w:hAnsi="Cambria Math"/>
                    </w:rPr>
                  </m:ctrlPr>
                </m:dPr>
                <m:e>
                  <m:sSub>
                    <m:sSubPr/>
                    <m:e>
                      <m:r>
                        <m:rPr/>
                        <m:t>x</m:t>
                      </m:r>
                    </m:e>
                    <m:sub>
                      <m:r>
                        <m:rPr/>
                        <m:t>n</m:t>
                      </m:r>
                    </m:sub>
                  </m:sSub>
                  <m:r>
                    <m:rPr>
                      <m:sty m:val="p"/>
                    </m:rPr>
                    <m:t>,</m:t>
                  </m:r>
                  <m:sSub>
                    <m:sSubPr/>
                    <m:e>
                      <m:r>
                        <m:rPr/>
                        <m:t>y</m:t>
                      </m:r>
                    </m:e>
                    <m:sub>
                      <m:r>
                        <m:rPr/>
                        <m:t>n</m:t>
                      </m:r>
                    </m:sub>
                  </m:sSub>
                  <m:ctrlPr>
                    <w:rPr>
                      <w:rFonts w:ascii="Cambria Math" w:hAnsi="Cambria Math"/>
                    </w:rPr>
                  </m:ctrlPr>
                </m:e>
              </m:d>
              <m:ctrlPr>
                <w:rPr>
                  <w:rFonts w:ascii="Cambria Math" w:hAnsi="Cambria Math"/>
                </w:rPr>
              </m:ctrlPr>
            </m:e>
          </m:d>
        </m:oMath>
      </m:oMathPara>
    </w:p>
    <w:p>
      <w:pPr>
        <w:keepNext w:val="0"/>
        <w:keepLines w:val="0"/>
        <w:pageBreakBefore w:val="0"/>
        <w:widowControl w:val="0"/>
        <w:kinsoku/>
        <w:wordWrap/>
        <w:overflowPunct/>
        <w:topLinePunct w:val="0"/>
        <w:autoSpaceDE/>
        <w:autoSpaceDN/>
        <w:bidi w:val="0"/>
        <w:adjustRightInd/>
        <w:snapToGrid/>
        <w:textAlignment w:val="auto"/>
      </w:pPr>
      <w:r>
        <w:rPr>
          <w:rFonts w:ascii="Georgia" w:hAnsi="Georgia" w:eastAsia="Georgia" w:cs="Georgia"/>
        </w:rPr>
        <w:t>这些坐标将用于图像中的标记和显示。</w:t>
      </w:r>
    </w:p>
    <w:p>
      <w:pPr>
        <w:keepNext w:val="0"/>
        <w:keepLines w:val="0"/>
        <w:pageBreakBefore w:val="0"/>
        <w:widowControl w:val="0"/>
        <w:kinsoku/>
        <w:wordWrap/>
        <w:overflowPunct/>
        <w:topLinePunct w:val="0"/>
        <w:autoSpaceDE/>
        <w:autoSpaceDN/>
        <w:bidi w:val="0"/>
        <w:adjustRightInd/>
        <w:snapToGrid/>
        <w:textAlignment w:val="auto"/>
      </w:pPr>
      <w:r>
        <w:rPr>
          <w:rFonts w:ascii="Georgia" w:hAnsi="Georgia" w:eastAsia="Georgia" w:cs="Georgia"/>
        </w:rPr>
        <w:t xml:space="preserve">所有获取到的坐标将通过 fprintf 函数打印在命令行或输出窗口，以便进一步查看和记录。每个点击的坐标 </w:t>
      </w:r>
      <m:oMath>
        <m:d>
          <m:dPr>
            <m:ctrlPr>
              <w:rPr>
                <w:rFonts w:ascii="Cambria Math" w:hAnsi="Cambria Math"/>
              </w:rPr>
            </m:ctrlPr>
          </m:dPr>
          <m:e>
            <m:sSub>
              <m:sSubPr/>
              <m:e>
                <m:r>
                  <m:rPr/>
                  <m:t>x</m:t>
                </m:r>
              </m:e>
              <m:sub>
                <m:r>
                  <m:rPr/>
                  <m:t>i</m:t>
                </m:r>
              </m:sub>
            </m:sSub>
            <m:r>
              <m:rPr>
                <m:sty m:val="p"/>
              </m:rPr>
              <m:t>,</m:t>
            </m:r>
            <m:sSub>
              <m:sSubPr/>
              <m:e>
                <m:r>
                  <m:rPr/>
                  <m:t>y</m:t>
                </m:r>
              </m:e>
              <m:sub>
                <m:r>
                  <m:rPr/>
                  <m:t>i</m:t>
                </m:r>
              </m:sub>
            </m:sSub>
            <m:ctrlPr>
              <w:rPr>
                <w:rFonts w:ascii="Cambria Math" w:hAnsi="Cambria Math"/>
              </w:rPr>
            </m:ctrlPr>
          </m:e>
        </m:d>
      </m:oMath>
      <w:r>
        <w:rPr>
          <w:rFonts w:ascii="Georgia" w:hAnsi="Georgia" w:eastAsia="Georgia" w:cs="Georgia"/>
        </w:rPr>
        <w:t xml:space="preserve"> 将以如下格式输出：</w:t>
      </w:r>
    </w:p>
    <w:p>
      <w:pPr>
        <w:keepNext w:val="0"/>
        <w:keepLines w:val="0"/>
        <w:pageBreakBefore w:val="0"/>
        <w:widowControl w:val="0"/>
        <w:kinsoku/>
        <w:wordWrap/>
        <w:overflowPunct/>
        <w:topLinePunct w:val="0"/>
        <w:autoSpaceDE/>
        <w:autoSpaceDN/>
        <w:bidi w:val="0"/>
        <w:adjustRightInd/>
        <w:snapToGrid/>
        <w:textAlignment w:val="auto"/>
      </w:pPr>
      <w:r>
        <w:rPr>
          <w:rFonts w:ascii="Georgia" w:hAnsi="Georgia" w:eastAsia="Georgia" w:cs="Georgia"/>
        </w:rPr>
        <w:t>Output：Click i：</w:t>
      </w:r>
      <m:oMath>
        <m:d>
          <m:dPr>
            <m:ctrlPr>
              <w:rPr>
                <w:rFonts w:ascii="Cambria Math" w:hAnsi="Cambria Math"/>
              </w:rPr>
            </m:ctrlPr>
          </m:dPr>
          <m:e>
            <m:sSub>
              <m:sSubPr/>
              <m:e>
                <m:r>
                  <m:rPr/>
                  <m:t>x</m:t>
                </m:r>
              </m:e>
              <m:sub>
                <m:r>
                  <m:rPr/>
                  <m:t>i</m:t>
                </m:r>
              </m:sub>
            </m:sSub>
            <m:r>
              <m:rPr>
                <m:sty m:val="p"/>
              </m:rPr>
              <m:t>,</m:t>
            </m:r>
            <m:sSub>
              <m:sSubPr/>
              <m:e>
                <m:r>
                  <m:rPr/>
                  <m:t>y</m:t>
                </m:r>
              </m:e>
              <m:sub>
                <m:r>
                  <m:rPr/>
                  <m:t>i</m:t>
                </m:r>
              </m:sub>
            </m:sSub>
            <m:ctrlPr>
              <w:rPr>
                <w:rFonts w:ascii="Cambria Math" w:hAnsi="Cambria Math"/>
              </w:rPr>
            </m:ctrlPr>
          </m:e>
        </m:d>
      </m:oMath>
      <w:r>
        <w:br w:type="textWrapping"/>
      </w:r>
      <w:r>
        <w:rPr>
          <w:rFonts w:ascii="Georgia" w:hAnsi="Georgia" w:eastAsia="Georgia" w:cs="Georgia"/>
        </w:rPr>
        <w:t>其中，</w:t>
      </w:r>
      <m:oMath>
        <m:r>
          <m:rPr/>
          <m:t>i</m:t>
        </m:r>
      </m:oMath>
      <w:r>
        <w:rPr>
          <w:rFonts w:ascii="Georgia" w:hAnsi="Georgia" w:eastAsia="Georgia" w:cs="Georgia"/>
        </w:rPr>
        <w:t xml:space="preserve"> 是点击的序号，</w:t>
      </w:r>
      <m:oMath>
        <m:d>
          <m:dPr>
            <m:ctrlPr>
              <w:rPr>
                <w:rFonts w:ascii="Cambria Math" w:hAnsi="Cambria Math"/>
              </w:rPr>
            </m:ctrlPr>
          </m:dPr>
          <m:e>
            <m:sSub>
              <m:sSubPr/>
              <m:e>
                <m:r>
                  <m:rPr/>
                  <m:t>x</m:t>
                </m:r>
              </m:e>
              <m:sub>
                <m:r>
                  <m:rPr/>
                  <m:t>i</m:t>
                </m:r>
              </m:sub>
            </m:sSub>
            <m:r>
              <m:rPr>
                <m:sty m:val="p"/>
              </m:rPr>
              <m:t>,</m:t>
            </m:r>
            <m:sSub>
              <m:sSubPr/>
              <m:e>
                <m:r>
                  <m:rPr/>
                  <m:t>y</m:t>
                </m:r>
              </m:e>
              <m:sub>
                <m:r>
                  <m:rPr/>
                  <m:t>i</m:t>
                </m:r>
              </m:sub>
            </m:sSub>
            <m:ctrlPr>
              <w:rPr>
                <w:rFonts w:ascii="Cambria Math" w:hAnsi="Cambria Math"/>
              </w:rPr>
            </m:ctrlPr>
          </m:e>
        </m:d>
      </m:oMath>
      <w:r>
        <w:rPr>
          <w:rFonts w:ascii="Georgia" w:hAnsi="Georgia" w:eastAsia="Georgia" w:cs="Georgia"/>
        </w:rPr>
        <w:t xml:space="preserve"> 是该点击对应的坐标。</w:t>
      </w:r>
    </w:p>
    <w:p>
      <w:pPr>
        <w:pStyle w:val="2"/>
        <w:ind w:left="0" w:leftChars="0" w:firstLine="0" w:firstLineChars="0"/>
      </w:pPr>
    </w:p>
    <w:p>
      <w:pPr>
        <w:pStyle w:val="2"/>
        <w:ind w:left="0" w:leftChars="0" w:firstLine="0" w:firstLineChars="0"/>
        <w:jc w:val="center"/>
        <w:rPr>
          <w:rFonts w:hint="default"/>
          <w:lang w:val="en-US" w:eastAsia="zh-CN"/>
        </w:rPr>
      </w:pPr>
      <w:r>
        <w:drawing>
          <wp:inline distT="0" distB="0" distL="114300" distR="114300">
            <wp:extent cx="3569335" cy="3296920"/>
            <wp:effectExtent l="0" t="0" r="12065" b="1016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3"/>
                    <a:stretch>
                      <a:fillRect/>
                    </a:stretch>
                  </pic:blipFill>
                  <pic:spPr>
                    <a:xfrm>
                      <a:off x="0" y="0"/>
                      <a:ext cx="3569335" cy="3296920"/>
                    </a:xfrm>
                    <a:prstGeom prst="rect">
                      <a:avLst/>
                    </a:prstGeom>
                    <a:noFill/>
                    <a:ln>
                      <a:noFill/>
                    </a:ln>
                  </pic:spPr>
                </pic:pic>
              </a:graphicData>
            </a:graphic>
          </wp:inline>
        </w:drawing>
      </w:r>
    </w:p>
    <w:p>
      <w:pPr>
        <w:pStyle w:val="4"/>
        <w:pageBreakBefore w:val="0"/>
        <w:wordWrap/>
        <w:overflowPunct/>
        <w:topLinePunct w:val="0"/>
        <w:bidi w:val="0"/>
        <w:adjustRightInd/>
        <w:spacing w:before="0" w:beforeLines="0" w:beforeAutospacing="0" w:after="0" w:afterLines="0" w:afterAutospacing="0" w:line="240" w:lineRule="auto"/>
        <w:outlineLvl w:val="2"/>
        <w:rPr>
          <w:rFonts w:hint="eastAsia" w:ascii="方正楷体简体" w:hAnsi="方正楷体简体" w:eastAsia="方正楷体简体" w:cs="方正楷体简体"/>
          <w:b/>
          <w:bCs/>
          <w:lang w:val="en-US" w:eastAsia="zh-CN"/>
        </w:rPr>
      </w:pPr>
      <w:bookmarkStart w:id="101" w:name="_Toc20124"/>
      <w:bookmarkStart w:id="102" w:name="_Toc14437"/>
      <w:bookmarkStart w:id="103" w:name="_Toc11409"/>
      <w:r>
        <w:rPr>
          <w:rFonts w:hint="eastAsia"/>
          <w:lang w:val="en-US" w:eastAsia="zh-CN"/>
        </w:rPr>
        <w:t xml:space="preserve">5.2 </w:t>
      </w:r>
      <w:bookmarkEnd w:id="101"/>
      <w:bookmarkEnd w:id="102"/>
      <w:r>
        <w:rPr>
          <w:rFonts w:hint="eastAsia"/>
          <w:lang w:val="en-US" w:eastAsia="zh-CN"/>
        </w:rPr>
        <w:t>问题一：搬迁补偿建模</w:t>
      </w:r>
      <w:bookmarkEnd w:id="103"/>
    </w:p>
    <w:p>
      <w:pPr>
        <w:rPr>
          <w:rFonts w:hint="default"/>
          <w:lang w:val="en-US" w:eastAsia="zh-CN"/>
        </w:rPr>
      </w:pPr>
      <w:r>
        <w:rPr>
          <w:rFonts w:hint="eastAsia"/>
          <w:lang w:val="en-US" w:eastAsia="zh-CN"/>
        </w:rPr>
        <w:t>对于问题一， 拆迁补偿建模。我们在基于题目给出面积、采光、修缮补偿外，还引入搬迁距离、邻里关系和社区因素、交通便利性。具体而言，我们使用修缮补偿最为最终补偿手段，单一居民最多给予20万修缮费。建立基于熵权法的理想解法，对不同居民的拆迁情况进行建模分析。基于给出数据，我们选出基于约束下，每个居民用户的所有拆迁可能性，一共113个居民，单人搬迁一共3623可能性。基于该数据建立评价模型对修缮费进行配分。最多的居民补偿20万，最低的居民无补偿费。</w:t>
      </w:r>
    </w:p>
    <w:p>
      <w:pPr>
        <w:pStyle w:val="5"/>
        <w:bidi w:val="0"/>
        <w:rPr>
          <w:rFonts w:hint="eastAsia"/>
          <w:lang w:val="en-US" w:eastAsia="zh-CN"/>
        </w:rPr>
      </w:pPr>
      <w:bookmarkStart w:id="104" w:name="_Toc2804"/>
      <w:bookmarkStart w:id="105" w:name="_Toc21377"/>
      <w:bookmarkStart w:id="106" w:name="_Toc29948"/>
      <w:r>
        <w:rPr>
          <w:rFonts w:hint="eastAsia"/>
          <w:lang w:val="en-US" w:eastAsia="zh-CN"/>
        </w:rPr>
        <w:t xml:space="preserve">5.2.1 </w:t>
      </w:r>
      <w:bookmarkEnd w:id="104"/>
      <w:r>
        <w:rPr>
          <w:rFonts w:hint="eastAsia"/>
          <w:lang w:val="en-US" w:eastAsia="zh-CN"/>
        </w:rPr>
        <w:t>拆迁因素选择</w:t>
      </w:r>
      <w:bookmarkEnd w:id="105"/>
    </w:p>
    <w:p>
      <w:pPr>
        <w:ind w:firstLine="482" w:firstLineChars="200"/>
        <w:rPr>
          <w:rFonts w:hint="default"/>
          <w:lang w:val="en-US" w:eastAsia="zh-CN"/>
        </w:rPr>
      </w:pPr>
      <w:r>
        <w:rPr>
          <w:rFonts w:hint="default"/>
          <w:b/>
          <w:bCs/>
          <w:lang w:val="en-US" w:eastAsia="zh-CN"/>
        </w:rPr>
        <w:t>面积补偿</w:t>
      </w:r>
      <w:r>
        <w:rPr>
          <w:rFonts w:hint="default"/>
          <w:lang w:val="en-US" w:eastAsia="zh-CN"/>
        </w:rPr>
        <w:t>：每个居民现有居住地块面积 + 至多30%的补偿。</w:t>
      </w:r>
    </w:p>
    <w:p>
      <w:pPr>
        <w:ind w:firstLine="482" w:firstLineChars="200"/>
        <w:rPr>
          <w:rFonts w:hint="default"/>
          <w:lang w:val="en-US" w:eastAsia="zh-CN"/>
        </w:rPr>
      </w:pPr>
      <w:r>
        <w:rPr>
          <w:rFonts w:hint="default"/>
          <w:b/>
          <w:bCs/>
          <w:lang w:val="en-US" w:eastAsia="zh-CN"/>
        </w:rPr>
        <w:t>采光补偿</w:t>
      </w:r>
      <w:r>
        <w:rPr>
          <w:rFonts w:hint="default"/>
          <w:lang w:val="en-US" w:eastAsia="zh-CN"/>
        </w:rPr>
        <w:t>：根据朝向计算，每个地块的采光等级（正南=正北&gt;东厢&gt;西厢），确保新居住地的采光不差于原居住地。</w:t>
      </w:r>
    </w:p>
    <w:p>
      <w:pPr>
        <w:ind w:firstLine="482" w:firstLineChars="200"/>
        <w:rPr>
          <w:rFonts w:hint="default"/>
          <w:lang w:val="en-US" w:eastAsia="zh-CN"/>
        </w:rPr>
      </w:pPr>
      <w:r>
        <w:rPr>
          <w:rFonts w:hint="default"/>
          <w:b/>
          <w:bCs/>
          <w:lang w:val="en-US" w:eastAsia="zh-CN"/>
        </w:rPr>
        <w:t>修缮补偿</w:t>
      </w:r>
      <w:r>
        <w:rPr>
          <w:rFonts w:hint="default"/>
          <w:lang w:val="en-US" w:eastAsia="zh-CN"/>
        </w:rPr>
        <w:t>：根据现有地块的状况和修缮预算，决定是否为迁入的地块提供修缮，并根据修缮费用控制在20万元以内。</w:t>
      </w:r>
    </w:p>
    <w:p>
      <w:pPr>
        <w:ind w:firstLine="480" w:firstLineChars="200"/>
        <w:rPr>
          <w:rFonts w:hint="eastAsia"/>
          <w:b/>
          <w:bCs/>
          <w:lang w:val="en-US" w:eastAsia="zh-CN"/>
        </w:rPr>
      </w:pPr>
      <w:r>
        <w:rPr>
          <w:rFonts w:hint="eastAsia"/>
          <w:lang w:val="en-US" w:eastAsia="zh-CN"/>
        </w:rPr>
        <w:t>根据题目描述，该问题</w:t>
      </w:r>
      <w:r>
        <w:rPr>
          <w:rFonts w:hint="default"/>
          <w:b/>
          <w:bCs/>
          <w:lang w:val="en-US" w:eastAsia="zh-CN"/>
        </w:rPr>
        <w:t>面积补偿</w:t>
      </w:r>
      <w:r>
        <w:rPr>
          <w:rFonts w:hint="eastAsia"/>
          <w:b/>
          <w:bCs/>
          <w:lang w:val="en-US" w:eastAsia="zh-CN"/>
        </w:rPr>
        <w:t>、</w:t>
      </w:r>
      <w:r>
        <w:rPr>
          <w:rFonts w:hint="default"/>
          <w:b/>
          <w:bCs/>
          <w:lang w:val="en-US" w:eastAsia="zh-CN"/>
        </w:rPr>
        <w:t>采光补偿</w:t>
      </w:r>
      <w:r>
        <w:rPr>
          <w:rFonts w:hint="eastAsia"/>
          <w:b/>
          <w:bCs/>
          <w:lang w:val="en-US" w:eastAsia="zh-CN"/>
        </w:rPr>
        <w:t>为</w:t>
      </w:r>
      <w:r>
        <w:rPr>
          <w:rFonts w:hint="eastAsia"/>
          <w:b w:val="0"/>
          <w:bCs w:val="0"/>
          <w:lang w:val="en-US" w:eastAsia="zh-CN"/>
        </w:rPr>
        <w:t>必须满足的刚需，在此基础上加入</w:t>
      </w:r>
      <w:r>
        <w:rPr>
          <w:rFonts w:hint="default"/>
          <w:b/>
          <w:bCs/>
          <w:lang w:val="en-US" w:eastAsia="zh-CN"/>
        </w:rPr>
        <w:t>修缮补偿</w:t>
      </w:r>
      <w:r>
        <w:rPr>
          <w:rFonts w:hint="eastAsia"/>
          <w:b/>
          <w:bCs/>
          <w:lang w:val="en-US" w:eastAsia="zh-CN"/>
        </w:rPr>
        <w:t>。</w:t>
      </w:r>
    </w:p>
    <w:p>
      <w:pPr>
        <w:ind w:firstLine="482" w:firstLineChars="200"/>
        <w:rPr>
          <w:rFonts w:hint="eastAsia"/>
          <w:b/>
          <w:bCs/>
          <w:lang w:val="en-US" w:eastAsia="zh-CN"/>
        </w:rPr>
      </w:pPr>
      <w:r>
        <w:rPr>
          <w:rFonts w:hint="eastAsia"/>
          <w:b/>
          <w:bCs/>
          <w:lang w:val="en-US" w:eastAsia="zh-CN"/>
        </w:rPr>
        <w:t>因素1：迁入迁出地块的距离</w:t>
      </w:r>
    </w:p>
    <w:p>
      <w:pPr>
        <w:ind w:firstLine="482" w:firstLineChars="200"/>
        <w:rPr>
          <w:rFonts w:hint="default"/>
          <w:b w:val="0"/>
          <w:bCs w:val="0"/>
          <w:lang w:val="en-US" w:eastAsia="zh-CN"/>
        </w:rPr>
      </w:pPr>
      <w:r>
        <w:rPr>
          <w:rFonts w:hint="default"/>
          <w:b/>
          <w:bCs/>
          <w:lang w:val="en-US" w:eastAsia="zh-CN"/>
        </w:rPr>
        <w:t>影响：</w:t>
      </w:r>
      <w:r>
        <w:rPr>
          <w:rFonts w:hint="default"/>
          <w:b w:val="0"/>
          <w:bCs w:val="0"/>
          <w:lang w:val="en-US" w:eastAsia="zh-CN"/>
        </w:rPr>
        <w:t>居民通常希望能够搬到距离现居住地较近的地方，尤其是对于有老年人或儿童的家庭，他们更倾向于选择交通便利、距离原住址较近的地块。</w:t>
      </w:r>
    </w:p>
    <w:p>
      <w:pPr>
        <w:ind w:firstLine="482" w:firstLineChars="200"/>
        <w:rPr>
          <w:rFonts w:hint="eastAsia"/>
          <w:b w:val="0"/>
          <w:bCs w:val="0"/>
          <w:lang w:val="en-US" w:eastAsia="zh-CN"/>
        </w:rPr>
      </w:pPr>
      <w:r>
        <w:rPr>
          <w:rFonts w:hint="default"/>
          <w:b/>
          <w:bCs/>
          <w:lang w:val="en-US" w:eastAsia="zh-CN"/>
        </w:rPr>
        <w:t>应对策略：</w:t>
      </w:r>
      <w:r>
        <w:rPr>
          <w:rFonts w:hint="default"/>
          <w:b w:val="0"/>
          <w:bCs w:val="0"/>
          <w:lang w:val="en-US" w:eastAsia="zh-CN"/>
        </w:rPr>
        <w:t>开发商可以考虑将同一街区内的迁入地块集中安排，并优先选择距离原住所较近的地块，尽量减少搬迁距离，以提高居民的搬迁意愿。</w:t>
      </w:r>
      <w:r>
        <w:rPr>
          <w:rFonts w:hint="eastAsia"/>
          <w:b w:val="0"/>
          <w:bCs w:val="0"/>
          <w:lang w:val="en-US" w:eastAsia="zh-CN"/>
        </w:rPr>
        <w:t>尝试将区域划分为多个园区，实现园区内部</w:t>
      </w:r>
      <w:r>
        <w:rPr>
          <w:rFonts w:hint="eastAsia"/>
          <w:b/>
          <w:bCs/>
          <w:lang w:val="en-US" w:eastAsia="zh-CN"/>
        </w:rPr>
        <w:t>迁入迁出，</w:t>
      </w:r>
      <w:r>
        <w:rPr>
          <w:rFonts w:hint="eastAsia"/>
          <w:b w:val="0"/>
          <w:bCs w:val="0"/>
          <w:lang w:val="en-US" w:eastAsia="zh-CN"/>
        </w:rPr>
        <w:t>以便实现较近距离的迁入、迁出。</w:t>
      </w:r>
    </w:p>
    <w:p>
      <w:r>
        <w:drawing>
          <wp:inline distT="0" distB="0" distL="114300" distR="114300">
            <wp:extent cx="4076700" cy="1988820"/>
            <wp:effectExtent l="0" t="0" r="7620" b="76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4"/>
                    <a:stretch>
                      <a:fillRect/>
                    </a:stretch>
                  </pic:blipFill>
                  <pic:spPr>
                    <a:xfrm>
                      <a:off x="0" y="0"/>
                      <a:ext cx="4076700" cy="1988820"/>
                    </a:xfrm>
                    <a:prstGeom prst="rect">
                      <a:avLst/>
                    </a:prstGeom>
                    <a:noFill/>
                    <a:ln>
                      <a:noFill/>
                    </a:ln>
                  </pic:spPr>
                </pic:pic>
              </a:graphicData>
            </a:graphic>
          </wp:inline>
        </w:drawing>
      </w:r>
      <w:r>
        <w:br w:type="textWrapping"/>
      </w:r>
      <w:r>
        <w:rPr>
          <w:rFonts w:hint="eastAsia"/>
          <w:b/>
          <w:bCs/>
          <w:lang w:val="en-US" w:eastAsia="zh-CN"/>
        </w:rPr>
        <w:t>迁入迁出地块的距离、邻里关系和社区因素、</w:t>
      </w:r>
      <w:r>
        <w:rPr>
          <w:rFonts w:hint="eastAsia" w:ascii="汉标粗黑体" w:hAnsi="汉标粗黑体" w:eastAsia="汉标粗黑体" w:cs="汉标粗黑体"/>
          <w:i w:val="0"/>
          <w:iCs w:val="0"/>
          <w:color w:val="000000"/>
          <w:kern w:val="0"/>
          <w:sz w:val="22"/>
          <w:szCs w:val="22"/>
          <w:u w:val="none"/>
          <w:lang w:val="en-US" w:eastAsia="zh-CN" w:bidi="ar"/>
        </w:rPr>
        <w:t>交通便利性</w:t>
      </w:r>
    </w:p>
    <w:p>
      <w:pPr>
        <w:ind w:firstLine="482" w:firstLineChars="200"/>
        <w:rPr>
          <w:rFonts w:hint="eastAsia"/>
          <w:b/>
          <w:bCs/>
          <w:lang w:val="en-US" w:eastAsia="zh-CN"/>
        </w:rPr>
      </w:pPr>
      <w:r>
        <w:rPr>
          <w:rFonts w:hint="eastAsia"/>
          <w:b/>
          <w:bCs/>
          <w:lang w:val="en-US" w:eastAsia="zh-CN"/>
        </w:rPr>
        <w:t>因素2：邻里关系和社区因素</w:t>
      </w:r>
    </w:p>
    <w:p>
      <w:pPr>
        <w:ind w:firstLine="482" w:firstLineChars="200"/>
        <w:rPr>
          <w:rFonts w:hint="default"/>
          <w:lang w:val="en-US" w:eastAsia="zh-CN"/>
        </w:rPr>
      </w:pPr>
      <w:r>
        <w:rPr>
          <w:rFonts w:hint="default"/>
          <w:b/>
          <w:bCs/>
          <w:lang w:val="en-US" w:eastAsia="zh-CN"/>
        </w:rPr>
        <w:t>影响</w:t>
      </w:r>
      <w:r>
        <w:rPr>
          <w:rFonts w:hint="default"/>
          <w:lang w:val="en-US" w:eastAsia="zh-CN"/>
        </w:rPr>
        <w:t>：部分居民对搬迁的最大顾虑是失去原有的邻里关系。尤其是一些生活较为稳定的居民，搬迁可能意味着他们失去了熟悉的邻居和社交圈。</w:t>
      </w:r>
    </w:p>
    <w:p>
      <w:pPr>
        <w:ind w:firstLine="482" w:firstLineChars="200"/>
        <w:rPr>
          <w:rFonts w:hint="default"/>
          <w:lang w:val="en-US" w:eastAsia="zh-CN"/>
        </w:rPr>
      </w:pPr>
      <w:r>
        <w:rPr>
          <w:rFonts w:hint="default"/>
          <w:b/>
          <w:bCs/>
          <w:lang w:val="en-US" w:eastAsia="zh-CN"/>
        </w:rPr>
        <w:t>应对策略</w:t>
      </w:r>
      <w:r>
        <w:rPr>
          <w:rFonts w:hint="default"/>
          <w:lang w:val="en-US" w:eastAsia="zh-CN"/>
        </w:rPr>
        <w:t>：开发商可以通过居民的</w:t>
      </w:r>
      <w:r>
        <w:rPr>
          <w:rFonts w:hint="eastAsia"/>
          <w:lang w:val="en-US" w:eastAsia="zh-CN"/>
        </w:rPr>
        <w:t>原有邻居关系</w:t>
      </w:r>
      <w:r>
        <w:rPr>
          <w:rFonts w:hint="default"/>
          <w:lang w:val="en-US" w:eastAsia="zh-CN"/>
        </w:rPr>
        <w:t>，尽量安排住户迁入彼此邻近的地块，避免将家庭成员分开搬迁。</w:t>
      </w:r>
    </w:p>
    <w:p>
      <w:pPr>
        <w:ind w:firstLine="482" w:firstLineChars="200"/>
        <w:rPr>
          <w:rFonts w:hint="eastAsia"/>
          <w:b/>
          <w:bCs/>
          <w:lang w:val="en-US" w:eastAsia="zh-CN"/>
        </w:rPr>
      </w:pPr>
      <w:r>
        <w:rPr>
          <w:rFonts w:hint="eastAsia"/>
          <w:b/>
          <w:bCs/>
          <w:lang w:val="en-US" w:eastAsia="zh-CN"/>
        </w:rPr>
        <w:t>因素3：交通便利性</w:t>
      </w:r>
    </w:p>
    <w:p>
      <w:pPr>
        <w:ind w:firstLine="482" w:firstLineChars="200"/>
        <w:rPr>
          <w:rFonts w:hint="eastAsia"/>
          <w:lang w:val="en-US" w:eastAsia="zh-CN"/>
        </w:rPr>
      </w:pPr>
      <w:r>
        <w:rPr>
          <w:rFonts w:hint="eastAsia"/>
          <w:b/>
          <w:bCs/>
          <w:lang w:val="en-US" w:eastAsia="zh-CN"/>
        </w:rPr>
        <w:t>影响</w:t>
      </w:r>
      <w:r>
        <w:rPr>
          <w:rFonts w:hint="eastAsia"/>
          <w:lang w:val="en-US" w:eastAsia="zh-CN"/>
        </w:rPr>
        <w:t>：交通便利性直接影响到居民的日常生活，特别是对于上班族、学校、老人等群体。交通不便的地方可能不被居民接受。</w:t>
      </w:r>
    </w:p>
    <w:p>
      <w:pPr>
        <w:ind w:firstLine="482" w:firstLineChars="200"/>
        <w:rPr>
          <w:rFonts w:hint="eastAsia"/>
          <w:lang w:val="en-US" w:eastAsia="zh-CN"/>
        </w:rPr>
      </w:pPr>
      <w:r>
        <w:rPr>
          <w:rFonts w:hint="eastAsia"/>
          <w:b/>
          <w:bCs/>
          <w:lang w:val="en-US" w:eastAsia="zh-CN"/>
        </w:rPr>
        <w:t>应对策略</w:t>
      </w:r>
      <w:r>
        <w:rPr>
          <w:rFonts w:hint="eastAsia"/>
          <w:lang w:val="en-US" w:eastAsia="zh-CN"/>
        </w:rPr>
        <w:t>：规划时应选择交通便捷的地块，在附件1中加入新的一列，是否临街判定交通便利性。</w:t>
      </w:r>
    </w:p>
    <w:p>
      <w:pPr>
        <w:ind w:firstLine="480" w:firstLineChars="200"/>
        <w:rPr>
          <w:rFonts w:hint="eastAsia"/>
          <w:lang w:val="en-US" w:eastAsia="zh-CN"/>
        </w:rPr>
      </w:pPr>
      <w:r>
        <w:rPr>
          <w:rFonts w:hint="eastAsia"/>
          <w:lang w:val="en-US" w:eastAsia="zh-CN"/>
        </w:rPr>
        <w:t>其中邻接与沿街关系如下所示</w:t>
      </w:r>
    </w:p>
    <w:p>
      <w:pPr>
        <w:ind w:firstLine="480" w:firstLineChars="200"/>
        <w:rPr>
          <w:rFonts w:hint="default"/>
          <w:lang w:val="en-US" w:eastAsia="zh-CN"/>
        </w:rPr>
      </w:pPr>
      <w:r>
        <w:drawing>
          <wp:inline distT="0" distB="0" distL="114300" distR="114300">
            <wp:extent cx="4672330" cy="35039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672330" cy="3503930"/>
                    </a:xfrm>
                    <a:prstGeom prst="rect">
                      <a:avLst/>
                    </a:prstGeom>
                    <a:noFill/>
                    <a:ln>
                      <a:noFill/>
                    </a:ln>
                  </pic:spPr>
                </pic:pic>
              </a:graphicData>
            </a:graphic>
          </wp:inline>
        </w:drawing>
      </w:r>
    </w:p>
    <w:p>
      <w:pPr>
        <w:rPr>
          <w:rFonts w:hint="default"/>
          <w:lang w:val="en-US" w:eastAsia="zh-CN"/>
        </w:rPr>
      </w:pPr>
    </w:p>
    <w:tbl>
      <w:tblPr>
        <w:tblStyle w:val="16"/>
        <w:tblW w:w="801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052"/>
        <w:gridCol w:w="2976"/>
        <w:gridCol w:w="29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052" w:type="dxa"/>
            <w:tcBorders>
              <w:top w:val="single" w:color="000000" w:sz="4" w:space="0"/>
              <w:left w:val="single" w:color="000000" w:sz="4" w:space="0"/>
              <w:bottom w:val="nil"/>
              <w:right w:val="nil"/>
            </w:tcBorders>
            <w:shd w:val="clear" w:color="000000" w:fill="000000"/>
            <w:vAlign w:val="center"/>
          </w:tcPr>
          <w:p>
            <w:pPr>
              <w:keepNext w:val="0"/>
              <w:keepLines w:val="0"/>
              <w:widowControl/>
              <w:suppressLineNumbers w:val="0"/>
              <w:jc w:val="center"/>
              <w:textAlignment w:val="center"/>
              <w:rPr>
                <w:rFonts w:hint="eastAsia" w:ascii="宋体" w:hAnsi="宋体" w:eastAsia="宋体" w:cs="宋体"/>
                <w:b/>
                <w:bCs/>
                <w:i w:val="0"/>
                <w:iCs w:val="0"/>
                <w:color w:val="FFFFFF"/>
                <w:sz w:val="22"/>
                <w:szCs w:val="22"/>
                <w:u w:val="none"/>
              </w:rPr>
            </w:pPr>
            <w:r>
              <w:rPr>
                <w:rFonts w:hint="eastAsia" w:ascii="宋体" w:hAnsi="宋体" w:eastAsia="宋体" w:cs="宋体"/>
                <w:b/>
                <w:bCs/>
                <w:i w:val="0"/>
                <w:iCs w:val="0"/>
                <w:color w:val="FFFFFF"/>
                <w:kern w:val="0"/>
                <w:sz w:val="22"/>
                <w:szCs w:val="22"/>
                <w:u w:val="none"/>
                <w:lang w:val="en-US" w:eastAsia="zh-CN" w:bidi="ar"/>
              </w:rPr>
              <w:t>补偿因素</w:t>
            </w:r>
          </w:p>
        </w:tc>
        <w:tc>
          <w:tcPr>
            <w:tcW w:w="2976" w:type="dxa"/>
            <w:tcBorders>
              <w:top w:val="single" w:color="000000" w:sz="4" w:space="0"/>
              <w:left w:val="nil"/>
              <w:bottom w:val="nil"/>
              <w:right w:val="nil"/>
            </w:tcBorders>
            <w:shd w:val="clear" w:color="000000" w:fill="000000"/>
            <w:vAlign w:val="center"/>
          </w:tcPr>
          <w:p>
            <w:pPr>
              <w:keepNext w:val="0"/>
              <w:keepLines w:val="0"/>
              <w:widowControl/>
              <w:suppressLineNumbers w:val="0"/>
              <w:jc w:val="center"/>
              <w:textAlignment w:val="center"/>
              <w:rPr>
                <w:rFonts w:hint="eastAsia" w:ascii="宋体" w:hAnsi="宋体" w:eastAsia="宋体" w:cs="宋体"/>
                <w:b/>
                <w:bCs/>
                <w:i w:val="0"/>
                <w:iCs w:val="0"/>
                <w:color w:val="FFFFFF"/>
                <w:sz w:val="22"/>
                <w:szCs w:val="22"/>
                <w:u w:val="none"/>
              </w:rPr>
            </w:pPr>
            <w:r>
              <w:rPr>
                <w:rFonts w:hint="eastAsia" w:ascii="宋体" w:hAnsi="宋体" w:eastAsia="宋体" w:cs="宋体"/>
                <w:b/>
                <w:bCs/>
                <w:i w:val="0"/>
                <w:iCs w:val="0"/>
                <w:color w:val="FFFFFF"/>
                <w:kern w:val="0"/>
                <w:sz w:val="22"/>
                <w:szCs w:val="22"/>
                <w:u w:val="none"/>
                <w:lang w:val="en-US" w:eastAsia="zh-CN" w:bidi="ar"/>
              </w:rPr>
              <w:t>补偿标准/应对策略</w:t>
            </w:r>
          </w:p>
        </w:tc>
        <w:tc>
          <w:tcPr>
            <w:tcW w:w="2988" w:type="dxa"/>
            <w:tcBorders>
              <w:top w:val="single" w:color="000000" w:sz="4" w:space="0"/>
              <w:left w:val="nil"/>
              <w:bottom w:val="nil"/>
              <w:right w:val="single" w:color="000000" w:sz="4" w:space="0"/>
            </w:tcBorders>
            <w:shd w:val="clear" w:color="000000" w:fill="000000"/>
            <w:vAlign w:val="center"/>
          </w:tcPr>
          <w:p>
            <w:pPr>
              <w:keepNext w:val="0"/>
              <w:keepLines w:val="0"/>
              <w:widowControl/>
              <w:suppressLineNumbers w:val="0"/>
              <w:jc w:val="center"/>
              <w:textAlignment w:val="center"/>
              <w:rPr>
                <w:rFonts w:hint="eastAsia" w:ascii="宋体" w:hAnsi="宋体" w:eastAsia="宋体" w:cs="宋体"/>
                <w:b/>
                <w:bCs/>
                <w:i w:val="0"/>
                <w:iCs w:val="0"/>
                <w:color w:val="FFFFFF"/>
                <w:sz w:val="22"/>
                <w:szCs w:val="22"/>
                <w:u w:val="none"/>
              </w:rPr>
            </w:pPr>
            <w:r>
              <w:rPr>
                <w:rFonts w:hint="eastAsia" w:ascii="宋体" w:hAnsi="宋体" w:eastAsia="宋体" w:cs="宋体"/>
                <w:b/>
                <w:bCs/>
                <w:i w:val="0"/>
                <w:iCs w:val="0"/>
                <w:color w:val="FFFFFF"/>
                <w:kern w:val="0"/>
                <w:sz w:val="22"/>
                <w:szCs w:val="22"/>
                <w:u w:val="none"/>
                <w:lang w:val="en-US" w:eastAsia="zh-CN" w:bidi="ar"/>
              </w:rPr>
              <w:t>具体实施方案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52" w:hRule="atLeast"/>
        </w:trPr>
        <w:tc>
          <w:tcPr>
            <w:tcW w:w="2052" w:type="dxa"/>
            <w:tcBorders>
              <w:top w:val="single" w:color="000000" w:sz="4" w:space="0"/>
              <w:left w:val="single" w:color="000000" w:sz="4" w:space="0"/>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汉标粗黑体" w:hAnsi="汉标粗黑体" w:eastAsia="汉标粗黑体" w:cs="汉标粗黑体"/>
                <w:i w:val="0"/>
                <w:iCs w:val="0"/>
                <w:color w:val="000000"/>
                <w:sz w:val="22"/>
                <w:szCs w:val="22"/>
                <w:u w:val="none"/>
              </w:rPr>
            </w:pPr>
            <w:r>
              <w:rPr>
                <w:rFonts w:hint="eastAsia" w:ascii="汉标粗黑体" w:hAnsi="汉标粗黑体" w:eastAsia="汉标粗黑体" w:cs="汉标粗黑体"/>
                <w:i w:val="0"/>
                <w:iCs w:val="0"/>
                <w:color w:val="000000"/>
                <w:kern w:val="0"/>
                <w:sz w:val="22"/>
                <w:szCs w:val="22"/>
                <w:u w:val="none"/>
                <w:lang w:val="en-US" w:eastAsia="zh-CN" w:bidi="ar"/>
              </w:rPr>
              <w:t>面积补偿</w:t>
            </w:r>
          </w:p>
        </w:tc>
        <w:tc>
          <w:tcPr>
            <w:tcW w:w="2976"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每个居民现有居住地块面积 + 至多30%的补偿。例如：原面积60㎡，补偿面积60-78㎡。</w:t>
            </w:r>
          </w:p>
        </w:tc>
        <w:tc>
          <w:tcPr>
            <w:tcW w:w="2988"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提供不小于现居地块面积的补偿，最多增加30%（例如原面积60㎡，迁入面积60-78㎡）。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52" w:hRule="atLeast"/>
        </w:trPr>
        <w:tc>
          <w:tcPr>
            <w:tcW w:w="2052" w:type="dxa"/>
            <w:tcBorders>
              <w:top w:val="single" w:color="000000" w:sz="4" w:space="0"/>
              <w:left w:val="single" w:color="000000" w:sz="4" w:space="0"/>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汉标粗黑体" w:hAnsi="汉标粗黑体" w:eastAsia="汉标粗黑体" w:cs="汉标粗黑体"/>
                <w:i w:val="0"/>
                <w:iCs w:val="0"/>
                <w:color w:val="000000"/>
                <w:sz w:val="22"/>
                <w:szCs w:val="22"/>
                <w:u w:val="none"/>
              </w:rPr>
            </w:pPr>
            <w:r>
              <w:rPr>
                <w:rFonts w:hint="eastAsia" w:ascii="汉标粗黑体" w:hAnsi="汉标粗黑体" w:eastAsia="汉标粗黑体" w:cs="汉标粗黑体"/>
                <w:i w:val="0"/>
                <w:iCs w:val="0"/>
                <w:color w:val="000000"/>
                <w:kern w:val="0"/>
                <w:sz w:val="22"/>
                <w:szCs w:val="22"/>
                <w:u w:val="none"/>
                <w:lang w:val="en-US" w:eastAsia="zh-CN" w:bidi="ar"/>
              </w:rPr>
              <w:t>采光补偿</w:t>
            </w:r>
          </w:p>
        </w:tc>
        <w:tc>
          <w:tcPr>
            <w:tcW w:w="2976"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根据居民原居住地块的朝向，确保新地块的采光不差于原居住地。优先朝向：正南 &gt; 正北 &gt; 东厢 &gt; 西厢。</w:t>
            </w:r>
          </w:p>
        </w:tc>
        <w:tc>
          <w:tcPr>
            <w:tcW w:w="2988"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为居民提供与原居住地相同或更好的采光条件，朝向优先级：正南 &gt; 正北 &gt; 东厢 &gt; 西厢。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2052" w:type="dxa"/>
            <w:tcBorders>
              <w:top w:val="single" w:color="000000" w:sz="4" w:space="0"/>
              <w:left w:val="single" w:color="000000" w:sz="4" w:space="0"/>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汉标粗黑体" w:hAnsi="汉标粗黑体" w:eastAsia="汉标粗黑体" w:cs="汉标粗黑体"/>
                <w:i w:val="0"/>
                <w:iCs w:val="0"/>
                <w:color w:val="000000"/>
                <w:sz w:val="22"/>
                <w:szCs w:val="22"/>
                <w:u w:val="none"/>
              </w:rPr>
            </w:pPr>
            <w:r>
              <w:rPr>
                <w:rFonts w:hint="eastAsia" w:ascii="汉标粗黑体" w:hAnsi="汉标粗黑体" w:eastAsia="汉标粗黑体" w:cs="汉标粗黑体"/>
                <w:i w:val="0"/>
                <w:iCs w:val="0"/>
                <w:color w:val="000000"/>
                <w:kern w:val="0"/>
                <w:sz w:val="22"/>
                <w:szCs w:val="22"/>
                <w:u w:val="none"/>
                <w:lang w:val="en-US" w:eastAsia="zh-CN" w:bidi="ar"/>
              </w:rPr>
              <w:t>修缮补偿</w:t>
            </w:r>
          </w:p>
        </w:tc>
        <w:tc>
          <w:tcPr>
            <w:tcW w:w="2976"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每户最多20万元修缮补偿，用于房屋设施改造、装修升级等，改善居民的居住条件。</w:t>
            </w:r>
          </w:p>
        </w:tc>
        <w:tc>
          <w:tcPr>
            <w:tcW w:w="2988"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提供最多20万元的修缮补偿，用于房屋设施的更新和改善居住环境。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2052" w:type="dxa"/>
            <w:tcBorders>
              <w:top w:val="single" w:color="000000" w:sz="4" w:space="0"/>
              <w:left w:val="single" w:color="000000" w:sz="4" w:space="0"/>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汉标粗黑体" w:hAnsi="汉标粗黑体" w:eastAsia="汉标粗黑体" w:cs="汉标粗黑体"/>
                <w:i w:val="0"/>
                <w:iCs w:val="0"/>
                <w:color w:val="000000"/>
                <w:sz w:val="22"/>
                <w:szCs w:val="22"/>
                <w:u w:val="none"/>
              </w:rPr>
            </w:pPr>
            <w:r>
              <w:rPr>
                <w:rFonts w:hint="eastAsia" w:ascii="汉标粗黑体" w:hAnsi="汉标粗黑体" w:eastAsia="汉标粗黑体" w:cs="汉标粗黑体"/>
                <w:i w:val="0"/>
                <w:iCs w:val="0"/>
                <w:color w:val="000000"/>
                <w:kern w:val="0"/>
                <w:sz w:val="22"/>
                <w:szCs w:val="22"/>
                <w:u w:val="none"/>
                <w:lang w:val="en-US" w:eastAsia="zh-CN" w:bidi="ar"/>
              </w:rPr>
              <w:t>迁入迁出地块的距离</w:t>
            </w:r>
          </w:p>
        </w:tc>
        <w:tc>
          <w:tcPr>
            <w:tcW w:w="2976"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尽量将居民迁入距离原住所较近的地块，优先选择相同园区内的地块，以减少迁入距离。</w:t>
            </w:r>
          </w:p>
        </w:tc>
        <w:tc>
          <w:tcPr>
            <w:tcW w:w="2988"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根据规划，将整个区域划分为多个园区，确保园区内居民迁入距离较近。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4" w:hRule="atLeast"/>
        </w:trPr>
        <w:tc>
          <w:tcPr>
            <w:tcW w:w="2052" w:type="dxa"/>
            <w:tcBorders>
              <w:top w:val="single" w:color="000000" w:sz="4" w:space="0"/>
              <w:left w:val="single" w:color="000000" w:sz="4" w:space="0"/>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汉标粗黑体" w:hAnsi="汉标粗黑体" w:eastAsia="汉标粗黑体" w:cs="汉标粗黑体"/>
                <w:i w:val="0"/>
                <w:iCs w:val="0"/>
                <w:color w:val="000000"/>
                <w:sz w:val="22"/>
                <w:szCs w:val="22"/>
                <w:u w:val="none"/>
              </w:rPr>
            </w:pPr>
            <w:r>
              <w:rPr>
                <w:rFonts w:hint="eastAsia" w:ascii="汉标粗黑体" w:hAnsi="汉标粗黑体" w:eastAsia="汉标粗黑体" w:cs="汉标粗黑体"/>
                <w:i w:val="0"/>
                <w:iCs w:val="0"/>
                <w:color w:val="000000"/>
                <w:kern w:val="0"/>
                <w:sz w:val="22"/>
                <w:szCs w:val="22"/>
                <w:u w:val="none"/>
                <w:lang w:val="en-US" w:eastAsia="zh-CN" w:bidi="ar"/>
              </w:rPr>
              <w:t>邻里关系和社区因素</w:t>
            </w:r>
          </w:p>
        </w:tc>
        <w:tc>
          <w:tcPr>
            <w:tcW w:w="2976"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根据邻里关系优先考虑将相邻的住户安排到相邻地块，避免将家庭成员分开搬迁。</w:t>
            </w:r>
          </w:p>
        </w:tc>
        <w:tc>
          <w:tcPr>
            <w:tcW w:w="2988"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进行居民邻里关系调查，优先将有紧密关系的住户安排到相邻地块，保持社区关系。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52" w:hRule="atLeast"/>
        </w:trPr>
        <w:tc>
          <w:tcPr>
            <w:tcW w:w="2052" w:type="dxa"/>
            <w:tcBorders>
              <w:top w:val="single" w:color="000000" w:sz="4" w:space="0"/>
              <w:left w:val="single" w:color="000000" w:sz="4" w:space="0"/>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汉标粗黑体" w:hAnsi="汉标粗黑体" w:eastAsia="汉标粗黑体" w:cs="汉标粗黑体"/>
                <w:i w:val="0"/>
                <w:iCs w:val="0"/>
                <w:color w:val="000000"/>
                <w:sz w:val="22"/>
                <w:szCs w:val="22"/>
                <w:u w:val="none"/>
              </w:rPr>
            </w:pPr>
            <w:r>
              <w:rPr>
                <w:rFonts w:hint="eastAsia" w:ascii="汉标粗黑体" w:hAnsi="汉标粗黑体" w:eastAsia="汉标粗黑体" w:cs="汉标粗黑体"/>
                <w:i w:val="0"/>
                <w:iCs w:val="0"/>
                <w:color w:val="000000"/>
                <w:kern w:val="0"/>
                <w:sz w:val="22"/>
                <w:szCs w:val="22"/>
                <w:u w:val="none"/>
                <w:lang w:val="en-US" w:eastAsia="zh-CN" w:bidi="ar"/>
              </w:rPr>
              <w:t>交通便利性</w:t>
            </w:r>
          </w:p>
        </w:tc>
        <w:tc>
          <w:tcPr>
            <w:tcW w:w="2976"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优先选择交通便利的地块，如临街或靠近交通枢纽的地块。为交通不便的地块提供额外的交通补偿。</w:t>
            </w:r>
          </w:p>
        </w:tc>
        <w:tc>
          <w:tcPr>
            <w:tcW w:w="2988"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方正楷体简体" w:hAnsi="方正楷体简体" w:eastAsia="方正楷体简体" w:cs="方正楷体简体"/>
                <w:i w:val="0"/>
                <w:iCs w:val="0"/>
                <w:color w:val="000000"/>
                <w:sz w:val="21"/>
                <w:szCs w:val="21"/>
                <w:u w:val="none"/>
              </w:rPr>
            </w:pPr>
            <w:r>
              <w:rPr>
                <w:rFonts w:hint="eastAsia" w:ascii="方正楷体简体" w:hAnsi="方正楷体简体" w:eastAsia="方正楷体简体" w:cs="方正楷体简体"/>
                <w:i w:val="0"/>
                <w:iCs w:val="0"/>
                <w:color w:val="000000"/>
                <w:kern w:val="0"/>
                <w:sz w:val="21"/>
                <w:szCs w:val="21"/>
                <w:u w:val="none"/>
                <w:lang w:val="en-US" w:eastAsia="zh-CN" w:bidi="ar"/>
              </w:rPr>
              <w:t>通过地块信息表格，标记交通便利性，优先安排临街或靠近交通枢纽的地块。</w:t>
            </w:r>
          </w:p>
        </w:tc>
      </w:tr>
    </w:tbl>
    <w:p>
      <w:pPr>
        <w:rPr>
          <w:rFonts w:hint="default"/>
          <w:lang w:val="en-US"/>
        </w:rPr>
      </w:pPr>
    </w:p>
    <w:p>
      <w:pPr>
        <w:pStyle w:val="2"/>
        <w:keepNext w:val="0"/>
        <w:keepLines w:val="0"/>
        <w:pageBreakBefore w:val="0"/>
        <w:widowControl w:val="0"/>
        <w:kinsoku/>
        <w:wordWrap/>
        <w:overflowPunct/>
        <w:topLinePunct w:val="0"/>
        <w:autoSpaceDE/>
        <w:autoSpaceDN/>
        <w:bidi w:val="0"/>
        <w:adjustRightInd/>
        <w:snapToGrid/>
        <w:spacing w:after="0" w:afterLines="0"/>
        <w:textAlignment w:val="auto"/>
        <w:rPr>
          <w:rFonts w:ascii="宋体" w:hAnsi="宋体" w:eastAsia="宋体" w:cs="宋体"/>
          <w:sz w:val="24"/>
          <w:szCs w:val="24"/>
        </w:rPr>
      </w:pPr>
      <w:r>
        <w:rPr>
          <w:rFonts w:ascii="宋体" w:hAnsi="宋体" w:eastAsia="宋体" w:cs="宋体"/>
          <w:sz w:val="24"/>
          <w:szCs w:val="24"/>
        </w:rPr>
        <w:t>在拆迁补偿模型中，我们引入了多个关键因素，包括面积、采光、临街、邻里关系、社区因素和交通便利性。</w:t>
      </w:r>
    </w:p>
    <w:p>
      <w:pPr>
        <w:bidi w:val="0"/>
        <w:ind w:left="0" w:leftChars="0" w:firstLine="0" w:firstLineChars="0"/>
      </w:pPr>
      <w:r>
        <w:t>1．目标地块面积约束：对于每个居民，其目标地块的面积必须满足以下条件：</w:t>
      </w:r>
    </w:p>
    <w:p>
      <w:pPr>
        <w:bidi w:val="0"/>
      </w:pPr>
      <m:oMathPara>
        <m:oMath>
          <m:sSub>
            <m:sSubPr/>
            <m:e>
              <m:r>
                <m:rPr>
                  <m:sty m:val="p"/>
                </m:rPr>
                <w:rPr>
                  <w:rFonts w:ascii="Cambria Math" w:hAnsi="Cambria Math"/>
                </w:rPr>
                <m:t>A</m:t>
              </m:r>
            </m:e>
            <m:sub>
              <m:r>
                <m:rPr>
                  <m:nor/>
                  <m:sty m:val="p"/>
                </m:rPr>
                <w:rPr>
                  <w:rFonts w:ascii="Cambria Math" w:hAnsi="Cambria Math"/>
                  <w:b w:val="0"/>
                  <w:i w:val="0"/>
                </w:rPr>
                <m:t>target </m:t>
              </m:r>
            </m:sub>
          </m:sSub>
          <m:r>
            <m:rPr>
              <m:sty m:val="p"/>
            </m:rPr>
            <w:rPr>
              <w:rFonts w:ascii="Cambria Math" w:hAnsi="Cambria Math"/>
            </w:rPr>
            <m:t>&gt;</m:t>
          </m:r>
          <m:sSub>
            <m:sSubPr/>
            <m:e>
              <m:r>
                <m:rPr>
                  <m:sty m:val="p"/>
                </m:rPr>
                <w:rPr>
                  <w:rFonts w:ascii="Cambria Math" w:hAnsi="Cambria Math"/>
                </w:rPr>
                <m:t>A</m:t>
              </m:r>
            </m:e>
            <m:sub>
              <m:r>
                <m:rPr>
                  <m:nor/>
                  <m:sty m:val="p"/>
                </m:rPr>
                <w:rPr>
                  <w:rFonts w:ascii="Cambria Math" w:hAnsi="Cambria Math"/>
                  <w:b w:val="0"/>
                  <w:i w:val="0"/>
                </w:rPr>
                <m:t>resident </m:t>
              </m:r>
            </m:sub>
          </m:sSub>
          <m:r>
            <m:rPr>
              <m:sty m:val="p"/>
            </m:rPr>
            <w:rPr>
              <w:rFonts w:ascii="Cambria Math" w:hAnsi="Cambria Math"/>
            </w:rPr>
            <m:t xml:space="preserve">  且  </m:t>
          </m:r>
          <m:sSub>
            <m:sSubPr/>
            <m:e>
              <m:r>
                <m:rPr>
                  <m:sty m:val="p"/>
                </m:rPr>
                <w:rPr>
                  <w:rFonts w:ascii="Cambria Math" w:hAnsi="Cambria Math"/>
                </w:rPr>
                <m:t>A</m:t>
              </m:r>
            </m:e>
            <m:sub>
              <m:r>
                <m:rPr>
                  <m:nor/>
                  <m:sty m:val="p"/>
                </m:rPr>
                <w:rPr>
                  <w:rFonts w:ascii="Cambria Math" w:hAnsi="Cambria Math"/>
                  <w:b w:val="0"/>
                  <w:i w:val="0"/>
                </w:rPr>
                <m:t>target </m:t>
              </m:r>
            </m:sub>
          </m:sSub>
          <m:r>
            <m:rPr>
              <m:sty m:val="p"/>
            </m:rPr>
            <w:rPr>
              <w:rFonts w:ascii="Cambria Math" w:hAnsi="Cambria Math"/>
            </w:rPr>
            <m:t>≤1.3×</m:t>
          </m:r>
          <m:sSub>
            <m:sSubPr/>
            <m:e>
              <m:r>
                <m:rPr>
                  <m:sty m:val="p"/>
                </m:rPr>
                <w:rPr>
                  <w:rFonts w:ascii="Cambria Math" w:hAnsi="Cambria Math"/>
                </w:rPr>
                <m:t>A</m:t>
              </m:r>
            </m:e>
            <m:sub>
              <m:r>
                <m:rPr>
                  <m:nor/>
                  <m:sty m:val="p"/>
                </m:rPr>
                <w:rPr>
                  <w:rFonts w:ascii="Cambria Math" w:hAnsi="Cambria Math"/>
                  <w:b w:val="0"/>
                  <w:i w:val="0"/>
                </w:rPr>
                <m:t>resident </m:t>
              </m:r>
            </m:sub>
          </m:sSub>
        </m:oMath>
      </m:oMathPara>
    </w:p>
    <w:p>
      <w:pPr>
        <w:bidi w:val="0"/>
      </w:pPr>
      <w:r>
        <w:t>其中，</w:t>
      </w:r>
      <m:oMath>
        <m:sSub>
          <m:sSubPr/>
          <m:e>
            <m:r>
              <m:rPr>
                <m:sty m:val="p"/>
              </m:rPr>
              <w:rPr>
                <w:rFonts w:ascii="Cambria Math" w:hAnsi="Cambria Math"/>
              </w:rPr>
              <m:t>A</m:t>
            </m:r>
          </m:e>
          <m:sub>
            <m:r>
              <m:rPr>
                <m:nor/>
                <m:sty m:val="p"/>
              </m:rPr>
              <w:rPr>
                <w:rFonts w:ascii="Cambria Math" w:hAnsi="Cambria Math"/>
                <w:b w:val="0"/>
                <w:i w:val="0"/>
              </w:rPr>
              <m:t>target </m:t>
            </m:r>
          </m:sub>
        </m:sSub>
      </m:oMath>
      <w:r>
        <w:t xml:space="preserve"> 是目标地块的面积，</w:t>
      </w:r>
      <m:oMath>
        <m:sSub>
          <m:sSubPr/>
          <m:e>
            <m:r>
              <m:rPr>
                <m:sty m:val="p"/>
              </m:rPr>
              <w:rPr>
                <w:rFonts w:ascii="Cambria Math" w:hAnsi="Cambria Math"/>
              </w:rPr>
              <m:t>A</m:t>
            </m:r>
          </m:e>
          <m:sub>
            <m:r>
              <m:rPr>
                <m:nor/>
                <m:sty m:val="p"/>
              </m:rPr>
              <w:rPr>
                <w:rFonts w:ascii="Cambria Math" w:hAnsi="Cambria Math"/>
                <w:b w:val="0"/>
                <w:i w:val="0"/>
              </w:rPr>
              <m:t>resident </m:t>
            </m:r>
          </m:sub>
        </m:sSub>
      </m:oMath>
      <w:r>
        <w:t xml:space="preserve"> 是居民当前地块的面积。</w:t>
      </w:r>
      <w:r>
        <w:br w:type="textWrapping"/>
      </w:r>
      <w:r>
        <w:t xml:space="preserve">2．目标地块的采光条件：目标地块的朝向必须满足采光条件不低于现有地块。假设现有地块的采光评分为 </w:t>
      </w:r>
      <m:oMath>
        <m:sSub>
          <m:sSubPr/>
          <m:e>
            <m:r>
              <m:rPr>
                <m:sty m:val="p"/>
              </m:rPr>
              <w:rPr>
                <w:rFonts w:ascii="Cambria Math" w:hAnsi="Cambria Math"/>
              </w:rPr>
              <m:t>C</m:t>
            </m:r>
          </m:e>
          <m:sub>
            <m:r>
              <m:rPr>
                <m:nor/>
                <m:sty m:val="p"/>
              </m:rPr>
              <w:rPr>
                <w:rFonts w:ascii="Cambria Math" w:hAnsi="Cambria Math"/>
                <w:b w:val="0"/>
                <w:i w:val="0"/>
              </w:rPr>
              <m:t>resident，</m:t>
            </m:r>
          </m:sub>
        </m:sSub>
      </m:oMath>
      <w:r>
        <w:t xml:space="preserve"> ，目标地块的采光评分为 </w:t>
      </w:r>
      <m:oMath>
        <m:sSub>
          <m:sSubPr/>
          <m:e>
            <m:r>
              <m:rPr>
                <m:sty m:val="p"/>
              </m:rPr>
              <w:rPr>
                <w:rFonts w:ascii="Cambria Math" w:hAnsi="Cambria Math"/>
              </w:rPr>
              <m:t>C</m:t>
            </m:r>
          </m:e>
          <m:sub>
            <m:r>
              <m:rPr>
                <m:nor/>
                <m:sty m:val="p"/>
              </m:rPr>
              <w:rPr>
                <w:rFonts w:ascii="Cambria Math" w:hAnsi="Cambria Math"/>
                <w:b w:val="0"/>
                <w:i w:val="0"/>
              </w:rPr>
              <m:t>target </m:t>
            </m:r>
          </m:sub>
        </m:sSub>
      </m:oMath>
      <w:r>
        <w:t xml:space="preserve"> ，则目标地块应满足：</w:t>
      </w:r>
    </w:p>
    <w:p>
      <w:pPr>
        <w:bidi w:val="0"/>
      </w:pPr>
      <m:oMathPara>
        <m:oMath>
          <m:sSub>
            <m:sSubPr/>
            <m:e>
              <m:r>
                <m:rPr>
                  <m:sty m:val="p"/>
                </m:rPr>
                <w:rPr>
                  <w:rFonts w:ascii="Cambria Math" w:hAnsi="Cambria Math"/>
                </w:rPr>
                <m:t>C</m:t>
              </m:r>
            </m:e>
            <m:sub>
              <m:r>
                <m:rPr>
                  <m:nor/>
                  <m:sty m:val="p"/>
                </m:rPr>
                <w:rPr>
                  <w:rFonts w:ascii="Cambria Math" w:hAnsi="Cambria Math"/>
                  <w:b w:val="0"/>
                  <w:i w:val="0"/>
                </w:rPr>
                <m:t>target </m:t>
              </m:r>
            </m:sub>
          </m:sSub>
          <m:r>
            <m:rPr>
              <m:sty m:val="p"/>
            </m:rPr>
            <w:rPr>
              <w:rFonts w:ascii="Cambria Math" w:hAnsi="Cambria Math"/>
            </w:rPr>
            <m:t>≤</m:t>
          </m:r>
          <m:sSub>
            <m:sSubPr/>
            <m:e>
              <m:r>
                <m:rPr>
                  <m:sty m:val="p"/>
                </m:rPr>
                <w:rPr>
                  <w:rFonts w:ascii="Cambria Math" w:hAnsi="Cambria Math"/>
                </w:rPr>
                <m:t>C</m:t>
              </m:r>
            </m:e>
            <m:sub>
              <m:r>
                <m:rPr>
                  <m:nor/>
                  <m:sty m:val="p"/>
                </m:rPr>
                <w:rPr>
                  <w:rFonts w:ascii="Cambria Math" w:hAnsi="Cambria Math"/>
                  <w:b w:val="0"/>
                  <w:i w:val="0"/>
                </w:rPr>
                <m:t>resident </m:t>
              </m:r>
            </m:sub>
          </m:sSub>
        </m:oMath>
      </m:oMathPara>
    </w:p>
    <w:p>
      <w:pPr>
        <w:bidi w:val="0"/>
      </w:pPr>
      <w:r>
        <w:t>其中，采光评分是根据朝向决定的，正南和正北的采光评分为 1 ，东厢为 2 ，西厢为 3 。</w:t>
      </w:r>
      <w:r>
        <w:br w:type="textWrapping"/>
      </w:r>
      <w:r>
        <w:t xml:space="preserve">3．临街地块的考量：假设临街地块编号为 </w:t>
      </w:r>
      <m:oMath>
        <m:sSub>
          <m:sSubPr/>
          <m:e>
            <m:r>
              <m:rPr>
                <m:sty m:val="p"/>
              </m:rPr>
              <w:rPr>
                <w:rFonts w:ascii="Cambria Math" w:hAnsi="Cambria Math"/>
              </w:rPr>
              <m:t>S</m:t>
            </m:r>
          </m:e>
          <m:sub>
            <m:r>
              <m:rPr>
                <m:nor/>
                <m:sty m:val="p"/>
              </m:rPr>
              <w:rPr>
                <w:rFonts w:ascii="Cambria Math" w:hAnsi="Cambria Math"/>
                <w:b w:val="0"/>
                <w:i w:val="0"/>
              </w:rPr>
              <m:t>streetside，居民当前地块是否临街的判定公式为：</m:t>
            </m:r>
          </m:sub>
        </m:sSub>
      </m:oMath>
    </w:p>
    <w:p>
      <w:pPr>
        <w:bidi w:val="0"/>
      </w:pPr>
      <m:oMathPara>
        <m:oMath>
          <m:sSub>
            <m:sSubPr/>
            <m:e>
              <m:r>
                <m:rPr>
                  <m:nor/>
                  <m:sty m:val="p"/>
                </m:rPr>
                <w:rPr>
                  <w:rFonts w:ascii="Cambria Math" w:hAnsi="Cambria Math"/>
                  <w:b w:val="0"/>
                  <w:i w:val="0"/>
                </w:rPr>
                <m:t> IsStreetside </m:t>
              </m:r>
            </m:e>
            <m:sub>
              <m:r>
                <m:rPr>
                  <m:nor/>
                  <m:sty m:val="p"/>
                </m:rPr>
                <w:rPr>
                  <w:rFonts w:ascii="Cambria Math" w:hAnsi="Cambria Math"/>
                  <w:b w:val="0"/>
                  <w:i w:val="0"/>
                </w:rPr>
                <m:t>resident </m:t>
              </m:r>
            </m:sub>
          </m:sSub>
          <m:r>
            <m:rPr>
              <m:sty m:val="p"/>
            </m:rPr>
            <w:rPr>
              <w:rFonts w:ascii="Cambria Math" w:hAnsi="Cambria Math"/>
            </w:rPr>
            <m:t>=</m:t>
          </m:r>
          <m:d>
            <m:dPr>
              <m:begChr m:val="{"/>
              <m:endChr m:val=""/>
              <m:ctrlPr>
                <w:rPr>
                  <w:rFonts w:ascii="Cambria Math" w:hAnsi="Cambria Math"/>
                </w:rPr>
              </m:ctrlPr>
            </m:dPr>
            <m:e>
              <m:m>
                <m:mPr>
                  <m:mcs>
                    <m:mc>
                      <m:mcPr>
                        <m:count m:val="2"/>
                        <m:mcJc m:val="left"/>
                      </m:mcPr>
                    </m:mc>
                  </m:mcs>
                  <m:plcHide m:val="1"/>
                  <m:ctrlPr>
                    <w:rPr>
                      <w:rFonts w:ascii="Cambria Math" w:hAnsi="Cambria Math"/>
                    </w:rPr>
                  </m:ctrlPr>
                </m:mPr>
                <m:mr>
                  <m:e>
                    <m:r>
                      <m:rPr>
                        <m:sty m:val="p"/>
                      </m:rPr>
                      <w:rPr>
                        <w:rFonts w:ascii="Cambria Math" w:hAnsi="Cambria Math"/>
                      </w:rPr>
                      <m:t>1,</m:t>
                    </m:r>
                    <m:ctrlPr>
                      <w:rPr>
                        <w:rFonts w:ascii="Cambria Math" w:hAnsi="Cambria Math"/>
                      </w:rPr>
                    </m:ctrlPr>
                  </m:e>
                  <m:e>
                    <m:r>
                      <m:rPr>
                        <m:nor/>
                        <m:sty m:val="p"/>
                      </m:rPr>
                      <w:rPr>
                        <w:rFonts w:ascii="Cambria Math" w:hAnsi="Cambria Math"/>
                        <w:b w:val="0"/>
                        <w:i w:val="0"/>
                      </w:rPr>
                      <m:t> 如果该地块是临街地块 </m:t>
                    </m:r>
                    <m:ctrlPr>
                      <w:rPr>
                        <w:rFonts w:ascii="Cambria Math" w:hAnsi="Cambria Math"/>
                      </w:rPr>
                    </m:ctrlPr>
                  </m:e>
                </m:mr>
                <m:mr>
                  <m:e>
                    <m:r>
                      <m:rPr>
                        <m:sty m:val="p"/>
                      </m:rPr>
                      <w:rPr>
                        <w:rFonts w:ascii="Cambria Math" w:hAnsi="Cambria Math"/>
                      </w:rPr>
                      <m:t>0,</m:t>
                    </m:r>
                    <m:ctrlPr>
                      <w:rPr>
                        <w:rFonts w:ascii="Cambria Math" w:hAnsi="Cambria Math"/>
                      </w:rPr>
                    </m:ctrlPr>
                  </m:e>
                  <m:e>
                    <m:r>
                      <m:rPr>
                        <m:nor/>
                        <m:sty m:val="p"/>
                      </m:rPr>
                      <w:rPr>
                        <w:rFonts w:ascii="Cambria Math" w:hAnsi="Cambria Math"/>
                        <w:b w:val="0"/>
                        <w:i w:val="0"/>
                      </w:rPr>
                      <m:t> 如果该地块不是临街地块 </m:t>
                    </m:r>
                    <m:ctrlPr>
                      <w:rPr>
                        <w:rFonts w:ascii="Cambria Math" w:hAnsi="Cambria Math"/>
                      </w:rPr>
                    </m:ctrlPr>
                  </m:e>
                </m:mr>
              </m:m>
              <m:ctrlPr>
                <w:rPr>
                  <w:rFonts w:ascii="Cambria Math" w:hAnsi="Cambria Math"/>
                </w:rPr>
              </m:ctrlPr>
            </m:e>
          </m:d>
        </m:oMath>
      </m:oMathPara>
    </w:p>
    <w:p>
      <w:pPr>
        <w:bidi w:val="0"/>
      </w:pPr>
      <w:r>
        <w:t>同理，目标地块是否临街的判断公式为：</w:t>
      </w:r>
    </w:p>
    <w:p>
      <w:pPr>
        <w:bidi w:val="0"/>
        <w:rPr>
          <w:rFonts w:hint="default"/>
          <w:lang w:val="en-US"/>
        </w:rPr>
      </w:pPr>
      <m:oMathPara>
        <m:oMath>
          <m:sSub>
            <m:sSubPr/>
            <m:e>
              <m:r>
                <m:rPr>
                  <m:nor/>
                  <m:sty m:val="p"/>
                </m:rPr>
                <w:rPr>
                  <w:rFonts w:ascii="Cambria Math" w:hAnsi="Cambria Math"/>
                  <w:b w:val="0"/>
                  <w:i w:val="0"/>
                </w:rPr>
                <m:t> IsStreetside </m:t>
              </m:r>
            </m:e>
            <m:sub>
              <m:r>
                <m:rPr>
                  <m:nor/>
                  <m:sty m:val="p"/>
                </m:rPr>
                <w:rPr>
                  <w:rFonts w:ascii="Cambria Math" w:hAnsi="Cambria Math"/>
                  <w:b w:val="0"/>
                  <w:i w:val="0"/>
                </w:rPr>
                <m:t>target </m:t>
              </m:r>
            </m:sub>
          </m:sSub>
          <m:r>
            <m:rPr>
              <m:sty m:val="p"/>
            </m:rPr>
            <w:rPr>
              <w:rFonts w:ascii="Cambria Math" w:hAnsi="Cambria Math"/>
            </w:rPr>
            <m:t>=</m:t>
          </m:r>
          <m:d>
            <m:dPr>
              <m:begChr m:val="{"/>
              <m:endChr m:val=""/>
              <m:ctrlPr>
                <w:rPr>
                  <w:rFonts w:ascii="Cambria Math" w:hAnsi="Cambria Math"/>
                </w:rPr>
              </m:ctrlPr>
            </m:dPr>
            <m:e>
              <m:m>
                <m:mPr>
                  <m:mcs>
                    <m:mc>
                      <m:mcPr>
                        <m:count m:val="2"/>
                        <m:mcJc m:val="left"/>
                      </m:mcPr>
                    </m:mc>
                  </m:mcs>
                  <m:plcHide m:val="1"/>
                  <m:ctrlPr>
                    <w:rPr>
                      <w:rFonts w:ascii="Cambria Math" w:hAnsi="Cambria Math"/>
                    </w:rPr>
                  </m:ctrlPr>
                </m:mPr>
                <m:mr>
                  <m:e>
                    <m:r>
                      <m:rPr>
                        <m:sty m:val="p"/>
                      </m:rPr>
                      <w:rPr>
                        <w:rFonts w:ascii="Cambria Math" w:hAnsi="Cambria Math"/>
                      </w:rPr>
                      <m:t>1,</m:t>
                    </m:r>
                    <m:ctrlPr>
                      <w:rPr>
                        <w:rFonts w:ascii="Cambria Math" w:hAnsi="Cambria Math"/>
                      </w:rPr>
                    </m:ctrlPr>
                  </m:e>
                  <m:e>
                    <m:r>
                      <m:rPr>
                        <m:nor/>
                        <m:sty m:val="p"/>
                      </m:rPr>
                      <w:rPr>
                        <w:rFonts w:ascii="Cambria Math" w:hAnsi="Cambria Math"/>
                        <w:b w:val="0"/>
                        <w:i w:val="0"/>
                      </w:rPr>
                      <m:t> 如果该地块是临街地块 </m:t>
                    </m:r>
                    <m:ctrlPr>
                      <w:rPr>
                        <w:rFonts w:ascii="Cambria Math" w:hAnsi="Cambria Math"/>
                      </w:rPr>
                    </m:ctrlPr>
                  </m:e>
                </m:mr>
                <m:mr>
                  <m:e>
                    <m:r>
                      <m:rPr>
                        <m:sty m:val="p"/>
                      </m:rPr>
                      <w:rPr>
                        <w:rFonts w:ascii="Cambria Math" w:hAnsi="Cambria Math"/>
                      </w:rPr>
                      <m:t>0,</m:t>
                    </m:r>
                    <m:ctrlPr>
                      <w:rPr>
                        <w:rFonts w:ascii="Cambria Math" w:hAnsi="Cambria Math"/>
                      </w:rPr>
                    </m:ctrlPr>
                  </m:e>
                  <m:e>
                    <m:r>
                      <m:rPr>
                        <m:nor/>
                        <m:sty m:val="p"/>
                      </m:rPr>
                      <w:rPr>
                        <w:rFonts w:ascii="Cambria Math" w:hAnsi="Cambria Math"/>
                        <w:b w:val="0"/>
                        <w:i w:val="0"/>
                      </w:rPr>
                      <m:t> 如果该地块不是临街地块 </m:t>
                    </m:r>
                    <m:ctrlPr>
                      <w:rPr>
                        <w:rFonts w:ascii="Cambria Math" w:hAnsi="Cambria Math"/>
                      </w:rPr>
                    </m:ctrlPr>
                  </m:e>
                </m:mr>
              </m:m>
              <m:ctrlPr>
                <w:rPr>
                  <w:rFonts w:ascii="Cambria Math" w:hAnsi="Cambria Math"/>
                </w:rPr>
              </m:ctrlPr>
            </m:e>
          </m:d>
        </m:oMath>
      </m:oMathPara>
    </w:p>
    <w:p>
      <w:pPr>
        <w:bidi w:val="0"/>
      </w:pPr>
      <w:r>
        <w:t>4．邻里关系与社区因素：假设</w:t>
      </w:r>
      <w:r>
        <w:rPr>
          <w:rFonts w:hint="eastAsia"/>
          <w:lang w:val="en-US" w:eastAsia="zh-CN"/>
        </w:rPr>
        <w:t>完成搬迁后附近是否存在原有邻居</w:t>
      </w:r>
      <w:r>
        <w:t xml:space="preserve"> </w:t>
      </w:r>
    </w:p>
    <w:p>
      <w:pPr>
        <w:bidi w:val="0"/>
      </w:pPr>
      <w:r>
        <w:t xml:space="preserve">5．交通便利性：假设交通便利性对目标地块的加权系数为 </w:t>
      </w:r>
      <m:oMath>
        <m:sSub>
          <m:sSubPr/>
          <m:e>
            <m:r>
              <m:rPr>
                <m:sty m:val="p"/>
              </m:rPr>
              <w:rPr>
                <w:rFonts w:ascii="Cambria Math" w:hAnsi="Cambria Math"/>
              </w:rPr>
              <m:t>W</m:t>
            </m:r>
          </m:e>
          <m:sub>
            <m:r>
              <m:rPr>
                <m:nor/>
                <m:sty m:val="p"/>
              </m:rPr>
              <w:rPr>
                <w:rFonts w:ascii="Cambria Math" w:hAnsi="Cambria Math"/>
                <w:b w:val="0"/>
                <w:i w:val="0"/>
              </w:rPr>
              <m:t>transport，其中：</m:t>
            </m:r>
          </m:sub>
        </m:sSub>
      </m:oMath>
    </w:p>
    <w:p>
      <w:pPr>
        <w:bidi w:val="0"/>
      </w:pPr>
      <m:oMathPara>
        <m:oMath>
          <m:sSub>
            <m:sSubPr/>
            <m:e>
              <m:r>
                <m:rPr>
                  <m:sty m:val="p"/>
                </m:rPr>
                <w:rPr>
                  <w:rFonts w:ascii="Cambria Math" w:hAnsi="Cambria Math"/>
                </w:rPr>
                <m:t>W</m:t>
              </m:r>
            </m:e>
            <m:sub>
              <m:r>
                <m:rPr>
                  <m:nor/>
                  <m:sty m:val="p"/>
                </m:rPr>
                <w:rPr>
                  <w:rFonts w:ascii="Cambria Math" w:hAnsi="Cambria Math"/>
                  <w:b w:val="0"/>
                  <w:i w:val="0"/>
                </w:rPr>
                <m:t>transport </m:t>
              </m:r>
            </m:sub>
          </m:sSub>
          <m:r>
            <m:rPr>
              <m:sty m:val="p"/>
            </m:rPr>
            <w:rPr>
              <w:rFonts w:ascii="Cambria Math" w:hAnsi="Cambria Math"/>
            </w:rPr>
            <m:t>=</m:t>
          </m:r>
          <m:d>
            <m:dPr>
              <m:begChr m:val="{"/>
              <m:endChr m:val=""/>
              <m:ctrlPr>
                <w:rPr>
                  <w:rFonts w:ascii="Cambria Math" w:hAnsi="Cambria Math"/>
                </w:rPr>
              </m:ctrlPr>
            </m:dPr>
            <m:e>
              <m:m>
                <m:mPr>
                  <m:mcs>
                    <m:mc>
                      <m:mcPr>
                        <m:count m:val="2"/>
                        <m:mcJc m:val="left"/>
                      </m:mcPr>
                    </m:mc>
                  </m:mcs>
                  <m:plcHide m:val="1"/>
                  <m:ctrlPr>
                    <w:rPr>
                      <w:rFonts w:ascii="Cambria Math" w:hAnsi="Cambria Math"/>
                    </w:rPr>
                  </m:ctrlPr>
                </m:mPr>
                <m:mr>
                  <m:e>
                    <m:r>
                      <m:rPr>
                        <m:sty m:val="p"/>
                      </m:rPr>
                      <w:rPr>
                        <w:rFonts w:ascii="Cambria Math" w:hAnsi="Cambria Math"/>
                      </w:rPr>
                      <m:t>1,</m:t>
                    </m:r>
                    <m:ctrlPr>
                      <w:rPr>
                        <w:rFonts w:ascii="Cambria Math" w:hAnsi="Cambria Math"/>
                      </w:rPr>
                    </m:ctrlPr>
                  </m:e>
                  <m:e>
                    <m:r>
                      <m:rPr>
                        <m:nor/>
                        <m:sty m:val="p"/>
                      </m:rPr>
                      <w:rPr>
                        <w:rFonts w:ascii="Cambria Math" w:hAnsi="Cambria Math"/>
                        <w:b w:val="0"/>
                        <w:i w:val="0"/>
                      </w:rPr>
                      <m:t> 如果目标地块交通便利 </m:t>
                    </m:r>
                    <m:ctrlPr>
                      <w:rPr>
                        <w:rFonts w:ascii="Cambria Math" w:hAnsi="Cambria Math"/>
                      </w:rPr>
                    </m:ctrlPr>
                  </m:e>
                </m:mr>
                <m:mr>
                  <m:e>
                    <m:r>
                      <m:rPr>
                        <m:sty m:val="p"/>
                      </m:rPr>
                      <w:rPr>
                        <w:rFonts w:ascii="Cambria Math" w:hAnsi="Cambria Math"/>
                      </w:rPr>
                      <m:t>0,</m:t>
                    </m:r>
                    <m:ctrlPr>
                      <w:rPr>
                        <w:rFonts w:ascii="Cambria Math" w:hAnsi="Cambria Math"/>
                      </w:rPr>
                    </m:ctrlPr>
                  </m:e>
                  <m:e>
                    <m:r>
                      <m:rPr>
                        <m:nor/>
                        <m:sty m:val="p"/>
                      </m:rPr>
                      <w:rPr>
                        <w:rFonts w:ascii="Cambria Math" w:hAnsi="Cambria Math"/>
                        <w:b w:val="0"/>
                        <w:i w:val="0"/>
                      </w:rPr>
                      <m:t> 如果目标地块交通不便利 </m:t>
                    </m:r>
                    <m:ctrlPr>
                      <w:rPr>
                        <w:rFonts w:ascii="Cambria Math" w:hAnsi="Cambria Math"/>
                      </w:rPr>
                    </m:ctrlPr>
                  </m:e>
                </m:mr>
              </m:m>
              <m:ctrlPr>
                <w:rPr>
                  <w:rFonts w:ascii="Cambria Math" w:hAnsi="Cambria Math"/>
                </w:rPr>
              </m:ctrlPr>
            </m:e>
          </m:d>
        </m:oMath>
      </m:oMathPara>
    </w:p>
    <w:p>
      <w:pPr>
        <w:bidi w:val="0"/>
      </w:pPr>
      <w:r>
        <w:t>目标地块的总得分可以表示为加权和：</w:t>
      </w:r>
      <w:r>
        <w:br w:type="textWrapping"/>
      </w:r>
      <w:r>
        <w:t xml:space="preserve">Score </w:t>
      </w:r>
      <m:oMath>
        <m:sSub>
          <m:sSubPr/>
          <m:e>
            <m:r>
              <m:rPr>
                <m:sty m:val="p"/>
              </m:rPr>
              <w:rPr>
                <w:rFonts w:ascii="Cambria Math" w:hAnsi="Cambria Math"/>
              </w:rPr>
              <m:t xml:space="preserve"> </m:t>
            </m:r>
          </m:e>
          <m:sub>
            <m:r>
              <m:rPr>
                <m:nor/>
                <m:sty m:val="p"/>
              </m:rPr>
              <w:rPr>
                <w:rFonts w:ascii="Cambria Math" w:hAnsi="Cambria Math"/>
                <w:b w:val="0"/>
                <w:i w:val="0"/>
              </w:rPr>
              <m:t>target </m:t>
            </m:r>
          </m:sub>
        </m:sSub>
        <m:r>
          <m:rPr>
            <m:sty m:val="p"/>
          </m:rPr>
          <w:rPr>
            <w:rFonts w:ascii="Cambria Math" w:hAnsi="Cambria Math"/>
          </w:rPr>
          <m:t>=</m:t>
        </m:r>
        <m:sSub>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e>
            <m:r>
              <m:rPr>
                <m:sty m:val="p"/>
              </m:rPr>
              <w:rPr>
                <w:rFonts w:ascii="Cambria Math" w:hAnsi="Cambria Math"/>
              </w:rPr>
              <m:t>A</m:t>
            </m:r>
          </m:e>
          <m:sub>
            <m:r>
              <m:rPr>
                <m:nor/>
                <m:sty m:val="p"/>
              </m:rPr>
              <w:rPr>
                <w:rFonts w:ascii="Cambria Math" w:hAnsi="Cambria Math"/>
                <w:b w:val="0"/>
                <w:i w:val="0"/>
              </w:rPr>
              <m:t>target </m:t>
            </m:r>
          </m:sub>
        </m:sSub>
        <m:r>
          <m:rPr>
            <m:sty m:val="p"/>
          </m:rPr>
          <w:rPr>
            <w:rFonts w:ascii="Cambria Math" w:hAnsi="Cambria Math"/>
          </w:rPr>
          <m:t>+</m:t>
        </m:r>
        <m:sSub>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e>
            <m:r>
              <m:rPr>
                <m:sty m:val="p"/>
              </m:rPr>
              <w:rPr>
                <w:rFonts w:ascii="Cambria Math" w:hAnsi="Cambria Math"/>
              </w:rPr>
              <m:t>C</m:t>
            </m:r>
          </m:e>
          <m:sub>
            <m:r>
              <m:rPr>
                <m:nor/>
                <m:sty m:val="p"/>
              </m:rPr>
              <w:rPr>
                <w:rFonts w:ascii="Cambria Math" w:hAnsi="Cambria Math"/>
                <w:b w:val="0"/>
                <w:i w:val="0"/>
              </w:rPr>
              <m:t>target </m:t>
            </m:r>
          </m:sub>
        </m:sSub>
        <m:r>
          <m:rPr>
            <m:sty m:val="p"/>
          </m:rPr>
          <w:rPr>
            <w:rFonts w:ascii="Cambria Math" w:hAnsi="Cambria Math"/>
          </w:rPr>
          <m:t>+</m:t>
        </m:r>
        <m:sSub>
          <m:sSubPr/>
          <m:e>
            <m:r>
              <m:rPr>
                <m:sty m:val="p"/>
              </m:rPr>
              <w:rPr>
                <w:rFonts w:ascii="Cambria Math" w:hAnsi="Cambria Math"/>
              </w:rPr>
              <m:t>w</m:t>
            </m:r>
          </m:e>
          <m:sub>
            <m:r>
              <m:rPr>
                <m:sty m:val="p"/>
              </m:rPr>
              <w:rPr>
                <w:rFonts w:ascii="Cambria Math" w:hAnsi="Cambria Math"/>
              </w:rPr>
              <m:t>3</m:t>
            </m:r>
          </m:sub>
        </m:sSub>
        <m:r>
          <m:rPr>
            <m:sty m:val="p"/>
          </m:rPr>
          <w:rPr>
            <w:rFonts w:ascii="Cambria Math" w:hAnsi="Cambria Math"/>
          </w:rPr>
          <m:t>×</m:t>
        </m:r>
      </m:oMath>
      <w:r>
        <w:t xml:space="preserve"> IsStreetside </w:t>
      </w:r>
      <m:oMath>
        <m:sSub>
          <m:sSubPr/>
          <m:e>
            <m:r>
              <m:rPr>
                <m:sty m:val="p"/>
              </m:rPr>
              <w:rPr>
                <w:rFonts w:ascii="Cambria Math" w:hAnsi="Cambria Math"/>
              </w:rPr>
              <m:t xml:space="preserve"> </m:t>
            </m:r>
          </m:e>
          <m:sub>
            <m:r>
              <m:rPr>
                <m:nor/>
                <m:sty m:val="p"/>
              </m:rPr>
              <w:rPr>
                <w:rFonts w:ascii="Cambria Math" w:hAnsi="Cambria Math"/>
                <w:b w:val="0"/>
                <w:i w:val="0"/>
              </w:rPr>
              <m:t>target </m:t>
            </m:r>
          </m:sub>
        </m:sSub>
        <m:r>
          <m:rPr>
            <m:sty m:val="p"/>
          </m:rPr>
          <w:rPr>
            <w:rFonts w:ascii="Cambria Math" w:hAnsi="Cambria Math"/>
          </w:rPr>
          <m:t>+</m:t>
        </m:r>
        <m:sSub>
          <m:sSubPr/>
          <m:e>
            <m:r>
              <m:rPr>
                <m:sty m:val="p"/>
              </m:rPr>
              <w:rPr>
                <w:rFonts w:ascii="Cambria Math" w:hAnsi="Cambria Math"/>
              </w:rPr>
              <m:t>W</m:t>
            </m:r>
          </m:e>
          <m:sub>
            <m:r>
              <m:rPr>
                <m:nor/>
                <m:sty m:val="p"/>
              </m:rPr>
              <w:rPr>
                <w:rFonts w:ascii="Cambria Math" w:hAnsi="Cambria Math"/>
                <w:b w:val="0"/>
                <w:i w:val="0"/>
              </w:rPr>
              <m:t>neighborhood </m:t>
            </m:r>
          </m:sub>
        </m:sSub>
        <m:r>
          <m:rPr>
            <m:sty m:val="p"/>
          </m:rPr>
          <w:rPr>
            <w:rFonts w:ascii="Cambria Math" w:hAnsi="Cambria Math"/>
          </w:rPr>
          <m:t>+</m:t>
        </m:r>
        <m:sSub>
          <m:sSubPr/>
          <m:e>
            <m:r>
              <m:rPr>
                <m:sty m:val="p"/>
              </m:rPr>
              <w:rPr>
                <w:rFonts w:ascii="Cambria Math" w:hAnsi="Cambria Math"/>
              </w:rPr>
              <m:t>W</m:t>
            </m:r>
          </m:e>
          <m:sub>
            <m:r>
              <m:rPr>
                <m:nor/>
                <m:sty m:val="p"/>
              </m:rPr>
              <w:rPr>
                <w:rFonts w:ascii="Cambria Math" w:hAnsi="Cambria Math"/>
                <w:b w:val="0"/>
                <w:i w:val="0"/>
              </w:rPr>
              <m:t>transport </m:t>
            </m:r>
          </m:sub>
        </m:sSub>
      </m:oMath>
      <w:r>
        <w:br w:type="textWrapping"/>
      </w:r>
      <w:r>
        <w:t>其中，</w:t>
      </w:r>
      <m:oMath>
        <m:sSub>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e>
            <m:r>
              <m:rPr>
                <m:sty m:val="p"/>
              </m:rPr>
              <w:rPr>
                <w:rFonts w:ascii="Cambria Math" w:hAnsi="Cambria Math"/>
              </w:rPr>
              <m:t>w</m:t>
            </m:r>
          </m:e>
          <m:sub>
            <m:r>
              <m:rPr>
                <m:sty m:val="p"/>
              </m:rPr>
              <w:rPr>
                <w:rFonts w:ascii="Cambria Math" w:hAnsi="Cambria Math"/>
              </w:rPr>
              <m:t>3</m:t>
            </m:r>
          </m:sub>
        </m:sSub>
      </m:oMath>
      <w:r>
        <w:t xml:space="preserve"> 是面积，采光，临街的权重系数，</w:t>
      </w:r>
      <m:oMath>
        <m:sSub>
          <m:sSubPr/>
          <m:e>
            <m:r>
              <m:rPr>
                <m:sty m:val="p"/>
              </m:rPr>
              <w:rPr>
                <w:rFonts w:ascii="Cambria Math" w:hAnsi="Cambria Math"/>
              </w:rPr>
              <m:t>W</m:t>
            </m:r>
          </m:e>
          <m:sub>
            <m:r>
              <m:rPr>
                <m:nor/>
                <m:sty m:val="p"/>
              </m:rPr>
              <w:rPr>
                <w:rFonts w:ascii="Cambria Math" w:hAnsi="Cambria Math"/>
                <w:b w:val="0"/>
                <w:i w:val="0"/>
              </w:rPr>
              <m:t>neighborhood </m:t>
            </m:r>
          </m:sub>
        </m:sSub>
      </m:oMath>
      <w:r>
        <w:t xml:space="preserve"> 和 </w:t>
      </w:r>
      <m:oMath>
        <m:sSub>
          <m:sSubPr/>
          <m:e>
            <m:r>
              <m:rPr>
                <m:sty m:val="p"/>
              </m:rPr>
              <w:rPr>
                <w:rFonts w:ascii="Cambria Math" w:hAnsi="Cambria Math"/>
              </w:rPr>
              <m:t>W</m:t>
            </m:r>
          </m:e>
          <m:sub>
            <m:r>
              <m:rPr>
                <m:nor/>
                <m:sty m:val="p"/>
              </m:rPr>
              <w:rPr>
                <w:rFonts w:ascii="Cambria Math" w:hAnsi="Cambria Math"/>
                <w:b w:val="0"/>
                <w:i w:val="0"/>
              </w:rPr>
              <m:t>transport </m:t>
            </m:r>
          </m:sub>
        </m:sSub>
      </m:oMath>
      <w:r>
        <w:t xml:space="preserve"> 分别是邻里关系和交通便利性对目标地块的影响权重。</w:t>
      </w:r>
    </w:p>
    <w:p>
      <w:pPr>
        <w:bidi w:val="0"/>
      </w:pPr>
      <w:r>
        <w:t xml:space="preserve">6．补偿计算：最终，居民的补偿金额 </w:t>
      </w:r>
      <m:oMath>
        <m:sSub>
          <m:sSubPr/>
          <m:e>
            <m:r>
              <m:rPr>
                <m:sty m:val="p"/>
              </m:rPr>
              <w:rPr>
                <w:rFonts w:ascii="Cambria Math" w:hAnsi="Cambria Math"/>
              </w:rPr>
              <m:t>C</m:t>
            </m:r>
          </m:e>
          <m:sub>
            <m:r>
              <m:rPr>
                <m:nor/>
                <m:sty m:val="p"/>
              </m:rPr>
              <w:rPr>
                <w:rFonts w:ascii="Cambria Math" w:hAnsi="Cambria Math"/>
                <w:b w:val="0"/>
                <w:i w:val="0"/>
              </w:rPr>
              <m:t>compensation </m:t>
            </m:r>
          </m:sub>
        </m:sSub>
      </m:oMath>
      <w:r>
        <w:t xml:space="preserve"> 将结合面积，采光，临街，邻里关系和交通便利性等因素计算得出。对于符合条件的目标地块，补偿金额可能包含修缮补偿，计算公式如下：</w:t>
      </w:r>
    </w:p>
    <w:p>
      <w:pPr>
        <w:bidi w:val="0"/>
      </w:pPr>
      <m:oMathPara>
        <m:oMath>
          <m:sSub>
            <m:sSubPr/>
            <m:e>
              <m:r>
                <m:rPr>
                  <m:sty m:val="p"/>
                </m:rPr>
                <w:rPr>
                  <w:rFonts w:ascii="Cambria Math" w:hAnsi="Cambria Math"/>
                </w:rPr>
                <m:t>C</m:t>
              </m:r>
            </m:e>
            <m:sub>
              <m:r>
                <m:rPr>
                  <m:nor/>
                  <m:sty m:val="p"/>
                </m:rPr>
                <w:rPr>
                  <w:rFonts w:ascii="Cambria Math" w:hAnsi="Cambria Math"/>
                  <w:b w:val="0"/>
                  <w:i w:val="0"/>
                </w:rPr>
                <m:t>compensation </m:t>
              </m:r>
            </m:sub>
          </m:sSub>
          <m:r>
            <m:rPr>
              <m:sty m:val="p"/>
            </m:rPr>
            <w:rPr>
              <w:rFonts w:ascii="Cambria Math" w:hAnsi="Cambria Math"/>
            </w:rPr>
            <m:t>= Base Compensation </m:t>
          </m:r>
          <m:r>
            <m:rPr>
              <m:nor/>
              <m:sty m:val="p"/>
            </m:rPr>
            <w:rPr>
              <w:rFonts w:hint="eastAsia" w:ascii="Cambria Math" w:hAnsi="Cambria Math"/>
              <w:b w:val="0"/>
              <w:i w:val="0"/>
              <w:lang w:eastAsia="zh-CN"/>
            </w:rPr>
            <m:t>————</m:t>
          </m:r>
          <m:r>
            <m:rPr>
              <m:nor/>
              <m:sty m:val="p"/>
            </m:rPr>
            <w:rPr>
              <w:rFonts w:ascii="Cambria Math" w:hAnsi="Cambria Math"/>
              <w:b w:val="0"/>
              <w:i w:val="0"/>
            </w:rPr>
            <m:t> 修缮补偿 </m:t>
          </m:r>
        </m:oMath>
      </m:oMathPara>
    </w:p>
    <w:p>
      <w:pPr>
        <w:bidi w:val="0"/>
        <w:rPr>
          <w:rFonts w:hint="default"/>
        </w:rPr>
      </w:pPr>
      <w:r>
        <w:t>其中，修善补偿最多为20万元，修善补偿的决</w:t>
      </w:r>
      <w:r>
        <w:rPr>
          <w:rFonts w:ascii="Georgia" w:hAnsi="Georgia" w:eastAsia="Georgia" w:cs="Georgia"/>
        </w:rPr>
        <w:t>策取决于目标地块的最终得分</w:t>
      </w:r>
    </w:p>
    <w:bookmarkEnd w:id="106"/>
    <w:p>
      <w:pPr>
        <w:pStyle w:val="5"/>
        <w:bidi w:val="0"/>
        <w:rPr>
          <w:rFonts w:hint="eastAsia" w:cs="Times New Roman"/>
          <w:lang w:val="en-US" w:eastAsia="zh-CN"/>
        </w:rPr>
      </w:pPr>
      <w:bookmarkStart w:id="107" w:name="_Toc30777"/>
      <w:r>
        <w:rPr>
          <w:rFonts w:hint="default" w:ascii="Times New Roman" w:hAnsi="Times New Roman" w:cs="Times New Roman"/>
        </w:rPr>
        <w:br w:type="textWrapping"/>
      </w:r>
      <w:r>
        <w:rPr>
          <w:rFonts w:hint="eastAsia" w:ascii="Times New Roman" w:hAnsi="Times New Roman" w:cs="Times New Roman"/>
          <w:lang w:val="en-US" w:eastAsia="zh-CN"/>
        </w:rPr>
        <w:t>5.2.3</w:t>
      </w:r>
      <w:r>
        <w:rPr>
          <w:rFonts w:hint="eastAsia" w:cs="Times New Roman"/>
          <w:lang w:val="en-US" w:eastAsia="zh-CN"/>
        </w:rPr>
        <w:t>评价模型构建</w:t>
      </w:r>
      <w:bookmarkEnd w:id="107"/>
    </w:p>
    <w:p>
      <w:pPr>
        <w:bidi w:val="0"/>
        <w:rPr>
          <w:rFonts w:hint="eastAsia"/>
        </w:rPr>
      </w:pPr>
      <w:r>
        <w:rPr>
          <w:rFonts w:hint="eastAsia" w:cs="Times New Roman"/>
          <w:lang w:val="en-US" w:eastAsia="zh-CN"/>
        </w:rPr>
        <w:br w:type="textWrapping"/>
      </w:r>
      <w:r>
        <w:rPr>
          <w:rFonts w:hint="eastAsia"/>
        </w:rPr>
        <w:t xml:space="preserve">Score </w:t>
      </w:r>
      <m:oMath>
        <m:sSub>
          <m:sSubPr>
            <m:ctrlPr>
              <w:rPr>
                <w:rFonts w:hint="eastAsia" w:ascii="Cambria Math" w:hAnsi="Cambria Math"/>
              </w:rPr>
            </m:ctrlPr>
          </m:sSubPr>
          <m:e>
            <m:r>
              <m:rPr>
                <m:sty m:val="p"/>
              </m:rPr>
              <w:rPr>
                <w:rFonts w:hint="eastAsia" w:ascii="Cambria Math" w:hAnsi="Cambria Math"/>
              </w:rPr>
              <m:t xml:space="preserve"> </m:t>
            </m:r>
            <m:ctrlPr>
              <w:rPr>
                <w:rFonts w:hint="eastAsia" w:ascii="Cambria Math" w:hAnsi="Cambria Math"/>
              </w:rPr>
            </m:ctrlPr>
          </m:e>
          <m:sub>
            <m:r>
              <m:rPr>
                <m:nor/>
                <m:sty m:val="p"/>
              </m:rPr>
              <w:rPr>
                <w:rFonts w:hint="eastAsia" w:ascii="Cambria Math" w:hAnsi="Cambria Math"/>
                <w:b w:val="0"/>
                <w:i w:val="0"/>
              </w:rPr>
              <m:t>target </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w</m:t>
            </m:r>
            <m:ctrlPr>
              <w:rPr>
                <w:rFonts w:hint="eastAsia" w:ascii="Cambria Math" w:hAnsi="Cambria Math"/>
              </w:rPr>
            </m:ctrlPr>
          </m:e>
          <m:sub>
            <m:r>
              <m:rPr>
                <m:sty m:val="p"/>
              </m:rPr>
              <w:rPr>
                <w:rFonts w:hint="eastAsia" w:ascii="Cambria Math" w:hAnsi="Cambria Math"/>
              </w:rPr>
              <m:t>1</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A</m:t>
            </m:r>
            <m:ctrlPr>
              <w:rPr>
                <w:rFonts w:hint="eastAsia" w:ascii="Cambria Math" w:hAnsi="Cambria Math"/>
              </w:rPr>
            </m:ctrlPr>
          </m:e>
          <m:sub>
            <m:r>
              <m:rPr>
                <m:nor/>
                <m:sty m:val="p"/>
              </m:rPr>
              <w:rPr>
                <w:rFonts w:hint="eastAsia" w:ascii="Cambria Math" w:hAnsi="Cambria Math"/>
                <w:b w:val="0"/>
                <w:i w:val="0"/>
              </w:rPr>
              <m:t>target </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w</m:t>
            </m:r>
            <m:ctrlPr>
              <w:rPr>
                <w:rFonts w:hint="eastAsia" w:ascii="Cambria Math" w:hAnsi="Cambria Math"/>
              </w:rPr>
            </m:ctrlPr>
          </m:e>
          <m:sub>
            <m:r>
              <m:rPr>
                <m:sty m:val="p"/>
              </m:rPr>
              <w:rPr>
                <w:rFonts w:hint="eastAsia" w:ascii="Cambria Math" w:hAnsi="Cambria Math"/>
              </w:rPr>
              <m:t>2</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C</m:t>
            </m:r>
            <m:ctrlPr>
              <w:rPr>
                <w:rFonts w:hint="eastAsia" w:ascii="Cambria Math" w:hAnsi="Cambria Math"/>
              </w:rPr>
            </m:ctrlPr>
          </m:e>
          <m:sub>
            <m:r>
              <m:rPr>
                <m:nor/>
                <m:sty m:val="p"/>
              </m:rPr>
              <w:rPr>
                <w:rFonts w:hint="eastAsia" w:ascii="Cambria Math" w:hAnsi="Cambria Math"/>
                <w:b w:val="0"/>
                <w:i w:val="0"/>
              </w:rPr>
              <m:t>target </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w</m:t>
            </m:r>
            <m:ctrlPr>
              <w:rPr>
                <w:rFonts w:hint="eastAsia" w:ascii="Cambria Math" w:hAnsi="Cambria Math"/>
              </w:rPr>
            </m:ctrlPr>
          </m:e>
          <m:sub>
            <m:r>
              <m:rPr>
                <m:sty m:val="p"/>
              </m:rPr>
              <w:rPr>
                <w:rFonts w:hint="eastAsia" w:ascii="Cambria Math" w:hAnsi="Cambria Math"/>
              </w:rPr>
              <m:t>3</m:t>
            </m:r>
            <m:ctrlPr>
              <w:rPr>
                <w:rFonts w:hint="eastAsia" w:ascii="Cambria Math" w:hAnsi="Cambria Math"/>
              </w:rPr>
            </m:ctrlPr>
          </m:sub>
        </m:sSub>
        <m:r>
          <m:rPr>
            <m:sty m:val="p"/>
          </m:rPr>
          <w:rPr>
            <w:rFonts w:hint="eastAsia" w:ascii="Cambria Math" w:hAnsi="Cambria Math"/>
          </w:rPr>
          <m:t>×</m:t>
        </m:r>
      </m:oMath>
      <w:r>
        <w:rPr>
          <w:rFonts w:hint="eastAsia"/>
        </w:rPr>
        <w:t xml:space="preserve"> IsStreetside </w:t>
      </w:r>
      <m:oMath>
        <m:sSub>
          <m:sSubPr>
            <m:ctrlPr>
              <w:rPr>
                <w:rFonts w:hint="eastAsia" w:ascii="Cambria Math" w:hAnsi="Cambria Math"/>
              </w:rPr>
            </m:ctrlPr>
          </m:sSubPr>
          <m:e>
            <m:r>
              <m:rPr>
                <m:sty m:val="p"/>
              </m:rPr>
              <w:rPr>
                <w:rFonts w:hint="eastAsia" w:ascii="Cambria Math" w:hAnsi="Cambria Math"/>
              </w:rPr>
              <m:t xml:space="preserve"> </m:t>
            </m:r>
            <m:ctrlPr>
              <w:rPr>
                <w:rFonts w:hint="eastAsia" w:ascii="Cambria Math" w:hAnsi="Cambria Math"/>
              </w:rPr>
            </m:ctrlPr>
          </m:e>
          <m:sub>
            <m:r>
              <m:rPr>
                <m:nor/>
                <m:sty m:val="p"/>
              </m:rPr>
              <w:rPr>
                <w:rFonts w:hint="eastAsia" w:ascii="Cambria Math" w:hAnsi="Cambria Math"/>
                <w:b w:val="0"/>
                <w:i w:val="0"/>
              </w:rPr>
              <m:t>target </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W</m:t>
            </m:r>
            <m:ctrlPr>
              <w:rPr>
                <w:rFonts w:hint="eastAsia" w:ascii="Cambria Math" w:hAnsi="Cambria Math"/>
              </w:rPr>
            </m:ctrlPr>
          </m:e>
          <m:sub>
            <m:r>
              <m:rPr>
                <m:nor/>
                <m:sty m:val="p"/>
              </m:rPr>
              <w:rPr>
                <w:rFonts w:hint="eastAsia" w:ascii="Cambria Math" w:hAnsi="Cambria Math"/>
                <w:b w:val="0"/>
                <w:i w:val="0"/>
              </w:rPr>
              <m:t>neighborhood </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W</m:t>
            </m:r>
            <m:ctrlPr>
              <w:rPr>
                <w:rFonts w:hint="eastAsia" w:ascii="Cambria Math" w:hAnsi="Cambria Math"/>
              </w:rPr>
            </m:ctrlPr>
          </m:e>
          <m:sub>
            <m:r>
              <m:rPr>
                <m:nor/>
                <m:sty m:val="p"/>
              </m:rPr>
              <w:rPr>
                <w:rFonts w:hint="eastAsia" w:ascii="Cambria Math" w:hAnsi="Cambria Math"/>
                <w:b w:val="0"/>
                <w:i w:val="0"/>
              </w:rPr>
              <m:t>transport </m:t>
            </m:r>
            <m:ctrlPr>
              <w:rPr>
                <w:rFonts w:hint="eastAsia" w:ascii="Cambria Math" w:hAnsi="Cambria Math"/>
              </w:rPr>
            </m:ctrlPr>
          </m:sub>
        </m:sSub>
      </m:oMath>
      <w:r>
        <w:rPr>
          <w:rFonts w:hint="eastAsia"/>
        </w:rPr>
        <w:br w:type="textWrapping"/>
      </w:r>
      <w:r>
        <w:rPr>
          <w:rFonts w:hint="eastAsia"/>
        </w:rPr>
        <w:t>其中，</w:t>
      </w:r>
      <m:oMath>
        <m:sSub>
          <m:sSubPr>
            <m:ctrlPr>
              <w:rPr>
                <w:rFonts w:hint="eastAsia" w:ascii="Cambria Math" w:hAnsi="Cambria Math"/>
              </w:rPr>
            </m:ctrlPr>
          </m:sSubPr>
          <m:e>
            <m:r>
              <m:rPr>
                <m:sty m:val="p"/>
              </m:rPr>
              <w:rPr>
                <w:rFonts w:hint="eastAsia" w:ascii="Cambria Math" w:hAnsi="Cambria Math"/>
              </w:rPr>
              <m:t>w</m:t>
            </m:r>
            <m:ctrlPr>
              <w:rPr>
                <w:rFonts w:hint="eastAsia" w:ascii="Cambria Math" w:hAnsi="Cambria Math"/>
              </w:rPr>
            </m:ctrlPr>
          </m:e>
          <m:sub>
            <m:r>
              <m:rPr>
                <m:sty m:val="p"/>
              </m:rPr>
              <w:rPr>
                <w:rFonts w:hint="eastAsia" w:ascii="Cambria Math" w:hAnsi="Cambria Math"/>
              </w:rPr>
              <m:t>1</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w</m:t>
            </m:r>
            <m:ctrlPr>
              <w:rPr>
                <w:rFonts w:hint="eastAsia" w:ascii="Cambria Math" w:hAnsi="Cambria Math"/>
              </w:rPr>
            </m:ctrlPr>
          </m:e>
          <m:sub>
            <m:r>
              <m:rPr>
                <m:sty m:val="p"/>
              </m:rPr>
              <w:rPr>
                <w:rFonts w:hint="eastAsia" w:ascii="Cambria Math" w:hAnsi="Cambria Math"/>
              </w:rPr>
              <m:t>2</m:t>
            </m:r>
            <m:ctrlPr>
              <w:rPr>
                <w:rFonts w:hint="eastAsia" w:ascii="Cambria Math" w:hAnsi="Cambria Math"/>
              </w:rPr>
            </m:ctrlPr>
          </m:sub>
        </m:sSub>
        <m:r>
          <m:rPr>
            <m:sty m:val="p"/>
          </m:rPr>
          <w:rPr>
            <w:rFonts w:hint="eastAsia" w:ascii="Cambria Math" w:hAnsi="Cambria Math"/>
          </w:rPr>
          <m:t>,</m:t>
        </m:r>
        <m:sSub>
          <m:sSubPr>
            <m:ctrlPr>
              <w:rPr>
                <w:rFonts w:hint="eastAsia" w:ascii="Cambria Math" w:hAnsi="Cambria Math"/>
              </w:rPr>
            </m:ctrlPr>
          </m:sSubPr>
          <m:e>
            <m:r>
              <m:rPr>
                <m:sty m:val="p"/>
              </m:rPr>
              <w:rPr>
                <w:rFonts w:hint="eastAsia" w:ascii="Cambria Math" w:hAnsi="Cambria Math"/>
              </w:rPr>
              <m:t>w</m:t>
            </m:r>
            <m:ctrlPr>
              <w:rPr>
                <w:rFonts w:hint="eastAsia" w:ascii="Cambria Math" w:hAnsi="Cambria Math"/>
              </w:rPr>
            </m:ctrlPr>
          </m:e>
          <m:sub>
            <m:r>
              <m:rPr>
                <m:sty m:val="p"/>
              </m:rPr>
              <w:rPr>
                <w:rFonts w:hint="eastAsia" w:ascii="Cambria Math" w:hAnsi="Cambria Math"/>
              </w:rPr>
              <m:t>3</m:t>
            </m:r>
            <m:ctrlPr>
              <w:rPr>
                <w:rFonts w:hint="eastAsia" w:ascii="Cambria Math" w:hAnsi="Cambria Math"/>
              </w:rPr>
            </m:ctrlPr>
          </m:sub>
        </m:sSub>
      </m:oMath>
      <w:r>
        <w:rPr>
          <w:rFonts w:hint="eastAsia"/>
        </w:rPr>
        <w:t xml:space="preserve"> 是面积，采光，临街的权重系数，</w:t>
      </w:r>
      <m:oMath>
        <m:sSub>
          <m:sSubPr>
            <m:ctrlPr>
              <w:rPr>
                <w:rFonts w:hint="eastAsia" w:ascii="Cambria Math" w:hAnsi="Cambria Math"/>
              </w:rPr>
            </m:ctrlPr>
          </m:sSubPr>
          <m:e>
            <m:r>
              <m:rPr>
                <m:sty m:val="p"/>
              </m:rPr>
              <w:rPr>
                <w:rFonts w:hint="eastAsia" w:ascii="Cambria Math" w:hAnsi="Cambria Math"/>
              </w:rPr>
              <m:t>W</m:t>
            </m:r>
            <m:ctrlPr>
              <w:rPr>
                <w:rFonts w:hint="eastAsia" w:ascii="Cambria Math" w:hAnsi="Cambria Math"/>
              </w:rPr>
            </m:ctrlPr>
          </m:e>
          <m:sub>
            <m:r>
              <m:rPr>
                <m:nor/>
                <m:sty m:val="p"/>
              </m:rPr>
              <w:rPr>
                <w:rFonts w:hint="eastAsia" w:ascii="Cambria Math" w:hAnsi="Cambria Math"/>
                <w:b w:val="0"/>
                <w:i w:val="0"/>
              </w:rPr>
              <m:t>neighborhood </m:t>
            </m:r>
            <m:ctrlPr>
              <w:rPr>
                <w:rFonts w:hint="eastAsia" w:ascii="Cambria Math" w:hAnsi="Cambria Math"/>
              </w:rPr>
            </m:ctrlPr>
          </m:sub>
        </m:sSub>
      </m:oMath>
      <w:r>
        <w:rPr>
          <w:rFonts w:hint="eastAsia"/>
        </w:rPr>
        <w:t xml:space="preserve"> 和 </w:t>
      </w:r>
      <m:oMath>
        <m:sSub>
          <m:sSubPr>
            <m:ctrlPr>
              <w:rPr>
                <w:rFonts w:hint="eastAsia" w:ascii="Cambria Math" w:hAnsi="Cambria Math"/>
              </w:rPr>
            </m:ctrlPr>
          </m:sSubPr>
          <m:e>
            <m:r>
              <m:rPr>
                <m:sty m:val="p"/>
              </m:rPr>
              <w:rPr>
                <w:rFonts w:hint="eastAsia" w:ascii="Cambria Math" w:hAnsi="Cambria Math"/>
              </w:rPr>
              <m:t>W</m:t>
            </m:r>
            <m:ctrlPr>
              <w:rPr>
                <w:rFonts w:hint="eastAsia" w:ascii="Cambria Math" w:hAnsi="Cambria Math"/>
              </w:rPr>
            </m:ctrlPr>
          </m:e>
          <m:sub>
            <m:r>
              <m:rPr>
                <m:nor/>
                <m:sty m:val="p"/>
              </m:rPr>
              <w:rPr>
                <w:rFonts w:hint="eastAsia" w:ascii="Cambria Math" w:hAnsi="Cambria Math"/>
                <w:b w:val="0"/>
                <w:i w:val="0"/>
              </w:rPr>
              <m:t>transport </m:t>
            </m:r>
            <m:ctrlPr>
              <w:rPr>
                <w:rFonts w:hint="eastAsia" w:ascii="Cambria Math" w:hAnsi="Cambria Math"/>
              </w:rPr>
            </m:ctrlPr>
          </m:sub>
        </m:sSub>
      </m:oMath>
      <w:r>
        <w:rPr>
          <w:rFonts w:hint="eastAsia"/>
        </w:rPr>
        <w:t xml:space="preserve"> 分别是邻里关系和交通便利性对目标地块的影响权重。</w:t>
      </w:r>
    </w:p>
    <w:p>
      <w:pPr>
        <w:bidi w:val="0"/>
        <w:rPr>
          <w:rFonts w:hint="eastAsia"/>
          <w:lang w:val="en-US" w:eastAsia="zh-CN"/>
        </w:rPr>
      </w:pPr>
      <w:r>
        <w:rPr>
          <w:rFonts w:hint="eastAsia"/>
          <w:lang w:val="en-US" w:eastAsia="zh-CN"/>
        </w:rPr>
        <w:t>对于该部分的权重，我们采用熵权法来对不同的补偿因素进行权重分配，并通过理想解法进行最终补偿的计算。</w:t>
      </w:r>
    </w:p>
    <w:p>
      <w:pPr>
        <w:bidi w:val="0"/>
      </w:pPr>
      <w:r>
        <w:rPr>
          <w:rFonts w:hint="eastAsia"/>
          <w:lang w:val="en-US" w:eastAsia="zh-CN"/>
        </w:rPr>
        <w:t>熵</w:t>
      </w:r>
      <w:r>
        <w:t>权法用于确定各个补偿因素的权重。摘权法的核心思想是，信息熵越小的指标越重要，权重越大。因此，我们需要计算每个因素的熵值，并基于熵值确定每个补偿因素的权重。</w:t>
      </w:r>
    </w:p>
    <w:p>
      <w:pPr>
        <w:bidi w:val="0"/>
      </w:pPr>
      <w:r>
        <w:t>1．标准化：对所有补偿因素进行标准化处理，保证不同量纲的数据能够进行比较。</w:t>
      </w:r>
    </w:p>
    <w:p>
      <w:pPr>
        <w:bidi w:val="0"/>
      </w:pPr>
      <m:oMathPara>
        <m:oMath>
          <m:sSub>
            <m:sSubPr/>
            <m:e>
              <m:r>
                <m:rPr>
                  <m:sty m:val="p"/>
                </m:rPr>
                <w:rPr>
                  <w:rFonts w:ascii="Cambria Math" w:hAnsi="Cambria Math"/>
                </w:rPr>
                <m:t>X</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sSub>
                <m:sSubPr/>
                <m:e>
                  <m:r>
                    <m:rPr>
                      <m:sty m:val="p"/>
                    </m:rPr>
                    <w:rPr>
                      <w:rFonts w:ascii="Cambria Math" w:hAnsi="Cambria Math"/>
                    </w:rPr>
                    <m:t>X</m:t>
                  </m:r>
                </m:e>
                <m:sub>
                  <m:r>
                    <m:rPr>
                      <m:sty m:val="p"/>
                    </m:rPr>
                    <w:rPr>
                      <w:rFonts w:ascii="Cambria Math" w:hAnsi="Cambria Math"/>
                    </w:rPr>
                    <m:t>ij</m:t>
                  </m:r>
                </m:sub>
              </m:sSub>
              <m:r>
                <m:rPr>
                  <m:sty m:val="p"/>
                </m:rPr>
                <w:rPr>
                  <w:rFonts w:ascii="Cambria Math" w:hAnsi="Cambria Math"/>
                </w:rPr>
                <m:t>−min</m:t>
              </m:r>
              <m:d>
                <m:dPr>
                  <m:ctrlPr>
                    <w:rPr>
                      <w:rFonts w:ascii="Cambria Math" w:hAnsi="Cambria Math"/>
                    </w:rPr>
                  </m:ctrlPr>
                </m:dPr>
                <m:e>
                  <m:sSub>
                    <m:sSubPr/>
                    <m:e>
                      <m:r>
                        <m:rPr>
                          <m:sty m:val="p"/>
                        </m:rPr>
                        <w:rPr>
                          <w:rFonts w:ascii="Cambria Math" w:hAnsi="Cambria Math"/>
                        </w:rPr>
                        <m:t>X</m:t>
                      </m:r>
                    </m:e>
                    <m:sub>
                      <m:r>
                        <m:rPr>
                          <m:sty m:val="p"/>
                        </m:rPr>
                        <w:rPr>
                          <w:rFonts w:ascii="Cambria Math" w:hAnsi="Cambria Math"/>
                        </w:rPr>
                        <m:t>j</m:t>
                      </m:r>
                    </m:sub>
                  </m:sSub>
                  <m:ctrlPr>
                    <w:rPr>
                      <w:rFonts w:ascii="Cambria Math" w:hAnsi="Cambria Math"/>
                    </w:rPr>
                  </m:ctrlPr>
                </m:e>
              </m:d>
              <m:ctrlPr>
                <w:rPr>
                  <w:rFonts w:ascii="Cambria Math" w:hAnsi="Cambria Math"/>
                </w:rPr>
              </m:ctrlPr>
            </m:num>
            <m:den>
              <m:r>
                <m:rPr>
                  <m:sty m:val="p"/>
                </m:rPr>
                <w:rPr>
                  <w:rFonts w:ascii="Cambria Math" w:hAnsi="Cambria Math"/>
                </w:rPr>
                <m:t>max</m:t>
              </m:r>
              <m:d>
                <m:dPr>
                  <m:ctrlPr>
                    <w:rPr>
                      <w:rFonts w:ascii="Cambria Math" w:hAnsi="Cambria Math"/>
                    </w:rPr>
                  </m:ctrlPr>
                </m:dPr>
                <m:e>
                  <m:sSub>
                    <m:sSubPr/>
                    <m:e>
                      <m:r>
                        <m:rPr>
                          <m:sty m:val="p"/>
                        </m:rPr>
                        <w:rPr>
                          <w:rFonts w:ascii="Cambria Math" w:hAnsi="Cambria Math"/>
                        </w:rPr>
                        <m:t>X</m:t>
                      </m:r>
                    </m:e>
                    <m:sub>
                      <m:r>
                        <m:rPr>
                          <m:sty m:val="p"/>
                        </m:rPr>
                        <w:rPr>
                          <w:rFonts w:ascii="Cambria Math" w:hAnsi="Cambria Math"/>
                        </w:rPr>
                        <m:t>j</m:t>
                      </m:r>
                    </m:sub>
                  </m:sSub>
                  <m:ctrlPr>
                    <w:rPr>
                      <w:rFonts w:ascii="Cambria Math" w:hAnsi="Cambria Math"/>
                    </w:rPr>
                  </m:ctrlPr>
                </m:e>
              </m:d>
              <m:r>
                <m:rPr>
                  <m:sty m:val="p"/>
                </m:rPr>
                <w:rPr>
                  <w:rFonts w:ascii="Cambria Math" w:hAnsi="Cambria Math"/>
                </w:rPr>
                <m:t>−min</m:t>
              </m:r>
              <m:d>
                <m:dPr>
                  <m:ctrlPr>
                    <w:rPr>
                      <w:rFonts w:ascii="Cambria Math" w:hAnsi="Cambria Math"/>
                    </w:rPr>
                  </m:ctrlPr>
                </m:dPr>
                <m:e>
                  <m:sSub>
                    <m:sSubPr/>
                    <m:e>
                      <m:r>
                        <m:rPr>
                          <m:sty m:val="p"/>
                        </m:rPr>
                        <w:rPr>
                          <w:rFonts w:ascii="Cambria Math" w:hAnsi="Cambria Math"/>
                        </w:rPr>
                        <m:t>X</m:t>
                      </m:r>
                    </m:e>
                    <m:sub>
                      <m:r>
                        <m:rPr>
                          <m:sty m:val="p"/>
                        </m:rPr>
                        <w:rPr>
                          <w:rFonts w:ascii="Cambria Math" w:hAnsi="Cambria Math"/>
                        </w:rPr>
                        <m:t>j</m:t>
                      </m:r>
                    </m:sub>
                  </m:sSub>
                  <m:ctrlPr>
                    <w:rPr>
                      <w:rFonts w:ascii="Cambria Math" w:hAnsi="Cambria Math"/>
                    </w:rPr>
                  </m:ctrlPr>
                </m:e>
              </m:d>
              <m:ctrlPr>
                <w:rPr>
                  <w:rFonts w:ascii="Cambria Math" w:hAnsi="Cambria Math"/>
                </w:rPr>
              </m:ctrlPr>
            </m:den>
          </m:f>
        </m:oMath>
      </m:oMathPara>
    </w:p>
    <w:p>
      <w:pPr>
        <w:bidi w:val="0"/>
      </w:pPr>
      <w:r>
        <w:t>其中，</w:t>
      </w:r>
      <m:oMath>
        <m:sSub>
          <m:sSubPr/>
          <m:e>
            <m:r>
              <m:rPr>
                <m:sty m:val="p"/>
              </m:rPr>
              <w:rPr>
                <w:rFonts w:ascii="Cambria Math" w:hAnsi="Cambria Math"/>
              </w:rPr>
              <m:t>X</m:t>
            </m:r>
          </m:e>
          <m:sub>
            <m:r>
              <m:rPr>
                <m:sty m:val="p"/>
              </m:rPr>
              <w:rPr>
                <w:rFonts w:ascii="Cambria Math" w:hAnsi="Cambria Math"/>
              </w:rPr>
              <m:t>ij</m:t>
            </m:r>
          </m:sub>
        </m:sSub>
      </m:oMath>
      <w:r>
        <w:t xml:space="preserve"> 表示第 </w:t>
      </w:r>
      <m:oMath>
        <m:r>
          <m:rPr>
            <m:sty m:val="p"/>
          </m:rPr>
          <w:rPr>
            <w:rFonts w:ascii="Cambria Math" w:hAnsi="Cambria Math"/>
          </w:rPr>
          <m:t>i</m:t>
        </m:r>
      </m:oMath>
      <w:r>
        <w:t xml:space="preserve"> 个居民在第 </w:t>
      </w:r>
      <m:oMath>
        <m:r>
          <m:rPr>
            <m:sty m:val="p"/>
          </m:rPr>
          <w:rPr>
            <w:rFonts w:ascii="Cambria Math" w:hAnsi="Cambria Math"/>
          </w:rPr>
          <m:t>j</m:t>
        </m:r>
      </m:oMath>
      <w:r>
        <w:t xml:space="preserve"> 个因素上的标准化值， </w:t>
      </w:r>
      <m:oMath>
        <m:r>
          <m:rPr>
            <m:sty m:val="p"/>
          </m:rPr>
          <w:rPr>
            <w:rFonts w:ascii="Cambria Math" w:hAnsi="Cambria Math"/>
          </w:rPr>
          <m:t>min</m:t>
        </m:r>
        <m:d>
          <m:dPr>
            <m:ctrlPr>
              <w:rPr>
                <w:rFonts w:ascii="Cambria Math" w:hAnsi="Cambria Math"/>
              </w:rPr>
            </m:ctrlPr>
          </m:dPr>
          <m:e>
            <m:sSub>
              <m:sSubPr/>
              <m:e>
                <m:r>
                  <m:rPr>
                    <m:sty m:val="p"/>
                  </m:rPr>
                  <w:rPr>
                    <w:rFonts w:ascii="Cambria Math" w:hAnsi="Cambria Math"/>
                  </w:rPr>
                  <m:t>X</m:t>
                </m:r>
              </m:e>
              <m:sub>
                <m:r>
                  <m:rPr>
                    <m:sty m:val="p"/>
                  </m:rPr>
                  <w:rPr>
                    <w:rFonts w:ascii="Cambria Math" w:hAnsi="Cambria Math"/>
                  </w:rPr>
                  <m:t>j</m:t>
                </m:r>
              </m:sub>
            </m:sSub>
            <m:ctrlPr>
              <w:rPr>
                <w:rFonts w:ascii="Cambria Math" w:hAnsi="Cambria Math"/>
              </w:rPr>
            </m:ctrlPr>
          </m:e>
        </m:d>
      </m:oMath>
      <w:r>
        <w:t xml:space="preserve"> 和 </w:t>
      </w:r>
      <m:oMath>
        <m:r>
          <m:rPr>
            <m:sty m:val="p"/>
          </m:rPr>
          <w:rPr>
            <w:rFonts w:ascii="Cambria Math" w:hAnsi="Cambria Math"/>
          </w:rPr>
          <m:t>max</m:t>
        </m:r>
        <m:d>
          <m:dPr>
            <m:ctrlPr>
              <w:rPr>
                <w:rFonts w:ascii="Cambria Math" w:hAnsi="Cambria Math"/>
              </w:rPr>
            </m:ctrlPr>
          </m:dPr>
          <m:e>
            <m:sSub>
              <m:sSubPr/>
              <m:e>
                <m:r>
                  <m:rPr>
                    <m:sty m:val="p"/>
                  </m:rPr>
                  <w:rPr>
                    <w:rFonts w:ascii="Cambria Math" w:hAnsi="Cambria Math"/>
                  </w:rPr>
                  <m:t>X</m:t>
                </m:r>
              </m:e>
              <m:sub>
                <m:r>
                  <m:rPr>
                    <m:sty m:val="p"/>
                  </m:rPr>
                  <w:rPr>
                    <w:rFonts w:ascii="Cambria Math" w:hAnsi="Cambria Math"/>
                  </w:rPr>
                  <m:t>j</m:t>
                </m:r>
              </m:sub>
            </m:sSub>
            <m:ctrlPr>
              <w:rPr>
                <w:rFonts w:ascii="Cambria Math" w:hAnsi="Cambria Math"/>
              </w:rPr>
            </m:ctrlPr>
          </m:e>
        </m:d>
      </m:oMath>
      <w:r>
        <w:t xml:space="preserve"> 分别为第 </w:t>
      </w:r>
      <m:oMath>
        <m:r>
          <m:rPr>
            <m:sty m:val="p"/>
          </m:rPr>
          <w:rPr>
            <w:rFonts w:ascii="Cambria Math" w:hAnsi="Cambria Math"/>
          </w:rPr>
          <m:t>j</m:t>
        </m:r>
      </m:oMath>
      <w:r>
        <w:t xml:space="preserve"> 个因素的最小值和最大值。</w:t>
      </w:r>
    </w:p>
    <w:p>
      <w:pPr>
        <w:bidi w:val="0"/>
      </w:pPr>
      <w:r>
        <w:t>2．计算摘值：计算每个因素的熵值，熵值表示该因素的信息量。熵值越小，说明该因素对结果的影响越大。熵值的计算公式如下：</w:t>
      </w:r>
    </w:p>
    <w:p>
      <w:pPr>
        <w:bidi w:val="0"/>
      </w:pPr>
      <m:oMathPara>
        <m:oMath>
          <m:sSub>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ln⁡(n)</m:t>
              </m:r>
              <m:ctrlPr>
                <w:rPr>
                  <w:rFonts w:ascii="Cambria Math" w:hAnsi="Cambria Math"/>
                </w:rPr>
              </m:ctrlPr>
            </m:den>
          </m:f>
          <m:nary>
            <m:naryPr>
              <m:chr m:val="∑"/>
              <m:grow m:val="1"/>
              <m:limLoc m:val="undOv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 </m:t>
              </m:r>
            </m:e>
          </m:nary>
          <m:sSub>
            <m:sSubPr/>
            <m:e>
              <m:r>
                <m:rPr>
                  <m:sty m:val="p"/>
                </m:rPr>
                <w:rPr>
                  <w:rFonts w:ascii="Cambria Math" w:hAnsi="Cambria Math"/>
                </w:rPr>
                <m:t>p</m:t>
              </m:r>
            </m:e>
            <m:sub>
              <m:r>
                <m:rPr>
                  <m:sty m:val="p"/>
                </m:rPr>
                <w:rPr>
                  <w:rFonts w:ascii="Cambria Math" w:hAnsi="Cambria Math"/>
                </w:rPr>
                <m:t>ij</m:t>
              </m:r>
            </m:sub>
          </m:sSub>
          <m:r>
            <m:rPr>
              <m:sty m:val="p"/>
            </m:rPr>
            <w:rPr>
              <w:rFonts w:ascii="Cambria Math" w:hAnsi="Cambria Math"/>
            </w:rPr>
            <m:t>ln⁡</m:t>
          </m:r>
          <m:d>
            <m:dPr>
              <m:ctrlPr>
                <w:rPr>
                  <w:rFonts w:ascii="Cambria Math" w:hAnsi="Cambria Math"/>
                </w:rPr>
              </m:ctrlPr>
            </m:dPr>
            <m:e>
              <m:sSub>
                <m:sSubPr/>
                <m:e>
                  <m:r>
                    <m:rPr>
                      <m:sty m:val="p"/>
                    </m:rPr>
                    <w:rPr>
                      <w:rFonts w:ascii="Cambria Math" w:hAnsi="Cambria Math"/>
                    </w:rPr>
                    <m:t>p</m:t>
                  </m:r>
                </m:e>
                <m:sub>
                  <m:r>
                    <m:rPr>
                      <m:sty m:val="p"/>
                    </m:rPr>
                    <w:rPr>
                      <w:rFonts w:ascii="Cambria Math" w:hAnsi="Cambria Math"/>
                    </w:rPr>
                    <m:t>ij</m:t>
                  </m:r>
                </m:sub>
              </m:sSub>
              <m:ctrlPr>
                <w:rPr>
                  <w:rFonts w:ascii="Cambria Math" w:hAnsi="Cambria Math"/>
                </w:rPr>
              </m:ctrlPr>
            </m:e>
          </m:d>
        </m:oMath>
      </m:oMathPara>
    </w:p>
    <w:p>
      <w:pPr>
        <w:bidi w:val="0"/>
      </w:pPr>
      <w:r>
        <w:t>其中，</w:t>
      </w:r>
      <m:oMath>
        <m:sSub>
          <m:sSubPr/>
          <m:e>
            <m:r>
              <m:rPr>
                <m:sty m:val="p"/>
              </m:rPr>
              <w:rPr>
                <w:rFonts w:ascii="Cambria Math" w:hAnsi="Cambria Math"/>
              </w:rPr>
              <m:t>p</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sSub>
              <m:sSubPr/>
              <m:e>
                <m:r>
                  <m:rPr>
                    <m:sty m:val="p"/>
                  </m:rPr>
                  <w:rPr>
                    <w:rFonts w:ascii="Cambria Math" w:hAnsi="Cambria Math"/>
                  </w:rPr>
                  <m:t>X</m:t>
                </m:r>
              </m:e>
              <m:sub>
                <m:r>
                  <m:rPr>
                    <m:sty m:val="p"/>
                  </m:rPr>
                  <w:rPr>
                    <w:rFonts w:ascii="Cambria Math" w:hAnsi="Cambria Math"/>
                  </w:rPr>
                  <m:t>ij</m:t>
                </m:r>
              </m:sub>
            </m:sSub>
            <m:ctrlPr>
              <w:rPr>
                <w:rFonts w:ascii="Cambria Math" w:hAnsi="Cambria Math"/>
              </w:rPr>
            </m:ctrlPr>
          </m:num>
          <m:den>
            <m:nary>
              <m:naryPr>
                <m:chr m:val="∑"/>
                <m:grow m:val="1"/>
                <m:limLoc m:val="undOv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 </m:t>
                </m:r>
              </m:e>
            </m:nary>
            <m:r>
              <m:rPr>
                <m:sty m:val="p"/>
              </m:rPr>
              <w:rPr>
                <w:rFonts w:ascii="Cambria Math" w:hAnsi="Cambria Math"/>
              </w:rPr>
              <m:t> </m:t>
            </m:r>
            <m:sSub>
              <m:sSubPr/>
              <m:e>
                <m:r>
                  <m:rPr>
                    <m:sty m:val="p"/>
                  </m:rPr>
                  <w:rPr>
                    <w:rFonts w:ascii="Cambria Math" w:hAnsi="Cambria Math"/>
                  </w:rPr>
                  <m:t>X</m:t>
                </m:r>
              </m:e>
              <m:sub>
                <m:r>
                  <m:rPr>
                    <m:sty m:val="p"/>
                  </m:rPr>
                  <w:rPr>
                    <w:rFonts w:ascii="Cambria Math" w:hAnsi="Cambria Math"/>
                  </w:rPr>
                  <m:t>ij</m:t>
                </m:r>
              </m:sub>
            </m:sSub>
            <m:ctrlPr>
              <w:rPr>
                <w:rFonts w:ascii="Cambria Math" w:hAnsi="Cambria Math"/>
              </w:rPr>
            </m:ctrlPr>
          </m:den>
        </m:f>
        <m:r>
          <m:rPr>
            <m:sty m:val="p"/>
          </m:rPr>
          <w:rPr>
            <w:rFonts w:ascii="Cambria Math" w:hAnsi="Cambria Math"/>
          </w:rPr>
          <m:t>, n</m:t>
        </m:r>
      </m:oMath>
      <w:r>
        <w:t xml:space="preserve"> 为居民的总数，</w:t>
      </w:r>
      <m:oMath>
        <m:sSub>
          <m:sSubPr/>
          <m:e>
            <m:r>
              <m:rPr>
                <m:sty m:val="p"/>
              </m:rPr>
              <w:rPr>
                <w:rFonts w:ascii="Cambria Math" w:hAnsi="Cambria Math"/>
              </w:rPr>
              <m:t>H</m:t>
            </m:r>
          </m:e>
          <m:sub>
            <m:r>
              <m:rPr>
                <m:sty m:val="p"/>
              </m:rPr>
              <w:rPr>
                <w:rFonts w:ascii="Cambria Math" w:hAnsi="Cambria Math"/>
              </w:rPr>
              <m:t>j</m:t>
            </m:r>
          </m:sub>
        </m:sSub>
      </m:oMath>
      <w:r>
        <w:t xml:space="preserve"> 为第 </w:t>
      </w:r>
      <m:oMath>
        <m:r>
          <m:rPr>
            <m:sty m:val="p"/>
          </m:rPr>
          <w:rPr>
            <w:rFonts w:ascii="Cambria Math" w:hAnsi="Cambria Math"/>
          </w:rPr>
          <m:t>j</m:t>
        </m:r>
      </m:oMath>
      <w:r>
        <w:t xml:space="preserve"> 个因素的熵值。</w:t>
      </w:r>
      <w:r>
        <w:br w:type="textWrapping"/>
      </w:r>
      <w:r>
        <w:t>3．计算权重：根据熵值计算每个因素的权重，权重的计算公式为</w:t>
      </w:r>
    </w:p>
    <w:p>
      <w:pPr>
        <w:bidi w:val="0"/>
      </w:pPr>
      <m:oMathPara>
        <m:oMath>
          <m:sSub>
            <m:sSubPr/>
            <m:e>
              <m:r>
                <m:rPr>
                  <m:sty m:val="p"/>
                </m:rPr>
                <w:rPr>
                  <w:rFonts w:ascii="Cambria Math" w:hAnsi="Cambria Math"/>
                </w:rPr>
                <m:t>w</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b>
                <m:sSubPr/>
                <m:e>
                  <m:r>
                    <m:rPr>
                      <m:sty m:val="p"/>
                    </m:rPr>
                    <w:rPr>
                      <w:rFonts w:ascii="Cambria Math" w:hAnsi="Cambria Math"/>
                    </w:rPr>
                    <m:t>H</m:t>
                  </m:r>
                </m:e>
                <m:sub>
                  <m:r>
                    <m:rPr>
                      <m:sty m:val="p"/>
                    </m:rPr>
                    <w:rPr>
                      <w:rFonts w:ascii="Cambria Math" w:hAnsi="Cambria Math"/>
                    </w:rPr>
                    <m:t>j</m:t>
                  </m:r>
                </m:sub>
              </m:sSub>
              <m:ctrlPr>
                <w:rPr>
                  <w:rFonts w:ascii="Cambria Math" w:hAnsi="Cambria Math"/>
                </w:rPr>
              </m:ctrlPr>
            </m:num>
            <m:den>
              <m:nary>
                <m:naryPr>
                  <m:chr m:val="∑"/>
                  <m:grow m:val="1"/>
                  <m:limLoc m:val="undOvr"/>
                </m:naryPr>
                <m:sub>
                  <m:r>
                    <m:rPr>
                      <m:sty m:val="p"/>
                    </m:rPr>
                    <w:rPr>
                      <w:rFonts w:ascii="Cambria Math" w:hAnsi="Cambria Math"/>
                    </w:rPr>
                    <m:t>j=1</m:t>
                  </m:r>
                </m:sub>
                <m:sup>
                  <m:r>
                    <m:rPr>
                      <m:sty m:val="p"/>
                    </m:rPr>
                    <w:rPr>
                      <w:rFonts w:ascii="Cambria Math" w:hAnsi="Cambria Math"/>
                    </w:rPr>
                    <m:t>m</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r>
                    <m:rPr>
                      <m:sty m:val="p"/>
                    </m:rPr>
                    <w:rPr>
                      <w:rFonts w:ascii="Cambria Math" w:hAnsi="Cambria Math"/>
                    </w:rPr>
                    <m:t>1−</m:t>
                  </m:r>
                  <m:sSub>
                    <m:sSubPr/>
                    <m:e>
                      <m:r>
                        <m:rPr>
                          <m:sty m:val="p"/>
                        </m:rPr>
                        <w:rPr>
                          <w:rFonts w:ascii="Cambria Math" w:hAnsi="Cambria Math"/>
                        </w:rPr>
                        <m:t>H</m:t>
                      </m:r>
                    </m:e>
                    <m:sub>
                      <m:r>
                        <m:rPr>
                          <m:sty m:val="p"/>
                        </m:rPr>
                        <w:rPr>
                          <w:rFonts w:ascii="Cambria Math" w:hAnsi="Cambria Math"/>
                        </w:rPr>
                        <m:t>j</m:t>
                      </m:r>
                    </m:sub>
                  </m:sSub>
                  <m:ctrlPr>
                    <w:rPr>
                      <w:rFonts w:ascii="Cambria Math" w:hAnsi="Cambria Math"/>
                    </w:rPr>
                  </m:ctrlPr>
                </m:e>
              </m:d>
              <m:ctrlPr>
                <w:rPr>
                  <w:rFonts w:ascii="Cambria Math" w:hAnsi="Cambria Math"/>
                </w:rPr>
              </m:ctrlPr>
            </m:den>
          </m:f>
        </m:oMath>
      </m:oMathPara>
    </w:p>
    <w:p>
      <w:pPr>
        <w:bidi w:val="0"/>
      </w:pPr>
      <w:r>
        <w:t>其中，</w:t>
      </w:r>
      <m:oMath>
        <m:sSub>
          <m:sSubPr/>
          <m:e>
            <m:r>
              <m:rPr>
                <m:sty m:val="p"/>
              </m:rPr>
              <w:rPr>
                <w:rFonts w:ascii="Cambria Math" w:hAnsi="Cambria Math"/>
              </w:rPr>
              <m:t>w</m:t>
            </m:r>
          </m:e>
          <m:sub>
            <m:r>
              <m:rPr>
                <m:sty m:val="p"/>
              </m:rPr>
              <w:rPr>
                <w:rFonts w:ascii="Cambria Math" w:hAnsi="Cambria Math"/>
              </w:rPr>
              <m:t>j</m:t>
            </m:r>
          </m:sub>
        </m:sSub>
      </m:oMath>
      <w:r>
        <w:t xml:space="preserve"> 为第 </w:t>
      </w:r>
      <m:oMath>
        <m:r>
          <m:rPr>
            <m:sty m:val="p"/>
          </m:rPr>
          <w:rPr>
            <w:rFonts w:ascii="Cambria Math" w:hAnsi="Cambria Math"/>
          </w:rPr>
          <m:t>j</m:t>
        </m:r>
      </m:oMath>
      <w:r>
        <w:t xml:space="preserve"> 个因素的权重，</w:t>
      </w:r>
      <m:oMath>
        <m:r>
          <m:rPr>
            <m:sty m:val="p"/>
          </m:rPr>
          <w:rPr>
            <w:rFonts w:ascii="Cambria Math" w:hAnsi="Cambria Math"/>
          </w:rPr>
          <m:t>m</m:t>
        </m:r>
      </m:oMath>
      <w:r>
        <w:t xml:space="preserve"> 为因素的总数。</w:t>
      </w:r>
      <w:r>
        <w:br w:type="textWrapping"/>
      </w:r>
      <w:r>
        <w:t>理想解法</w:t>
      </w:r>
    </w:p>
    <w:p>
      <w:pPr>
        <w:bidi w:val="0"/>
      </w:pPr>
      <w:r>
        <w:t>理想解法是一种多目标决策方法，其目的是通过计算每个居民的理想补偿方案来确定最终补偿值。</w:t>
      </w:r>
      <w:r>
        <w:br w:type="textWrapping"/>
      </w:r>
      <w:r>
        <w:t>1．确定理想解：对于每个补偿因素，确定理想解（即最佳的补偿情况），通常可以取所有因素中的最大值或根据实际情况设定。</w:t>
      </w:r>
    </w:p>
    <w:p>
      <w:pPr>
        <w:bidi w:val="0"/>
      </w:pPr>
      <m:oMathPara>
        <m:oMath>
          <m:sSup>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Sup>
                <m:sSubSupPr/>
                <m:e>
                  <m:r>
                    <m:rPr>
                      <m:sty m:val="p"/>
                    </m:rPr>
                    <w:rPr>
                      <w:rFonts w:ascii="Cambria Math" w:hAnsi="Cambria Math"/>
                    </w:rPr>
                    <m:t>A</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e>
                  <m:r>
                    <m:rPr>
                      <m:sty m:val="p"/>
                    </m:rPr>
                    <w:rPr>
                      <w:rFonts w:ascii="Cambria Math" w:hAnsi="Cambria Math"/>
                    </w:rPr>
                    <m:t>A</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e>
                  <m:r>
                    <m:rPr>
                      <m:sty m:val="p"/>
                    </m:rPr>
                    <w:rPr>
                      <w:rFonts w:ascii="Cambria Math" w:hAnsi="Cambria Math"/>
                    </w:rPr>
                    <m:t>A</m:t>
                  </m:r>
                </m:e>
                <m:sub>
                  <m:r>
                    <m:rPr>
                      <m:sty m:val="p"/>
                    </m:rPr>
                    <w:rPr>
                      <w:rFonts w:ascii="Cambria Math" w:hAnsi="Cambria Math"/>
                    </w:rPr>
                    <m:t>m</m:t>
                  </m:r>
                </m:sub>
                <m:sup>
                  <m:r>
                    <m:rPr>
                      <m:sty m:val="p"/>
                    </m:rPr>
                    <w:rPr>
                      <w:rFonts w:ascii="Cambria Math" w:hAnsi="Cambria Math"/>
                    </w:rPr>
                    <m:t>+</m:t>
                  </m:r>
                </m:sup>
              </m:sSubSup>
              <m:ctrlPr>
                <w:rPr>
                  <w:rFonts w:ascii="Cambria Math" w:hAnsi="Cambria Math"/>
                </w:rPr>
              </m:ctrlPr>
            </m:e>
          </m:d>
        </m:oMath>
      </m:oMathPara>
    </w:p>
    <w:p>
      <w:pPr>
        <w:bidi w:val="0"/>
      </w:pPr>
      <w:r>
        <w:t>其中，</w:t>
      </w:r>
      <m:oMath>
        <m:sSubSup>
          <m:sSubSupPr/>
          <m:e>
            <m:r>
              <m:rPr>
                <m:sty m:val="p"/>
              </m:rPr>
              <w:rPr>
                <w:rFonts w:ascii="Cambria Math" w:hAnsi="Cambria Math"/>
              </w:rPr>
              <m:t>A</m:t>
            </m:r>
          </m:e>
          <m:sub>
            <m:r>
              <m:rPr>
                <m:sty m:val="p"/>
              </m:rPr>
              <w:rPr>
                <w:rFonts w:ascii="Cambria Math" w:hAnsi="Cambria Math"/>
              </w:rPr>
              <m:t>j</m:t>
            </m:r>
          </m:sub>
          <m:sup>
            <m:r>
              <m:rPr>
                <m:sty m:val="p"/>
              </m:rPr>
              <w:rPr>
                <w:rFonts w:ascii="Cambria Math" w:hAnsi="Cambria Math"/>
              </w:rPr>
              <m:t>+</m:t>
            </m:r>
          </m:sup>
        </m:sSubSup>
      </m:oMath>
      <w:r>
        <w:t xml:space="preserve">为第 </w:t>
      </w:r>
      <m:oMath>
        <m:r>
          <m:rPr>
            <m:sty m:val="p"/>
          </m:rPr>
          <w:rPr>
            <w:rFonts w:ascii="Cambria Math" w:hAnsi="Cambria Math"/>
          </w:rPr>
          <m:t>j</m:t>
        </m:r>
      </m:oMath>
      <w:r>
        <w:t xml:space="preserve"> 个因素的理想解。</w:t>
      </w:r>
      <w:r>
        <w:br w:type="textWrapping"/>
      </w:r>
      <w:r>
        <w:t>2．计算各个补偿方案与理想解的距离：每个居民的补偿方案与理想解之间的距离可以用欧氏距离来衡量，计算公式如下：</w:t>
      </w:r>
    </w:p>
    <w:p>
      <w:pPr>
        <w:bidi w:val="0"/>
      </w:pPr>
      <m:oMathPara>
        <m:oMath>
          <m:sSubSup>
            <m:sSubSupPr/>
            <m:e>
              <m:r>
                <m:rPr>
                  <m:sty m:val="p"/>
                </m:rPr>
                <w:rPr>
                  <w:rFonts w:ascii="Cambria Math" w:hAnsi="Cambria Math"/>
                </w:rPr>
                <m:t>D</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rPr>
            <m:t>=</m:t>
          </m:r>
          <m:rad>
            <m:radPr>
              <m:degHide m:val="1"/>
              <m:ctrlPr>
                <w:rPr>
                  <w:rFonts w:ascii="Cambria Math" w:hAnsi="Cambria Math"/>
                </w:rPr>
              </m:ctrlPr>
            </m:radPr>
            <m:deg>
              <m:ctrlPr>
                <w:rPr>
                  <w:rFonts w:ascii="Cambria Math" w:hAnsi="Cambria Math"/>
                </w:rPr>
              </m:ctrlPr>
            </m:deg>
            <m:e>
              <m:nary>
                <m:naryPr>
                  <m:chr m:val="∑"/>
                  <m:grow m:val="1"/>
                  <m:limLoc m:val="undOvr"/>
                </m:naryPr>
                <m:sub>
                  <m:r>
                    <m:rPr>
                      <m:sty m:val="p"/>
                    </m:rPr>
                    <w:rPr>
                      <w:rFonts w:ascii="Cambria Math" w:hAnsi="Cambria Math"/>
                    </w:rPr>
                    <m:t>j=1</m:t>
                  </m:r>
                </m:sub>
                <m:sup>
                  <m:r>
                    <m:rPr>
                      <m:sty m:val="p"/>
                    </m:rPr>
                    <w:rPr>
                      <w:rFonts w:ascii="Cambria Math" w:hAnsi="Cambria Math"/>
                    </w:rPr>
                    <m:t>m</m:t>
                  </m:r>
                </m:sup>
                <m:e>
                  <m:r>
                    <m:rPr>
                      <m:sty m:val="p"/>
                    </m:rPr>
                    <w:rPr>
                      <w:rFonts w:ascii="Cambria Math" w:hAnsi="Cambria Math"/>
                    </w:rPr>
                    <m:t> </m:t>
                  </m:r>
                </m:e>
              </m:nary>
              <m:r>
                <m:rPr>
                  <m:sty m:val="p"/>
                </m:rPr>
                <w:rPr>
                  <w:rFonts w:ascii="Cambria Math" w:hAnsi="Cambria Math"/>
                </w:rPr>
                <m:t> </m:t>
              </m:r>
              <m:sSub>
                <m:sSubPr/>
                <m:e>
                  <m:r>
                    <m:rPr>
                      <m:sty m:val="p"/>
                    </m:rPr>
                    <w:rPr>
                      <w:rFonts w:ascii="Cambria Math" w:hAnsi="Cambria Math"/>
                    </w:rPr>
                    <m:t>w</m:t>
                  </m:r>
                </m:e>
                <m:sub>
                  <m:r>
                    <m:rPr>
                      <m:sty m:val="p"/>
                    </m:rPr>
                    <w:rPr>
                      <w:rFonts w:ascii="Cambria Math" w:hAnsi="Cambria Math"/>
                    </w:rPr>
                    <m:t>j</m:t>
                  </m:r>
                </m:sub>
              </m:sSub>
              <m:sSup>
                <m:sSupPr/>
                <m:e>
                  <m:d>
                    <m:dPr>
                      <m:ctrlPr>
                        <w:rPr>
                          <w:rFonts w:ascii="Cambria Math" w:hAnsi="Cambria Math"/>
                        </w:rPr>
                      </m:ctrlPr>
                    </m:dPr>
                    <m:e>
                      <m:sSub>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Sup>
                        <m:sSubSupPr/>
                        <m:e>
                          <m:r>
                            <m:rPr>
                              <m:sty m:val="p"/>
                            </m:rPr>
                            <w:rPr>
                              <w:rFonts w:ascii="Cambria Math" w:hAnsi="Cambria Math"/>
                            </w:rPr>
                            <m:t>A</m:t>
                          </m:r>
                        </m:e>
                        <m:sub>
                          <m:r>
                            <m:rPr>
                              <m:sty m:val="p"/>
                            </m:rPr>
                            <w:rPr>
                              <w:rFonts w:ascii="Cambria Math" w:hAnsi="Cambria Math"/>
                            </w:rPr>
                            <m:t>j</m:t>
                          </m:r>
                        </m:sub>
                        <m:sup>
                          <m:r>
                            <m:rPr>
                              <m:sty m:val="p"/>
                            </m:rPr>
                            <w:rPr>
                              <w:rFonts w:ascii="Cambria Math" w:hAnsi="Cambria Math"/>
                            </w:rPr>
                            <m:t>+</m:t>
                          </m:r>
                        </m:sup>
                      </m:sSubSup>
                      <m:ctrlPr>
                        <w:rPr>
                          <w:rFonts w:ascii="Cambria Math" w:hAnsi="Cambria Math"/>
                        </w:rPr>
                      </m:ctrlPr>
                    </m:e>
                  </m:d>
                </m:e>
                <m:sup>
                  <m:r>
                    <m:rPr>
                      <m:sty m:val="p"/>
                    </m:rPr>
                    <w:rPr>
                      <w:rFonts w:ascii="Cambria Math" w:hAnsi="Cambria Math"/>
                    </w:rPr>
                    <m:t>2</m:t>
                  </m:r>
                </m:sup>
              </m:sSup>
              <m:ctrlPr>
                <w:rPr>
                  <w:rFonts w:ascii="Cambria Math" w:hAnsi="Cambria Math"/>
                </w:rPr>
              </m:ctrlPr>
            </m:e>
          </m:rad>
        </m:oMath>
      </m:oMathPara>
    </w:p>
    <w:p>
      <w:pPr>
        <w:bidi w:val="0"/>
      </w:pPr>
      <w:r>
        <w:t>其中，</w:t>
      </w:r>
      <m:oMath>
        <m:sSubSup>
          <m:sSubSupPr/>
          <m:e>
            <m:r>
              <m:rPr>
                <m:sty m:val="p"/>
              </m:rPr>
              <w:rPr>
                <w:rFonts w:ascii="Cambria Math" w:hAnsi="Cambria Math"/>
              </w:rPr>
              <m:t>D</m:t>
            </m:r>
          </m:e>
          <m:sub>
            <m:r>
              <m:rPr>
                <m:sty m:val="p"/>
              </m:rPr>
              <w:rPr>
                <w:rFonts w:ascii="Cambria Math" w:hAnsi="Cambria Math"/>
              </w:rPr>
              <m:t>i</m:t>
            </m:r>
          </m:sub>
          <m:sup>
            <m:r>
              <m:rPr>
                <m:sty m:val="p"/>
              </m:rPr>
              <w:rPr>
                <w:rFonts w:ascii="Cambria Math" w:hAnsi="Cambria Math"/>
              </w:rPr>
              <m:t>+</m:t>
            </m:r>
          </m:sup>
        </m:sSubSup>
      </m:oMath>
      <w:r>
        <w:t xml:space="preserve">为第 </w:t>
      </w:r>
      <m:oMath>
        <m:r>
          <m:rPr>
            <m:sty m:val="p"/>
          </m:rPr>
          <w:rPr>
            <w:rFonts w:ascii="Cambria Math" w:hAnsi="Cambria Math"/>
          </w:rPr>
          <m:t>i</m:t>
        </m:r>
      </m:oMath>
      <w:r>
        <w:t xml:space="preserve"> 个居民的补偿方案与理想解的距离，</w:t>
      </w:r>
      <m:oMath>
        <m:sSub>
          <m:sSubPr/>
          <m:e>
            <m:r>
              <m:rPr>
                <m:sty m:val="p"/>
              </m:rPr>
              <w:rPr>
                <w:rFonts w:ascii="Cambria Math" w:hAnsi="Cambria Math"/>
              </w:rPr>
              <m:t>A</m:t>
            </m:r>
          </m:e>
          <m:sub>
            <m:r>
              <m:rPr>
                <m:sty m:val="p"/>
              </m:rPr>
              <w:rPr>
                <w:rFonts w:ascii="Cambria Math" w:hAnsi="Cambria Math"/>
              </w:rPr>
              <m:t>ij</m:t>
            </m:r>
          </m:sub>
        </m:sSub>
      </m:oMath>
      <w:r>
        <w:t xml:space="preserve"> 为第 </w:t>
      </w:r>
      <m:oMath>
        <m:r>
          <m:rPr>
            <m:sty m:val="p"/>
          </m:rPr>
          <w:rPr>
            <w:rFonts w:ascii="Cambria Math" w:hAnsi="Cambria Math"/>
          </w:rPr>
          <m:t>i</m:t>
        </m:r>
      </m:oMath>
      <w:r>
        <w:t xml:space="preserve"> 个居民在第 </w:t>
      </w:r>
      <m:oMath>
        <m:r>
          <m:rPr>
            <m:sty m:val="p"/>
          </m:rPr>
          <w:rPr>
            <w:rFonts w:ascii="Cambria Math" w:hAnsi="Cambria Math"/>
          </w:rPr>
          <m:t>j</m:t>
        </m:r>
      </m:oMath>
      <w:r>
        <w:t xml:space="preserve"> 个因素上的补偿值。</w:t>
      </w:r>
      <w:r>
        <w:br w:type="textWrapping"/>
      </w:r>
      <w:r>
        <w:t>3．计算相对接近度：通过计算每个居民的补偿方案与理想解的相对接近度，最终得到每个居民的综合补偿方案：</w:t>
      </w:r>
    </w:p>
    <w:p>
      <w:pPr>
        <w:bidi w:val="0"/>
      </w:pPr>
      <w:r>
        <w:t xml:space="preserve">相对接近度 </w:t>
      </w:r>
      <m:oMath>
        <m:r>
          <m:rPr>
            <m:sty m:val="p"/>
          </m:rPr>
          <w:rPr>
            <w:rFonts w:ascii="Cambria Math" w:hAnsi="Cambria Math"/>
          </w:rPr>
          <m:t>=</m:t>
        </m:r>
        <m:f>
          <m:fPr>
            <m:ctrlPr>
              <w:rPr>
                <w:rFonts w:ascii="Cambria Math" w:hAnsi="Cambria Math"/>
              </w:rPr>
            </m:ctrlPr>
          </m:fPr>
          <m:num>
            <m:sSubSup>
              <m:sSubSupPr/>
              <m:e>
                <m:r>
                  <m:rPr>
                    <m:sty m:val="p"/>
                  </m:rPr>
                  <w:rPr>
                    <w:rFonts w:ascii="Cambria Math" w:hAnsi="Cambria Math"/>
                  </w:rPr>
                  <m:t>D</m:t>
                </m:r>
              </m:e>
              <m:sub>
                <m:r>
                  <m:rPr>
                    <m:sty m:val="p"/>
                  </m:rPr>
                  <w:rPr>
                    <w:rFonts w:ascii="Cambria Math" w:hAnsi="Cambria Math"/>
                  </w:rPr>
                  <m:t>i</m:t>
                </m:r>
              </m:sub>
              <m:sup>
                <m:r>
                  <m:rPr>
                    <m:sty m:val="p"/>
                  </m:rPr>
                  <w:rPr>
                    <w:rFonts w:ascii="Cambria Math" w:hAnsi="Cambria Math"/>
                  </w:rPr>
                  <m:t>−</m:t>
                </m:r>
              </m:sup>
            </m:sSubSup>
            <m:ctrlPr>
              <w:rPr>
                <w:rFonts w:ascii="Cambria Math" w:hAnsi="Cambria Math"/>
              </w:rPr>
            </m:ctrlPr>
          </m:num>
          <m:den>
            <m:sSubSup>
              <m:sSubSupPr/>
              <m:e>
                <m:r>
                  <m:rPr>
                    <m:sty m:val="p"/>
                  </m:rPr>
                  <w:rPr>
                    <w:rFonts w:ascii="Cambria Math" w:hAnsi="Cambria Math"/>
                  </w:rPr>
                  <m:t>D</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e>
                <m:r>
                  <m:rPr>
                    <m:sty m:val="p"/>
                  </m:rPr>
                  <w:rPr>
                    <w:rFonts w:ascii="Cambria Math" w:hAnsi="Cambria Math"/>
                  </w:rPr>
                  <m:t>D</m:t>
                </m:r>
              </m:e>
              <m:sub>
                <m:r>
                  <m:rPr>
                    <m:sty m:val="p"/>
                  </m:rPr>
                  <w:rPr>
                    <w:rFonts w:ascii="Cambria Math" w:hAnsi="Cambria Math"/>
                  </w:rPr>
                  <m:t>i</m:t>
                </m:r>
              </m:sub>
              <m:sup>
                <m:r>
                  <m:rPr>
                    <m:sty m:val="p"/>
                  </m:rPr>
                  <w:rPr>
                    <w:rFonts w:ascii="Cambria Math" w:hAnsi="Cambria Math"/>
                  </w:rPr>
                  <m:t>−</m:t>
                </m:r>
              </m:sup>
            </m:sSubSup>
            <m:ctrlPr>
              <w:rPr>
                <w:rFonts w:ascii="Cambria Math" w:hAnsi="Cambria Math"/>
              </w:rPr>
            </m:ctrlPr>
          </m:den>
        </m:f>
      </m:oMath>
      <w:r>
        <w:br w:type="textWrapping"/>
      </w:r>
      <w:r>
        <w:t>其中，</w:t>
      </w:r>
      <m:oMath>
        <m:sSubSup>
          <m:sSubSupPr/>
          <m:e>
            <m:r>
              <m:rPr>
                <m:sty m:val="p"/>
              </m:rPr>
              <w:rPr>
                <w:rFonts w:ascii="Cambria Math" w:hAnsi="Cambria Math"/>
              </w:rPr>
              <m:t>D</m:t>
            </m:r>
          </m:e>
          <m:sub>
            <m:r>
              <m:rPr>
                <m:sty m:val="p"/>
              </m:rPr>
              <w:rPr>
                <w:rFonts w:ascii="Cambria Math" w:hAnsi="Cambria Math"/>
              </w:rPr>
              <m:t>i</m:t>
            </m:r>
          </m:sub>
          <m:sup>
            <m:r>
              <m:rPr>
                <m:sty m:val="p"/>
              </m:rPr>
              <w:rPr>
                <w:rFonts w:ascii="Cambria Math" w:hAnsi="Cambria Math"/>
              </w:rPr>
              <m:t>−</m:t>
            </m:r>
          </m:sup>
        </m:sSubSup>
      </m:oMath>
      <w:r>
        <w:t xml:space="preserve">为第 </w:t>
      </w:r>
      <m:oMath>
        <m:r>
          <m:rPr>
            <m:sty m:val="p"/>
          </m:rPr>
          <w:rPr>
            <w:rFonts w:ascii="Cambria Math" w:hAnsi="Cambria Math"/>
          </w:rPr>
          <m:t>i</m:t>
        </m:r>
      </m:oMath>
      <w:r>
        <w:t xml:space="preserve"> 个居民的补偿方案与负理想解（即最差补偿情况）的距离。</w:t>
      </w:r>
    </w:p>
    <w:p>
      <w:pPr>
        <w:bidi w:val="0"/>
        <w:rPr>
          <w:rFonts w:hint="default"/>
          <w:lang w:val="en-US" w:eastAsia="zh-CN"/>
        </w:rPr>
      </w:pPr>
      <w:r>
        <w:rPr>
          <w:rFonts w:hint="default"/>
          <w:lang w:val="en-US" w:eastAsia="zh-CN"/>
        </w:rPr>
        <w:t>对于每个居民，我们需要考虑所有可能的拆迁补偿方案。共有 113 个居民，有 3623 种可能的拆迁方式，那么我们需要计算每种拆迁方式下的面积补偿、采光补偿、修缮补偿以及搬迁因素的影响，并根据熵权法和理想解法来确定每个居民最终的补偿金额。</w:t>
      </w:r>
    </w:p>
    <w:p>
      <w:pPr>
        <w:bidi w:val="0"/>
        <w:rPr>
          <w:rFonts w:hint="default"/>
          <w:lang w:val="en-US" w:eastAsia="zh-CN"/>
        </w:rPr>
      </w:pPr>
      <w:r>
        <w:rPr>
          <w:rFonts w:hint="default"/>
          <w:lang w:val="en-US" w:eastAsia="zh-CN"/>
        </w:rPr>
        <w:t>计算每种可能性下的补偿方案：对每种拆迁可能性计算出面积、采光、修缮等多个因素的综合补偿。</w:t>
      </w:r>
    </w:p>
    <w:p>
      <w:pPr>
        <w:bidi w:val="0"/>
        <w:rPr>
          <w:rFonts w:hint="default"/>
          <w:lang w:val="en-US" w:eastAsia="zh-CN"/>
        </w:rPr>
      </w:pPr>
      <w:r>
        <w:rPr>
          <w:rFonts w:hint="default"/>
          <w:lang w:val="en-US" w:eastAsia="zh-CN"/>
        </w:rPr>
        <w:t>根据熵权法确定权重：对于每个补偿因素，基于熵权法计算权重。</w:t>
      </w:r>
    </w:p>
    <w:p>
      <w:pPr>
        <w:bidi w:val="0"/>
        <w:rPr>
          <w:rFonts w:hint="default"/>
          <w:lang w:val="en-US" w:eastAsia="zh-CN"/>
        </w:rPr>
      </w:pPr>
      <w:r>
        <w:rPr>
          <w:rFonts w:hint="default"/>
          <w:lang w:val="en-US" w:eastAsia="zh-CN"/>
        </w:rPr>
        <w:t>使用理想解法计算补偿值：根据理想解法为每个居民计算理想补偿，结合每个居民的具体情况，确定其最终的补偿方案。修缮补偿的最大值为 20 万元，最小值为 0。在计算过程中，修缮补偿将根据每个居民的相对接近度和其他补偿因素来分配，确保每个居民的补偿金额合理、公平。</w:t>
      </w:r>
    </w:p>
    <w:p>
      <w:pPr>
        <w:pStyle w:val="2"/>
        <w:rPr>
          <w:rFonts w:hint="eastAsia"/>
          <w:lang w:val="en-US" w:eastAsia="zh-CN"/>
        </w:rPr>
      </w:pPr>
      <w:r>
        <w:rPr>
          <w:rFonts w:hint="eastAsia"/>
          <w:lang w:val="en-US" w:eastAsia="zh-CN"/>
        </w:rPr>
        <w:t>最终结果如下所示</w:t>
      </w:r>
    </w:p>
    <w:p>
      <w:pPr>
        <w:pStyle w:val="2"/>
        <w:jc w:val="center"/>
        <w:rPr>
          <w:rFonts w:hint="default"/>
          <w:lang w:val="en-US" w:eastAsia="zh-CN"/>
        </w:rPr>
      </w:pPr>
      <w:r>
        <w:drawing>
          <wp:inline distT="0" distB="0" distL="114300" distR="114300">
            <wp:extent cx="2667000" cy="1821180"/>
            <wp:effectExtent l="0" t="0" r="0" b="762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16"/>
                    <a:stretch>
                      <a:fillRect/>
                    </a:stretch>
                  </pic:blipFill>
                  <pic:spPr>
                    <a:xfrm>
                      <a:off x="0" y="0"/>
                      <a:ext cx="2667000" cy="1821180"/>
                    </a:xfrm>
                    <a:prstGeom prst="rect">
                      <a:avLst/>
                    </a:prstGeom>
                    <a:noFill/>
                    <a:ln>
                      <a:noFill/>
                    </a:ln>
                  </pic:spPr>
                </pic:pic>
              </a:graphicData>
            </a:graphic>
          </wp:inline>
        </w:drawing>
      </w:r>
    </w:p>
    <w:p>
      <w:pPr>
        <w:pStyle w:val="4"/>
        <w:pageBreakBefore w:val="0"/>
        <w:wordWrap/>
        <w:overflowPunct/>
        <w:topLinePunct w:val="0"/>
        <w:bidi w:val="0"/>
        <w:adjustRightInd/>
        <w:spacing w:before="0" w:beforeLines="0" w:beforeAutospacing="0" w:after="0" w:afterLines="0" w:afterAutospacing="0" w:line="240" w:lineRule="auto"/>
        <w:outlineLvl w:val="2"/>
        <w:rPr>
          <w:rFonts w:hint="eastAsia"/>
          <w:lang w:val="en-US" w:eastAsia="zh-CN"/>
        </w:rPr>
      </w:pPr>
      <w:bookmarkStart w:id="108" w:name="_Toc28066"/>
      <w:bookmarkStart w:id="109" w:name="_Toc21336"/>
      <w:bookmarkStart w:id="110" w:name="_Toc27244"/>
      <w:r>
        <w:rPr>
          <w:rFonts w:hint="eastAsia"/>
          <w:lang w:val="en-US" w:eastAsia="zh-CN"/>
        </w:rPr>
        <w:t xml:space="preserve">5.3 </w:t>
      </w:r>
      <w:bookmarkEnd w:id="108"/>
      <w:bookmarkEnd w:id="109"/>
      <w:r>
        <w:rPr>
          <w:rFonts w:hint="eastAsia"/>
          <w:lang w:val="en-US" w:eastAsia="zh-CN"/>
        </w:rPr>
        <w:t>问题二：优化模型</w:t>
      </w:r>
      <w:bookmarkEnd w:id="110"/>
    </w:p>
    <w:p>
      <w:pPr>
        <w:rPr>
          <w:rFonts w:hint="default"/>
          <w:lang w:val="en-US" w:eastAsia="zh-CN"/>
        </w:rPr>
      </w:pPr>
      <w:r>
        <w:rPr>
          <w:rFonts w:hint="eastAsia"/>
          <w:lang w:val="en-US" w:eastAsia="zh-CN"/>
        </w:rPr>
        <w:t>针对问题二极值的求解，目标是根据给定的搬迁条件和限制，通过优化方法为每个居民选择一个合适的目标地块。直接引入问题一计算出的全部可能性 进行遍历求解时间复杂度过高，因此本节引入</w:t>
      </w:r>
      <w:r>
        <w:rPr>
          <w:rFonts w:ascii="宋体" w:hAnsi="宋体" w:eastAsia="宋体" w:cs="宋体"/>
          <w:sz w:val="24"/>
          <w:szCs w:val="24"/>
        </w:rPr>
        <w:t>了贪心算法来决策每个居民的搬迁目标，并尽量在满足居民需求的同时最大化开发商的利益，特别是在腾出完整院落方面。</w:t>
      </w:r>
    </w:p>
    <w:p>
      <w:pPr>
        <w:pStyle w:val="5"/>
        <w:bidi w:val="0"/>
        <w:rPr>
          <w:rFonts w:hint="default"/>
          <w:lang w:val="en-US" w:eastAsia="zh-CN"/>
        </w:rPr>
      </w:pPr>
      <w:bookmarkStart w:id="111" w:name="_Toc11245"/>
      <w:r>
        <w:rPr>
          <w:rFonts w:hint="eastAsia"/>
          <w:lang w:val="en-US" w:eastAsia="zh-CN"/>
        </w:rPr>
        <w:t>5.3.1 优化模型建立</w:t>
      </w:r>
      <w:bookmarkEnd w:id="111"/>
    </w:p>
    <w:p>
      <w:pPr>
        <w:bidi w:val="0"/>
      </w:pPr>
      <w:r>
        <w:t>1．数据加载与预处理</w:t>
      </w:r>
      <w:r>
        <w:br w:type="textWrapping"/>
      </w:r>
      <w:r>
        <w:t>首先，代码加载了两个主要的数据表：</w:t>
      </w:r>
      <w:r>
        <w:br w:type="textWrapping"/>
      </w:r>
      <w:r>
        <w:t>－relocation＿data 表格包含了每个居民的搬迁信息，包括居民地块ID，目标地块ID，居民地块面积，目标地块面积，朝向，是否临街，所属院落ID等信息。</w:t>
      </w:r>
      <w:r>
        <w:br w:type="textWrapping"/>
      </w:r>
      <w:r>
        <w:t>－plot＿info 表格包含了地块的详细信息，如地块ID，院落ID，面积，是否有居民等。</w:t>
      </w:r>
      <w:r>
        <w:br w:type="textWrapping"/>
      </w:r>
      <w:r>
        <w:t>通过将这些数据读取进来，程序能够访问到每个地块的详细信息，以及哪些地块已经被居民占用。</w:t>
      </w:r>
      <w:r>
        <w:br w:type="textWrapping"/>
      </w:r>
      <w:r>
        <w:t>2．邻接矩阵的构建</w:t>
      </w:r>
      <w:r>
        <w:br w:type="textWrapping"/>
      </w:r>
      <w:r>
        <w:t xml:space="preserve">邻接矩阵用于表示院落之间的毗邻关系。通过分析院落之间的空间布局，程序为 107 个院落构建了一个大小为 </w:t>
      </w:r>
      <m:oMath>
        <m:r>
          <m:rPr>
            <m:sty m:val="p"/>
          </m:rPr>
          <w:rPr>
            <w:rFonts w:ascii="Cambria Math" w:hAnsi="Cambria Math"/>
          </w:rPr>
          <m:t>107×107</m:t>
        </m:r>
      </m:oMath>
      <w:r>
        <w:t xml:space="preserve"> 的邻接矩阵，表示哪些院落是相邻的。该矩阵是对搬迁决策中的邻里关系的一种建模工具，邻接矩阵中的值为 1 表示两个院落相邻，值为 0 表示不相邻。</w:t>
      </w:r>
    </w:p>
    <w:p>
      <w:pPr>
        <w:bidi w:val="0"/>
      </w:pPr>
      <w:r>
        <w:t>通过这些毗邻关系，程序能够在后续步骤中考虑相邻院落腾空后的效益，例如，某个院落的腾空可能会对其相邻的院落产生正向影响。</w:t>
      </w:r>
    </w:p>
    <w:p>
      <w:pPr>
        <w:bidi w:val="0"/>
      </w:pPr>
      <w:r>
        <w:t>在该模型中，我们考虑了几个关键因素来决定每个居民的搬迁目标地块。以下是相关公式和计算方法的陈述：</w:t>
      </w:r>
      <w:r>
        <w:br w:type="textWrapping"/>
      </w:r>
      <w:r>
        <w:t>1．目标地块面积约束：</w:t>
      </w:r>
    </w:p>
    <w:p>
      <w:pPr>
        <w:bidi w:val="0"/>
      </w:pPr>
      <m:oMathPara>
        <m:oMath>
          <m:sSub>
            <m:sSubPr/>
            <m:e>
              <m:r>
                <m:rPr>
                  <m:sty m:val="p"/>
                </m:rPr>
                <w:rPr>
                  <w:rFonts w:ascii="Cambria Math" w:hAnsi="Cambria Math"/>
                </w:rPr>
                <m:t>A</m:t>
              </m:r>
            </m:e>
            <m:sub>
              <m:r>
                <m:rPr>
                  <m:nor/>
                  <m:sty m:val="p"/>
                </m:rPr>
                <w:rPr>
                  <w:rFonts w:ascii="Cambria Math" w:hAnsi="Cambria Math"/>
                  <w:b w:val="0"/>
                  <w:i w:val="0"/>
                </w:rPr>
                <m:t>target </m:t>
              </m:r>
            </m:sub>
          </m:sSub>
          <m:r>
            <m:rPr>
              <m:sty m:val="p"/>
            </m:rPr>
            <w:rPr>
              <w:rFonts w:ascii="Cambria Math" w:hAnsi="Cambria Math"/>
            </w:rPr>
            <m:t>&gt;</m:t>
          </m:r>
          <m:sSub>
            <m:sSubPr/>
            <m:e>
              <m:r>
                <m:rPr>
                  <m:sty m:val="p"/>
                </m:rPr>
                <w:rPr>
                  <w:rFonts w:ascii="Cambria Math" w:hAnsi="Cambria Math"/>
                </w:rPr>
                <m:t>A</m:t>
              </m:r>
            </m:e>
            <m:sub>
              <m:r>
                <m:rPr>
                  <m:nor/>
                  <m:sty m:val="p"/>
                </m:rPr>
                <w:rPr>
                  <w:rFonts w:ascii="Cambria Math" w:hAnsi="Cambria Math"/>
                  <w:b w:val="0"/>
                  <w:i w:val="0"/>
                </w:rPr>
                <m:t>resident </m:t>
              </m:r>
            </m:sub>
          </m:sSub>
          <m:r>
            <m:rPr>
              <m:sty m:val="p"/>
            </m:rPr>
            <w:rPr>
              <w:rFonts w:ascii="Cambria Math" w:hAnsi="Cambria Math"/>
            </w:rPr>
            <m:t xml:space="preserve">  且  </m:t>
          </m:r>
          <m:sSub>
            <m:sSubPr/>
            <m:e>
              <m:r>
                <m:rPr>
                  <m:sty m:val="p"/>
                </m:rPr>
                <w:rPr>
                  <w:rFonts w:ascii="Cambria Math" w:hAnsi="Cambria Math"/>
                </w:rPr>
                <m:t>A</m:t>
              </m:r>
            </m:e>
            <m:sub>
              <m:r>
                <m:rPr>
                  <m:nor/>
                  <m:sty m:val="p"/>
                </m:rPr>
                <w:rPr>
                  <w:rFonts w:ascii="Cambria Math" w:hAnsi="Cambria Math"/>
                  <w:b w:val="0"/>
                  <w:i w:val="0"/>
                </w:rPr>
                <m:t>target </m:t>
              </m:r>
            </m:sub>
          </m:sSub>
          <m:r>
            <m:rPr>
              <m:sty m:val="p"/>
            </m:rPr>
            <w:rPr>
              <w:rFonts w:ascii="Cambria Math" w:hAnsi="Cambria Math"/>
            </w:rPr>
            <m:t>≤1.3×</m:t>
          </m:r>
          <m:sSub>
            <m:sSubPr/>
            <m:e>
              <m:r>
                <m:rPr>
                  <m:sty m:val="p"/>
                </m:rPr>
                <w:rPr>
                  <w:rFonts w:ascii="Cambria Math" w:hAnsi="Cambria Math"/>
                </w:rPr>
                <m:t>A</m:t>
              </m:r>
            </m:e>
            <m:sub>
              <m:r>
                <m:rPr>
                  <m:nor/>
                  <m:sty m:val="p"/>
                </m:rPr>
                <w:rPr>
                  <w:rFonts w:ascii="Cambria Math" w:hAnsi="Cambria Math"/>
                  <w:b w:val="0"/>
                  <w:i w:val="0"/>
                </w:rPr>
                <m:t>resident </m:t>
              </m:r>
            </m:sub>
          </m:sSub>
        </m:oMath>
      </m:oMathPara>
    </w:p>
    <w:p>
      <w:pPr>
        <w:bidi w:val="0"/>
      </w:pPr>
      <w:r>
        <w:t>其中，</w:t>
      </w:r>
      <m:oMath>
        <m:sSub>
          <m:sSubPr/>
          <m:e>
            <m:r>
              <m:rPr>
                <m:sty m:val="p"/>
              </m:rPr>
              <w:rPr>
                <w:rFonts w:ascii="Cambria Math" w:hAnsi="Cambria Math"/>
              </w:rPr>
              <m:t>A</m:t>
            </m:r>
          </m:e>
          <m:sub>
            <m:r>
              <m:rPr>
                <m:sty m:val="p"/>
              </m:rPr>
              <w:rPr>
                <w:rFonts w:ascii="Cambria Math" w:hAnsi="Cambria Math"/>
              </w:rPr>
              <m:t>target</m:t>
            </m:r>
          </m:sub>
        </m:sSub>
      </m:oMath>
      <w:r>
        <w:t xml:space="preserve"> 是目标地块的面积，</w:t>
      </w:r>
      <m:oMath>
        <m:sSub>
          <m:sSubPr/>
          <m:e>
            <m:r>
              <m:rPr>
                <m:sty m:val="p"/>
              </m:rPr>
              <w:rPr>
                <w:rFonts w:ascii="Cambria Math" w:hAnsi="Cambria Math"/>
              </w:rPr>
              <m:t>A</m:t>
            </m:r>
          </m:e>
          <m:sub>
            <m:r>
              <m:rPr>
                <m:nor/>
                <m:sty m:val="p"/>
              </m:rPr>
              <w:rPr>
                <w:rFonts w:ascii="Cambria Math" w:hAnsi="Cambria Math"/>
                <w:b w:val="0"/>
                <w:i w:val="0"/>
              </w:rPr>
              <m:t>resident </m:t>
            </m:r>
          </m:sub>
        </m:sSub>
      </m:oMath>
      <w:r>
        <w:t xml:space="preserve"> 是居民当前地块的面积。</w:t>
      </w:r>
      <w:r>
        <w:br w:type="textWrapping"/>
      </w:r>
      <w:r>
        <w:t xml:space="preserve">2．相邻院落效益：对于目标地块的搬迁效益，我们考虑邻接矩阵中的相邻关系。假设 </w:t>
      </w:r>
      <m:oMath>
        <m:r>
          <m:rPr>
            <m:sty m:val="p"/>
          </m:rPr>
          <w:rPr>
            <w:rFonts w:ascii="Cambria Math" w:hAnsi="Cambria Math"/>
          </w:rPr>
          <m:t>Adj(i,j)=1</m:t>
        </m:r>
      </m:oMath>
      <w:r>
        <w:t xml:space="preserve"> 表示院落 </w:t>
      </w:r>
      <m:oMath>
        <m:r>
          <m:rPr>
            <m:sty m:val="p"/>
          </m:rPr>
          <w:rPr>
            <w:rFonts w:ascii="Cambria Math" w:hAnsi="Cambria Math"/>
          </w:rPr>
          <m:t>i</m:t>
        </m:r>
      </m:oMath>
      <w:r>
        <w:t xml:space="preserve"> 和院落 </w:t>
      </w:r>
      <m:oMath>
        <m:r>
          <m:rPr>
            <m:sty m:val="p"/>
          </m:rPr>
          <w:rPr>
            <w:rFonts w:ascii="Cambria Math" w:hAnsi="Cambria Math"/>
          </w:rPr>
          <m:t>j</m:t>
        </m:r>
      </m:oMath>
      <w:r>
        <w:t xml:space="preserve"> 相邻，则相邻院落腾空的效益可以表示为：</w:t>
      </w:r>
    </w:p>
    <w:p>
      <w:pPr>
        <w:bidi w:val="0"/>
      </w:pPr>
      <m:oMathPara>
        <m:oMath>
          <m:sSub>
            <m:sSubPr/>
            <m:e>
              <m:r>
                <m:rPr>
                  <m:nor/>
                  <m:sty m:val="p"/>
                </m:rPr>
                <w:rPr>
                  <w:rFonts w:ascii="Cambria Math" w:hAnsi="Cambria Math"/>
                  <w:b w:val="0"/>
                  <w:i w:val="0"/>
                </w:rPr>
                <m:t> Benefit </m:t>
              </m:r>
            </m:e>
            <m:sub>
              <m:r>
                <m:rPr>
                  <m:nor/>
                  <m:sty m:val="p"/>
                </m:rPr>
                <w:rPr>
                  <w:rFonts w:ascii="Cambria Math" w:hAnsi="Cambria Math"/>
                  <w:b w:val="0"/>
                  <w:i w:val="0"/>
                </w:rPr>
                <m:t>adjacent </m:t>
              </m:r>
            </m:sub>
          </m:sSub>
          <m:r>
            <m:rPr>
              <m:sty m:val="p"/>
            </m:rPr>
            <w:rPr>
              <w:rFonts w:ascii="Cambria Math" w:hAnsi="Cambria Math"/>
            </w:rPr>
            <m:t>=</m:t>
          </m:r>
          <m:nary>
            <m:naryPr>
              <m:chr m:val="∑"/>
              <m:grow m:val="1"/>
              <m:limLoc m:val="undOvr"/>
              <m:supHide m:val="1"/>
            </m:naryPr>
            <m:sub>
              <m:r>
                <m:rPr>
                  <m:sty m:val="p"/>
                </m:rPr>
                <w:rPr>
                  <w:rFonts w:ascii="Cambria Math" w:hAnsi="Cambria Math"/>
                </w:rPr>
                <m:t>k∈ adjacent courtyards </m:t>
              </m:r>
            </m:sub>
            <m:sup/>
            <m:e>
              <m:r>
                <m:rPr>
                  <m:sty m:val="p"/>
                </m:rPr>
                <w:rPr>
                  <w:rFonts w:ascii="Cambria Math" w:hAnsi="Cambria Math"/>
                </w:rPr>
                <m:t> </m:t>
              </m:r>
            </m:e>
          </m:nary>
          <m:r>
            <m:rPr>
              <m:sty m:val="p"/>
            </m:rPr>
            <w:rPr>
              <w:rFonts w:ascii="Cambria Math" w:hAnsi="Cambria Math"/>
            </w:rPr>
            <m:t>1</m:t>
          </m:r>
        </m:oMath>
      </m:oMathPara>
    </w:p>
    <w:p>
      <w:pPr>
        <w:bidi w:val="0"/>
      </w:pPr>
      <w:r>
        <w:t>其中，</w:t>
      </w:r>
      <m:oMath>
        <m:r>
          <m:rPr>
            <m:sty m:val="p"/>
          </m:rPr>
          <w:rPr>
            <w:rFonts w:ascii="Cambria Math" w:hAnsi="Cambria Math"/>
          </w:rPr>
          <m:t>k</m:t>
        </m:r>
      </m:oMath>
      <w:r>
        <w:t xml:space="preserve"> 是与目标地块相邻的院落，且每个相邻院落腾空都贡献 1 单位效益。</w:t>
      </w:r>
      <w:r>
        <w:br w:type="textWrapping"/>
      </w:r>
      <w:r>
        <w:t xml:space="preserve">3．完整院落腾空效益：如果目标地块腾空后能够腾出一个完整的院落，效益会增加。完整院落的判断条件是该院落内所有地块都已腾空。假设院落 </w:t>
      </w:r>
      <m:oMath>
        <m:r>
          <m:rPr>
            <m:sty m:val="p"/>
          </m:rPr>
          <w:rPr>
            <w:rFonts w:ascii="Cambria Math" w:hAnsi="Cambria Math"/>
          </w:rPr>
          <m:t>i</m:t>
        </m:r>
      </m:oMath>
      <w:r>
        <w:t xml:space="preserve"> 内的所有地块ID为 </w:t>
      </w:r>
      <m:oMath>
        <m:d>
          <m:dPr>
            <m:begChr m:val="{"/>
            <m:endChr m:val="}"/>
            <m:ctrlPr>
              <w:rPr>
                <w:rFonts w:ascii="Cambria Math" w:hAnsi="Cambria Math"/>
              </w:rPr>
            </m:ctrlPr>
          </m:dPr>
          <m:e>
            <m:sSub>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e>
                <m:r>
                  <m:rPr>
                    <m:sty m:val="p"/>
                  </m:rPr>
                  <w:rPr>
                    <w:rFonts w:ascii="Cambria Math" w:hAnsi="Cambria Math"/>
                  </w:rPr>
                  <m:t>p</m:t>
                </m:r>
              </m:e>
              <m:sub>
                <m:r>
                  <m:rPr>
                    <m:sty m:val="p"/>
                  </m:rPr>
                  <w:rPr>
                    <w:rFonts w:ascii="Cambria Math" w:hAnsi="Cambria Math"/>
                  </w:rPr>
                  <m:t>m</m:t>
                </m:r>
              </m:sub>
            </m:sSub>
            <m:ctrlPr>
              <w:rPr>
                <w:rFonts w:ascii="Cambria Math" w:hAnsi="Cambria Math"/>
              </w:rPr>
            </m:ctrlPr>
          </m:e>
        </m:d>
      </m:oMath>
      <w:r>
        <w:t xml:space="preserve"> ，则完整院落的效益为：</w:t>
      </w:r>
    </w:p>
    <w:p>
      <w:pPr>
        <w:spacing w:after="220"/>
      </w:pPr>
      <m:oMathPara>
        <m:oMath>
          <m:sSub>
            <m:sSubPr/>
            <m:e>
              <m:r>
                <m:rPr>
                  <m:nor/>
                  <m:sty m:val="p"/>
                </m:rPr>
                <w:rPr>
                  <w:b w:val="0"/>
                  <w:i w:val="0"/>
                </w:rPr>
                <m:t> Benefit </m:t>
              </m:r>
            </m:e>
            <m:sub>
              <m:r>
                <m:rPr>
                  <m:nor/>
                  <m:sty m:val="p"/>
                </m:rPr>
                <w:rPr>
                  <w:b w:val="0"/>
                  <w:i w:val="0"/>
                </w:rPr>
                <m:t>full </m:t>
              </m:r>
            </m:sub>
          </m:sSub>
          <m:r>
            <m:rPr>
              <m:nor/>
              <m:sty m:val="p"/>
            </m:rPr>
            <w:rPr>
              <w:b w:val="0"/>
              <w:i w:val="0"/>
            </w:rPr>
            <m:t> courtyard =</m:t>
          </m:r>
          <m:d>
            <m:dPr>
              <m:begChr m:val="{"/>
              <m:endChr m:val=""/>
              <m:ctrlPr>
                <w:rPr>
                  <w:rFonts w:ascii="Cambria Math" w:hAnsi="Cambria Math"/>
                </w:rPr>
              </m:ctrlPr>
            </m:dPr>
            <m:e>
              <m:m>
                <m:mPr>
                  <m:mcs>
                    <m:mc>
                      <m:mcPr>
                        <m:count m:val="2"/>
                        <m:mcJc m:val="left"/>
                      </m:mcPr>
                    </m:mc>
                  </m:mcs>
                  <m:plcHide m:val="1"/>
                  <m:ctrlPr>
                    <w:rPr>
                      <w:rFonts w:ascii="Cambria Math" w:hAnsi="Cambria Math"/>
                      <w:i/>
                    </w:rPr>
                  </m:ctrlPr>
                </m:mPr>
                <m:mr>
                  <m:e>
                    <m:r>
                      <m:rPr>
                        <m:sty m:val="p"/>
                      </m:rPr>
                      <m:t>1,</m:t>
                    </m:r>
                    <m:ctrlPr>
                      <w:rPr>
                        <w:rFonts w:ascii="Cambria Math" w:hAnsi="Cambria Math"/>
                        <w:i/>
                      </w:rPr>
                    </m:ctrlPr>
                  </m:e>
                  <m:e>
                    <m:r>
                      <m:rPr>
                        <m:nor/>
                        <m:sty m:val="p"/>
                      </m:rPr>
                      <w:rPr>
                        <w:b w:val="0"/>
                        <w:i w:val="0"/>
                      </w:rPr>
                      <m:t> if all residents of courtyard </m:t>
                    </m:r>
                    <m:r>
                      <m:rPr/>
                      <m:t>i</m:t>
                    </m:r>
                    <m:r>
                      <m:rPr>
                        <m:nor/>
                        <m:sty m:val="p"/>
                      </m:rPr>
                      <w:rPr>
                        <w:b w:val="0"/>
                        <w:i w:val="0"/>
                      </w:rPr>
                      <m:t> are moved out </m:t>
                    </m:r>
                    <m:ctrlPr>
                      <w:rPr>
                        <w:rFonts w:ascii="Cambria Math" w:hAnsi="Cambria Math"/>
                        <w:i/>
                      </w:rPr>
                    </m:ctrlPr>
                  </m:e>
                </m:mr>
                <m:mr>
                  <m:e>
                    <m:r>
                      <m:rPr>
                        <m:sty m:val="p"/>
                      </m:rPr>
                      <m:t>0,</m:t>
                    </m:r>
                    <m:ctrlPr>
                      <w:rPr>
                        <w:rFonts w:ascii="Cambria Math" w:hAnsi="Cambria Math"/>
                        <w:i/>
                      </w:rPr>
                    </m:ctrlPr>
                  </m:e>
                  <m:e>
                    <m:r>
                      <m:rPr>
                        <m:nor/>
                        <m:sty m:val="p"/>
                      </m:rPr>
                      <w:rPr>
                        <w:b w:val="0"/>
                        <w:i w:val="0"/>
                      </w:rPr>
                      <m:t> otherwise </m:t>
                    </m:r>
                    <m:ctrlPr>
                      <w:rPr>
                        <w:rFonts w:ascii="Cambria Math" w:hAnsi="Cambria Math"/>
                        <w:i/>
                      </w:rPr>
                    </m:ctrlPr>
                  </m:e>
                </m:mr>
              </m:m>
              <m:ctrlPr>
                <w:rPr>
                  <w:rFonts w:ascii="Cambria Math" w:hAnsi="Cambria Math"/>
                </w:rPr>
              </m:ctrlPr>
            </m:e>
          </m:d>
        </m:oMath>
      </m:oMathPara>
    </w:p>
    <w:p>
      <w:pPr>
        <w:bidi w:val="0"/>
        <w:ind w:left="0" w:leftChars="0" w:firstLine="0" w:firstLineChars="0"/>
      </w:pPr>
      <w:r>
        <w:t>4．最终效益计算：每个目标地块的最终效益计算结合了相邻院落腾空效益，完整院落腾空效益和地块面积：</w:t>
      </w:r>
    </w:p>
    <w:p>
      <w:pPr>
        <w:bidi w:val="0"/>
      </w:pPr>
      <m:oMathPara>
        <m:oMath>
          <m:sSub>
            <m:sSubPr/>
            <m:e>
              <m:r>
                <m:rPr>
                  <m:nor/>
                  <m:sty m:val="p"/>
                </m:rPr>
                <w:rPr>
                  <w:rFonts w:ascii="Cambria Math" w:hAnsi="Cambria Math"/>
                  <w:b w:val="0"/>
                  <w:i w:val="0"/>
                </w:rPr>
                <m:t> Total Benefit </m:t>
              </m:r>
            </m:e>
            <m:sub>
              <m:r>
                <m:rPr>
                  <m:nor/>
                  <m:sty m:val="p"/>
                </m:rPr>
                <w:rPr>
                  <w:rFonts w:ascii="Cambria Math" w:hAnsi="Cambria Math"/>
                  <w:b w:val="0"/>
                  <w:i w:val="0"/>
                </w:rPr>
                <m:t>target </m:t>
              </m:r>
            </m:sub>
          </m:sSub>
          <m:r>
            <m:rPr>
              <m:sty m:val="p"/>
            </m:rPr>
            <w:rPr>
              <w:rFonts w:ascii="Cambria Math" w:hAnsi="Cambria Math"/>
            </w:rPr>
            <m:t>=</m:t>
          </m:r>
          <m:sSub>
            <m:sSubPr/>
            <m:e>
              <m:r>
                <m:rPr>
                  <m:nor/>
                  <m:sty m:val="p"/>
                </m:rPr>
                <w:rPr>
                  <w:rFonts w:ascii="Cambria Math" w:hAnsi="Cambria Math"/>
                  <w:b w:val="0"/>
                  <w:i w:val="0"/>
                </w:rPr>
                <m:t> Benefit </m:t>
              </m:r>
            </m:e>
            <m:sub>
              <m:r>
                <m:rPr>
                  <m:nor/>
                  <m:sty m:val="p"/>
                </m:rPr>
                <w:rPr>
                  <w:rFonts w:ascii="Cambria Math" w:hAnsi="Cambria Math"/>
                  <w:b w:val="0"/>
                  <w:i w:val="0"/>
                </w:rPr>
                <m:t>adjacent </m:t>
              </m:r>
            </m:sub>
          </m:sSub>
          <m:r>
            <m:rPr>
              <m:sty m:val="p"/>
            </m:rPr>
            <w:rPr>
              <w:rFonts w:ascii="Cambria Math" w:hAnsi="Cambria Math"/>
            </w:rPr>
            <m:t>+</m:t>
          </m:r>
          <m:sSub>
            <m:sSubPr/>
            <m:e>
              <m:r>
                <m:rPr>
                  <m:nor/>
                  <m:sty m:val="p"/>
                </m:rPr>
                <w:rPr>
                  <w:rFonts w:ascii="Cambria Math" w:hAnsi="Cambria Math"/>
                  <w:b w:val="0"/>
                  <w:i w:val="0"/>
                </w:rPr>
                <m:t> Benefit </m:t>
              </m:r>
            </m:e>
            <m:sub>
              <m:r>
                <m:rPr>
                  <m:nor/>
                  <m:sty m:val="p"/>
                </m:rPr>
                <w:rPr>
                  <w:rFonts w:ascii="Cambria Math" w:hAnsi="Cambria Math"/>
                  <w:b w:val="0"/>
                  <w:i w:val="0"/>
                </w:rPr>
                <m:t>full </m:t>
              </m:r>
            </m:sub>
          </m:sSub>
          <m:r>
            <m:rPr>
              <m:nor/>
              <m:sty m:val="p"/>
            </m:rPr>
            <w:rPr>
              <w:rFonts w:ascii="Cambria Math" w:hAnsi="Cambria Math"/>
              <w:b w:val="0"/>
              <w:i w:val="0"/>
            </w:rPr>
            <m:t> courtyard ×10+</m:t>
          </m:r>
          <m:sSub>
            <m:sSubPr/>
            <m:e>
              <m:r>
                <m:rPr>
                  <m:sty m:val="p"/>
                </m:rPr>
                <w:rPr>
                  <w:rFonts w:ascii="Cambria Math" w:hAnsi="Cambria Math"/>
                </w:rPr>
                <m:t>A</m:t>
              </m:r>
            </m:e>
            <m:sub>
              <m:r>
                <m:rPr>
                  <m:nor/>
                  <m:sty m:val="p"/>
                </m:rPr>
                <w:rPr>
                  <w:rFonts w:ascii="Cambria Math" w:hAnsi="Cambria Math"/>
                  <w:b w:val="0"/>
                  <w:i w:val="0"/>
                </w:rPr>
                <m:t>target </m:t>
              </m:r>
            </m:sub>
          </m:sSub>
        </m:oMath>
      </m:oMathPara>
    </w:p>
    <w:p>
      <w:pPr>
        <w:bidi w:val="0"/>
      </w:pPr>
      <w:r>
        <w:t>其中，</w:t>
      </w:r>
      <m:oMath>
        <m:r>
          <m:rPr>
            <m:sty m:val="p"/>
          </m:rPr>
          <w:rPr>
            <w:rFonts w:ascii="Cambria Math" w:hAnsi="Cambria Math"/>
          </w:rPr>
          <m:t>×10</m:t>
        </m:r>
      </m:oMath>
      <w:r>
        <w:t xml:space="preserve"> 是一个权重，表示腾出完整院落的影晌更大。</w:t>
      </w:r>
      <w:r>
        <w:br w:type="textWrapping"/>
      </w:r>
      <w:r>
        <w:t>5．最终选择的目标地块：每个居民的目标地块通过比较效益选择，选择最大效益的目标地块：</w:t>
      </w:r>
    </w:p>
    <w:p>
      <w:pPr>
        <w:bidi w:val="0"/>
      </w:pPr>
      <m:oMathPara>
        <m:oMath>
          <m:r>
            <m:rPr>
              <m:nor/>
              <m:sty m:val="p"/>
            </m:rPr>
            <w:rPr>
              <w:rFonts w:ascii="Cambria Math" w:hAnsi="Cambria Math"/>
              <w:b w:val="0"/>
              <w:i w:val="0"/>
            </w:rPr>
            <m:t> Best Target =arg⁡max</m:t>
          </m:r>
          <m:d>
            <m:dPr>
              <m:ctrlPr>
                <w:rPr>
                  <w:rFonts w:ascii="Cambria Math" w:hAnsi="Cambria Math"/>
                </w:rPr>
              </m:ctrlPr>
            </m:dPr>
            <m:e>
              <m:sSub>
                <m:sSubPr/>
                <m:e>
                  <m:r>
                    <m:rPr>
                      <m:nor/>
                      <m:sty m:val="p"/>
                    </m:rPr>
                    <w:rPr>
                      <w:rFonts w:ascii="Cambria Math" w:hAnsi="Cambria Math"/>
                      <w:b w:val="0"/>
                      <w:i w:val="0"/>
                    </w:rPr>
                    <m:t> Total Benefit </m:t>
                  </m:r>
                </m:e>
                <m:sub>
                  <m:r>
                    <m:rPr>
                      <m:nor/>
                      <m:sty m:val="p"/>
                    </m:rPr>
                    <w:rPr>
                      <w:rFonts w:ascii="Cambria Math" w:hAnsi="Cambria Math"/>
                      <w:b w:val="0"/>
                      <w:i w:val="0"/>
                    </w:rPr>
                    <m:t>target </m:t>
                  </m:r>
                </m:sub>
              </m:sSub>
              <m:ctrlPr>
                <w:rPr>
                  <w:rFonts w:ascii="Cambria Math" w:hAnsi="Cambria Math"/>
                </w:rPr>
              </m:ctrlPr>
            </m:e>
          </m:d>
        </m:oMath>
      </m:oMathPara>
    </w:p>
    <w:p>
      <w:pPr>
        <w:bidi w:val="0"/>
        <w:ind w:left="0" w:leftChars="0" w:firstLine="0" w:firstLineChars="0"/>
      </w:pPr>
      <w:r>
        <w:t>6．搬迁后的地块更新：一旦选择了目标地块，更新目标地块的占用状态：</w:t>
      </w:r>
    </w:p>
    <w:p>
      <w:pPr>
        <w:bidi w:val="0"/>
      </w:pPr>
      <m:oMathPara>
        <m:oMath>
          <m:sSub>
            <m:sSubPr/>
            <m:e>
              <m:r>
                <m:rPr>
                  <m:nor/>
                  <m:sty m:val="p"/>
                </m:rPr>
                <w:rPr>
                  <w:rFonts w:ascii="Cambria Math" w:hAnsi="Cambria Math"/>
                  <w:b w:val="0"/>
                  <w:i w:val="0"/>
                </w:rPr>
                <m:t> Occupied </m:t>
              </m:r>
            </m:e>
            <m:sub>
              <m:r>
                <m:rPr>
                  <m:nor/>
                  <m:sty m:val="p"/>
                </m:rPr>
                <w:rPr>
                  <w:rFonts w:ascii="Cambria Math" w:hAnsi="Cambria Math"/>
                  <w:b w:val="0"/>
                  <w:i w:val="0"/>
                </w:rPr>
                <m:t>target </m:t>
              </m:r>
            </m:sub>
          </m:sSub>
          <m:r>
            <m:rPr>
              <m:sty m:val="p"/>
            </m:rPr>
            <w:rPr>
              <w:rFonts w:ascii="Cambria Math" w:hAnsi="Cambria Math"/>
            </w:rPr>
            <m:t>=1</m:t>
          </m:r>
        </m:oMath>
      </m:oMathPara>
    </w:p>
    <w:p>
      <w:pPr>
        <w:bidi w:val="0"/>
      </w:pPr>
      <w:r>
        <w:t>并将居民原地块的占用状态更新为 0 ：</w:t>
      </w:r>
    </w:p>
    <w:p>
      <w:pPr>
        <w:bidi w:val="0"/>
      </w:pPr>
      <m:oMathPara>
        <m:oMath>
          <m:sSub>
            <m:sSubPr/>
            <m:e>
              <m:r>
                <m:rPr>
                  <m:nor/>
                  <m:sty m:val="p"/>
                </m:rPr>
                <w:rPr>
                  <w:rFonts w:ascii="Cambria Math" w:hAnsi="Cambria Math"/>
                  <w:b w:val="0"/>
                  <w:i w:val="0"/>
                </w:rPr>
                <m:t> Occupied </m:t>
              </m:r>
            </m:e>
            <m:sub>
              <m:r>
                <m:rPr>
                  <m:nor/>
                  <m:sty m:val="p"/>
                </m:rPr>
                <w:rPr>
                  <w:rFonts w:ascii="Cambria Math" w:hAnsi="Cambria Math"/>
                  <w:b w:val="0"/>
                  <w:i w:val="0"/>
                </w:rPr>
                <m:t>resident </m:t>
              </m:r>
            </m:sub>
          </m:sSub>
          <m:r>
            <m:rPr>
              <m:sty m:val="p"/>
            </m:rPr>
            <w:rPr>
              <w:rFonts w:ascii="Cambria Math" w:hAnsi="Cambria Math"/>
            </w:rPr>
            <m:t>=0</m:t>
          </m:r>
        </m:oMath>
      </m:oMathPara>
    </w:p>
    <w:p>
      <w:pPr>
        <w:numPr>
          <w:ilvl w:val="0"/>
          <w:numId w:val="7"/>
        </w:numPr>
        <w:bidi w:val="0"/>
        <w:ind w:left="0" w:leftChars="0" w:firstLine="0" w:firstLineChars="0"/>
      </w:pPr>
      <w:r>
        <w:t>最终腾出的完整院落数量：计算最终腾出的完整院落数量：</w:t>
      </w:r>
    </w:p>
    <w:p>
      <w:pPr>
        <w:numPr>
          <w:ilvl w:val="0"/>
          <w:numId w:val="7"/>
        </w:numPr>
        <w:bidi w:val="0"/>
        <w:rPr>
          <w:rFonts w:hint="default"/>
          <w:lang w:val="en-US" w:eastAsia="zh-CN"/>
        </w:rPr>
      </w:pPr>
      <m:oMath>
        <m:r>
          <m:rPr>
            <m:nor/>
            <m:sty m:val="p"/>
          </m:rPr>
          <w:rPr>
            <w:rFonts w:ascii="Cambria Math" w:hAnsi="Cambria Math"/>
            <w:b w:val="0"/>
            <w:i w:val="0"/>
          </w:rPr>
          <m:t> Total Full Courtyards =</m:t>
        </m:r>
        <m:nary>
          <m:naryPr>
            <m:chr m:val="∑"/>
            <m:grow m:val="1"/>
            <m:limLoc m:val="undOvr"/>
          </m:naryPr>
          <m:sub>
            <m:r>
              <m:rPr>
                <m:sty m:val="p"/>
              </m:rPr>
              <w:rPr>
                <w:rFonts w:ascii="Cambria Math" w:hAnsi="Cambria Math"/>
              </w:rPr>
              <m:t>i=1</m:t>
            </m:r>
          </m:sub>
          <m:sup>
            <m:sSub>
              <m:sSubPr/>
              <m:e>
                <m:r>
                  <m:rPr>
                    <m:sty m:val="p"/>
                  </m:rPr>
                  <w:rPr>
                    <w:rFonts w:ascii="Cambria Math" w:hAnsi="Cambria Math"/>
                  </w:rPr>
                  <m:t>n</m:t>
                </m:r>
              </m:e>
              <m:sub>
                <m:r>
                  <m:rPr>
                    <m:nor/>
                    <m:sty m:val="p"/>
                  </m:rPr>
                  <w:rPr>
                    <w:rFonts w:ascii="Cambria Math" w:hAnsi="Cambria Math"/>
                    <w:b w:val="0"/>
                    <w:i w:val="0"/>
                  </w:rPr>
                  <m:t>courtrads </m:t>
                </m:r>
              </m:sub>
            </m:sSub>
          </m:sup>
          <m:e>
            <m:d>
              <m:dPr>
                <m:begChr m:val="{"/>
                <m:endChr m:val=""/>
                <m:ctrlPr>
                  <w:rPr>
                    <w:i w:val="0"/>
                  </w:rPr>
                </m:ctrlPr>
              </m:dPr>
              <m:e>
                <m:eqArr>
                  <m:eqArrPr>
                    <m:ctrlPr>
                      <w:rPr>
                        <w:i w:val="0"/>
                      </w:rPr>
                    </m:ctrlPr>
                  </m:eqArrPr>
                  <m:e>
                    <m:r>
                      <m:rPr>
                        <m:sty m:val="p"/>
                      </m:rPr>
                      <w:rPr>
                        <w:rFonts w:hint="default" w:ascii="Cambria Math" w:hAnsi="Cambria Math"/>
                        <w:lang w:val="en-US" w:eastAsia="zh-CN"/>
                      </w:rPr>
                      <m:t xml:space="preserve">          1      </m:t>
                    </m:r>
                    <m:r>
                      <m:rPr>
                        <m:sty m:val="p"/>
                      </m:rPr>
                      <w:rPr>
                        <w:rFonts w:hint="eastAsia" w:ascii="Cambria Math" w:hAnsi="Cambria Math"/>
                        <w:lang w:val="en-US" w:eastAsia="zh-CN"/>
                      </w:rPr>
                      <m:t>相互毗邻</m:t>
                    </m:r>
                    <m:ctrlPr>
                      <w:rPr>
                        <w:i w:val="0"/>
                      </w:rPr>
                    </m:ctrlPr>
                  </m:e>
                  <m:e>
                    <m:r>
                      <m:rPr>
                        <m:sty m:val="p"/>
                      </m:rPr>
                      <w:rPr>
                        <w:rFonts w:hint="default" w:ascii="Cambria Math" w:hAnsi="Cambria Math"/>
                        <w:lang w:val="en-US" w:eastAsia="zh-CN"/>
                      </w:rPr>
                      <m:t xml:space="preserve">  0         </m:t>
                    </m:r>
                    <m:r>
                      <m:rPr>
                        <m:sty m:val="p"/>
                      </m:rPr>
                      <w:rPr>
                        <w:rFonts w:hint="eastAsia" w:ascii="Cambria Math" w:hAnsi="Cambria Math"/>
                        <w:lang w:val="en-US" w:eastAsia="zh-CN"/>
                      </w:rPr>
                      <m:t>else</m:t>
                    </m:r>
                    <m:ctrlPr>
                      <w:rPr>
                        <w:i w:val="0"/>
                      </w:rPr>
                    </m:ctrlPr>
                  </m:e>
                </m:eqArr>
                <m:ctrlPr>
                  <w:rPr>
                    <w:i w:val="0"/>
                  </w:rPr>
                </m:ctrlPr>
              </m:e>
            </m:d>
            <m:r>
              <m:rPr>
                <m:sty m:val="p"/>
              </m:rPr>
              <w:rPr>
                <w:rFonts w:ascii="Cambria Math" w:hAnsi="Cambria Math"/>
              </w:rPr>
              <m:t> </m:t>
            </m:r>
          </m:e>
        </m:nary>
      </m:oMath>
    </w:p>
    <w:p>
      <w:pPr>
        <w:bidi w:val="0"/>
        <w:rPr>
          <w:rFonts w:hint="default" w:ascii="Times New Roman" w:hAnsi="Times New Roman" w:cs="Times New Roman"/>
        </w:rPr>
      </w:pPr>
      <w:bookmarkStart w:id="112" w:name="_Toc20352"/>
      <w:bookmarkStart w:id="113" w:name="_Toc13195"/>
      <w:r>
        <w:rPr>
          <w:rStyle w:val="26"/>
          <w:rFonts w:hint="eastAsia"/>
          <w:lang w:val="en-US" w:eastAsia="zh-CN"/>
        </w:rPr>
        <w:t>5.3.2</w:t>
      </w:r>
      <w:bookmarkEnd w:id="112"/>
      <w:r>
        <w:rPr>
          <w:rStyle w:val="26"/>
          <w:rFonts w:hint="eastAsia"/>
          <w:lang w:val="en-US" w:eastAsia="zh-CN"/>
        </w:rPr>
        <w:t>贪心算法求解</w:t>
      </w:r>
      <w:bookmarkEnd w:id="113"/>
      <w:r>
        <w:rPr>
          <w:rFonts w:hint="default" w:ascii="Times New Roman" w:hAnsi="Times New Roman" w:cs="Times New Roman"/>
        </w:rPr>
        <w:br w:type="textWrapping"/>
      </w:r>
    </w:p>
    <w:p>
      <w:pPr>
        <w:bidi w:val="0"/>
      </w:pPr>
      <w:r>
        <w:t>接下来，通过</w:t>
      </w:r>
      <w:r>
        <w:rPr>
          <w:rFonts w:hint="eastAsia"/>
          <w:lang w:val="en-US" w:eastAsia="zh-CN"/>
        </w:rPr>
        <w:t>贪</w:t>
      </w:r>
      <w:r>
        <w:t>心算法为每个居民选择最合适的目标地块。每个居民的可选目标地块从</w:t>
      </w:r>
      <w:r>
        <w:br w:type="textWrapping"/>
      </w:r>
      <w:r>
        <w:t>＊＊relocation＿data＊＊中获取。对于每个居民，算法会计算所有符合条件的目标地块，并根据以下标准选择最优目标地块：</w:t>
      </w:r>
    </w:p>
    <w:p>
      <w:pPr>
        <w:bidi w:val="0"/>
      </w:pPr>
      <w:r>
        <w:t>目标地块的面积：目标地块的面积必须大于当前地块面积且不超过当前地块面积的 1.3 倍。</w:t>
      </w:r>
    </w:p>
    <w:p>
      <w:pPr>
        <w:bidi w:val="0"/>
      </w:pPr>
      <w:r>
        <w:t>有效性检查：确保目标地块为空地且尚末被占用。</w:t>
      </w:r>
    </w:p>
    <w:p>
      <w:pPr>
        <w:bidi w:val="0"/>
      </w:pPr>
      <w:r>
        <w:t>搬迁效益：计算目标地块的搬迁效益，包括邻近性，能腾出的完整院落数量和目标地块的面积。</w:t>
      </w:r>
    </w:p>
    <w:p>
      <w:pPr>
        <w:bidi w:val="0"/>
      </w:pPr>
      <w:r>
        <w:t>邻近性：相邻的院落腾空会带来一定的效益，邻接矩阵中的数据决定了哪些院落是相邻的。</w:t>
      </w:r>
    </w:p>
    <w:p>
      <w:pPr>
        <w:bidi w:val="0"/>
      </w:pPr>
      <w:r>
        <w:t>完整院落腾空：如果目标地块腾空后，能够腾出一个完整的院落，则该地块的效益增加。一个完整院落是指该院落内所有地块都腾空。</w:t>
      </w:r>
      <w:r>
        <w:br w:type="textWrapping"/>
      </w:r>
      <w:r>
        <w:t>－面积：目标地块的面积也是一个重要的考量因素，面积越大的地块可能带来更高的补偿效益。</w:t>
      </w:r>
    </w:p>
    <w:p>
      <w:pPr>
        <w:bidi w:val="0"/>
      </w:pPr>
      <w:r>
        <w:t xml:space="preserve">设当前居民的地块面积为 </w:t>
      </w:r>
      <m:oMath>
        <m:sSub>
          <m:sSubPr/>
          <m:e>
            <m:r>
              <m:rPr>
                <m:sty m:val="p"/>
              </m:rPr>
              <w:rPr>
                <w:rFonts w:ascii="Cambria Math" w:hAnsi="Cambria Math"/>
              </w:rPr>
              <m:t>A</m:t>
            </m:r>
          </m:e>
          <m:sub>
            <m:r>
              <m:rPr>
                <m:nor/>
                <m:sty m:val="p"/>
              </m:rPr>
              <w:rPr>
                <w:rFonts w:ascii="Cambria Math" w:hAnsi="Cambria Math"/>
                <w:b w:val="0"/>
                <w:i w:val="0"/>
              </w:rPr>
              <m:t>resident </m:t>
            </m:r>
          </m:sub>
        </m:sSub>
      </m:oMath>
      <w:r>
        <w:t xml:space="preserve"> ，目标地块的面积为 </w:t>
      </w:r>
      <m:oMath>
        <m:sSub>
          <m:sSubPr/>
          <m:e>
            <m:r>
              <m:rPr>
                <m:sty m:val="p"/>
              </m:rPr>
              <w:rPr>
                <w:rFonts w:ascii="Cambria Math" w:hAnsi="Cambria Math"/>
              </w:rPr>
              <m:t>A</m:t>
            </m:r>
          </m:e>
          <m:sub>
            <m:r>
              <m:rPr>
                <m:sty m:val="p"/>
              </m:rPr>
              <w:rPr>
                <w:rFonts w:ascii="Cambria Math" w:hAnsi="Cambria Math"/>
              </w:rPr>
              <m:t>target</m:t>
            </m:r>
          </m:sub>
        </m:sSub>
      </m:oMath>
      <w:r>
        <w:t xml:space="preserve"> ，目标地块的采光评分为 </w:t>
      </w:r>
      <m:oMath>
        <m:sSub>
          <m:sSubPr/>
          <m:e>
            <m:r>
              <m:rPr>
                <m:sty m:val="p"/>
              </m:rPr>
              <w:rPr>
                <w:rFonts w:ascii="Cambria Math" w:hAnsi="Cambria Math"/>
              </w:rPr>
              <m:t>C</m:t>
            </m:r>
          </m:e>
          <m:sub>
            <m:r>
              <m:rPr>
                <m:sty m:val="p"/>
              </m:rPr>
              <w:rPr>
                <w:rFonts w:ascii="Cambria Math" w:hAnsi="Cambria Math"/>
              </w:rPr>
              <m:t>target</m:t>
            </m:r>
          </m:sub>
        </m:sSub>
      </m:oMath>
      <w:r>
        <w:t xml:space="preserve"> ，当前居民</w:t>
      </w:r>
    </w:p>
    <w:p>
      <w:pPr>
        <w:bidi w:val="0"/>
      </w:pPr>
      <w:r>
        <w:t xml:space="preserve">Benefit full courtyard，目标地块的面积为 </w:t>
      </w:r>
      <m:oMath>
        <m:sSub>
          <m:sSubPr/>
          <m:e>
            <m:r>
              <m:rPr>
                <m:sty m:val="p"/>
              </m:rPr>
              <w:rPr>
                <w:rFonts w:ascii="Cambria Math" w:hAnsi="Cambria Math"/>
              </w:rPr>
              <m:t>A</m:t>
            </m:r>
          </m:e>
          <m:sub>
            <m:r>
              <m:rPr>
                <m:nor/>
                <m:sty m:val="p"/>
              </m:rPr>
              <w:rPr>
                <w:rFonts w:ascii="Cambria Math" w:hAnsi="Cambria Math"/>
                <w:b w:val="0"/>
                <w:i w:val="0"/>
              </w:rPr>
              <m:t>target </m:t>
            </m:r>
          </m:sub>
        </m:sSub>
      </m:oMath>
      <w:r>
        <w:t xml:space="preserve"> 。</w:t>
      </w:r>
      <w:r>
        <w:br w:type="textWrapping"/>
      </w:r>
      <w:r>
        <w:t>目标地块的效益值可以通过以下公式计算：</w:t>
      </w:r>
    </w:p>
    <w:p>
      <w:pPr>
        <w:bidi w:val="0"/>
      </w:pPr>
      <m:oMathPara>
        <m:oMath>
          <m:sSub>
            <m:sSubPr/>
            <m:e>
              <m:r>
                <m:rPr>
                  <m:nor/>
                  <m:sty m:val="p"/>
                </m:rPr>
                <w:rPr>
                  <w:rFonts w:ascii="Cambria Math" w:hAnsi="Cambria Math"/>
                  <w:b w:val="0"/>
                  <w:i w:val="0"/>
                </w:rPr>
                <m:t> Total Benefit </m:t>
              </m:r>
            </m:e>
            <m:sub>
              <m:r>
                <m:rPr>
                  <m:nor/>
                  <m:sty m:val="p"/>
                </m:rPr>
                <w:rPr>
                  <w:rFonts w:ascii="Cambria Math" w:hAnsi="Cambria Math"/>
                  <w:b w:val="0"/>
                  <w:i w:val="0"/>
                </w:rPr>
                <m:t>target </m:t>
              </m:r>
            </m:sub>
          </m:sSub>
          <m:r>
            <m:rPr>
              <m:sty m:val="p"/>
            </m:rPr>
            <w:rPr>
              <w:rFonts w:ascii="Cambria Math" w:hAnsi="Cambria Math"/>
            </w:rPr>
            <m:t>=</m:t>
          </m:r>
          <m:sSub>
            <m:sSubPr/>
            <m:e>
              <m:r>
                <m:rPr>
                  <m:nor/>
                  <m:sty m:val="p"/>
                </m:rPr>
                <w:rPr>
                  <w:rFonts w:ascii="Cambria Math" w:hAnsi="Cambria Math"/>
                  <w:b w:val="0"/>
                  <w:i w:val="0"/>
                </w:rPr>
                <m:t> Benefit </m:t>
              </m:r>
            </m:e>
            <m:sub>
              <m:r>
                <m:rPr>
                  <m:nor/>
                  <m:sty m:val="p"/>
                </m:rPr>
                <w:rPr>
                  <w:rFonts w:ascii="Cambria Math" w:hAnsi="Cambria Math"/>
                  <w:b w:val="0"/>
                  <w:i w:val="0"/>
                </w:rPr>
                <m:t>adjacent </m:t>
              </m:r>
            </m:sub>
          </m:sSub>
          <m:r>
            <m:rPr>
              <m:sty m:val="p"/>
            </m:rPr>
            <w:rPr>
              <w:rFonts w:ascii="Cambria Math" w:hAnsi="Cambria Math"/>
            </w:rPr>
            <m:t>+ Benefit full courtyard ×10+</m:t>
          </m:r>
          <m:sSub>
            <m:sSubPr/>
            <m:e>
              <m:r>
                <m:rPr>
                  <m:sty m:val="p"/>
                </m:rPr>
                <w:rPr>
                  <w:rFonts w:ascii="Cambria Math" w:hAnsi="Cambria Math"/>
                </w:rPr>
                <m:t>A</m:t>
              </m:r>
            </m:e>
            <m:sub>
              <m:r>
                <m:rPr>
                  <m:nor/>
                  <m:sty m:val="p"/>
                </m:rPr>
                <w:rPr>
                  <w:rFonts w:ascii="Cambria Math" w:hAnsi="Cambria Math"/>
                  <w:b w:val="0"/>
                  <w:i w:val="0"/>
                </w:rPr>
                <m:t>target </m:t>
              </m:r>
            </m:sub>
          </m:sSub>
        </m:oMath>
      </m:oMathPara>
    </w:p>
    <w:p>
      <w:pPr>
        <w:bidi w:val="0"/>
      </w:pPr>
      <w:r>
        <w:t xml:space="preserve">－邻接效益（Benefit </w:t>
      </w:r>
      <m:oMath>
        <m:sSub>
          <m:sSubPr/>
          <m:e>
            <m:r>
              <m:rPr>
                <m:sty m:val="p"/>
              </m:rPr>
              <w:rPr>
                <w:rFonts w:ascii="Cambria Math" w:hAnsi="Cambria Math"/>
              </w:rPr>
              <m:t xml:space="preserve"> </m:t>
            </m:r>
          </m:e>
          <m:sub>
            <m:r>
              <m:rPr>
                <m:nor/>
                <m:sty m:val="p"/>
              </m:rPr>
              <w:rPr>
                <w:rFonts w:ascii="Cambria Math" w:hAnsi="Cambria Math"/>
                <w:b w:val="0"/>
                <w:i w:val="0"/>
              </w:rPr>
              <m:t>adjacent </m:t>
            </m:r>
          </m:sub>
        </m:sSub>
      </m:oMath>
      <w:r>
        <w:t xml:space="preserve"> ）：如果目标地块的院落与当前院落的邻接关系较好（即目标地块所在院落与其他院落相邻），则目标地块的效益增加。邻接效益可以由邻接矩阵表示，若目标地块的院落与其他院落相邻，则邻接效益加1。</w:t>
      </w:r>
      <w:r>
        <w:br w:type="textWrapping"/>
      </w:r>
      <w:r>
        <w:t>－完整院落腾空效益（Benefit full courtyard）：如果目标地块腾空后，能够腾出一个完整院落（即该院落内所有地块都没有居民），则目标地块的效益增加10。该效益是对腾空完整院落带来的潜在开发收益的加权。</w:t>
      </w:r>
      <w:r>
        <w:br w:type="textWrapping"/>
      </w:r>
      <w:r>
        <w:t xml:space="preserve">－面积 </w:t>
      </w:r>
      <m:oMath>
        <m:d>
          <m:dPr>
            <m:ctrlPr>
              <w:rPr>
                <w:rFonts w:ascii="Cambria Math" w:hAnsi="Cambria Math"/>
              </w:rPr>
            </m:ctrlPr>
          </m:dPr>
          <m:e>
            <m:sSub>
              <m:sSubPr/>
              <m:e>
                <m:r>
                  <m:rPr>
                    <m:sty m:val="p"/>
                  </m:rPr>
                  <w:rPr>
                    <w:rFonts w:ascii="Cambria Math" w:hAnsi="Cambria Math"/>
                  </w:rPr>
                  <m:t>A</m:t>
                </m:r>
              </m:e>
              <m:sub>
                <m:r>
                  <m:rPr>
                    <m:nor/>
                    <m:sty m:val="p"/>
                  </m:rPr>
                  <w:rPr>
                    <w:rFonts w:ascii="Cambria Math" w:hAnsi="Cambria Math"/>
                    <w:b w:val="0"/>
                    <w:i w:val="0"/>
                  </w:rPr>
                  <m:t>target </m:t>
                </m:r>
              </m:sub>
            </m:sSub>
            <m:ctrlPr>
              <w:rPr>
                <w:rFonts w:ascii="Cambria Math" w:hAnsi="Cambria Math"/>
              </w:rPr>
            </m:ctrlPr>
          </m:e>
        </m:d>
      </m:oMath>
      <w:r>
        <w:t xml:space="preserve"> ：目标地块的面积是考虑的一个重要因素，面积越大的目标地块通常能够带来更高的租赁收入，因此其效益较高。</w:t>
      </w:r>
    </w:p>
    <w:p>
      <w:pPr>
        <w:bidi w:val="0"/>
      </w:pPr>
      <w:r>
        <w:t>3．选择最优目标地块</w:t>
      </w:r>
      <w:r>
        <w:br w:type="textWrapping"/>
      </w:r>
      <w:r>
        <w:t>对于每个居民，贪心算法通过计算所有可行目标地块的效益值，选择效益值最大的目标地块作为该居民的搬迁日标</w:t>
      </w:r>
    </w:p>
    <w:tbl>
      <w:tblPr>
        <w:tblStyle w:val="16"/>
        <w:tblW w:w="741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84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7416" w:type="dxa"/>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1. 读取搬迁数据 relocation_data 和地块信息 plot_info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 构建邻接矩阵 adjacency_matrix，表示院落间的毗邻关系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 初始化以下数据：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n_residents = 112  // 113个居民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resident_plots = 获取所有居民的 ResidentPlotID（113个居民）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target_plots = 初始化一个数组用于存储每个居民的目标地块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occupied_plots = 初始化一个数组记录每个地块是否已占用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courtyard_plots = 初始化一个数组存储每个院落的地块ID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 为每个居民执行以下步骤：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1. 获取当前居民的可选目标地块列表 possible_targets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2. 初始化变量：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best_target = -1  // 最优目标地块ID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max_benefit = -Inf  // 最大效益值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max_full_courtyards = -Inf  // 最大完整院落腾空数量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best_area = 0  // 目标地块面积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3. 对每个可选目标地块执行以下步骤：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1. 获取目标地块ID target_plot_id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2. 跳过 NaN 的目标地块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3. 跳过无效目标地块（例如，ID超出范围）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4. 跳过已占用的目标地块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5. 计算该目标地块的效益值：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计算邻接效益 Benefit_adjacent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计算完整院落腾空效益 Benefit_full_courtyard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获取目标地块的面积 A_target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计算该目标地块的总效益 Total Benefit_target: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Total Benefit_target = Benefit_adjacent + (Benefit_full_courtyard * 10) + A_target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6. 如果当前目标地块的效益大于最大效益值 max_benefit，则更新最优目标：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best_target = target_plot_id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max_benefit = Total Benefit_target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max_full_courtyards = full_courtyards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best_area = A_target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4. 将当前居民的目标地块设置为最优目标：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target_plots[resident] = best_target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标记该目标地块为已占用：occupied_plots[best_target] =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更新原地块的占用状态：occupied_plots[resident_plot] = 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更新搬迁后的 `HasResident` 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 计算最终腾出的完整院落数量 total_full_courtyards：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对于每个院落：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如果该院落内所有地块都腾空，则计数该院落为完整腾空的院落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计算 total_full_courtyards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 输出每个居民的搬迁结果：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显示居民地块ID 和 目标地块ID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D9D9D9"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 输出最终腾出的完整院落数量：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single" w:color="000000" w:sz="4"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 显示 total_full_courtyards</w:t>
            </w:r>
          </w:p>
        </w:tc>
      </w:tr>
    </w:tbl>
    <w:p>
      <w:pPr>
        <w:pStyle w:val="2"/>
        <w:rPr>
          <w:rFonts w:hint="default"/>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r>
              <w:drawing>
                <wp:inline distT="0" distB="0" distL="114300" distR="114300">
                  <wp:extent cx="2365375" cy="1781175"/>
                  <wp:effectExtent l="0" t="0" r="12065" b="1905"/>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17"/>
                          <a:stretch>
                            <a:fillRect/>
                          </a:stretch>
                        </pic:blipFill>
                        <pic:spPr>
                          <a:xfrm>
                            <a:off x="0" y="0"/>
                            <a:ext cx="2365375" cy="1781175"/>
                          </a:xfrm>
                          <a:prstGeom prst="rect">
                            <a:avLst/>
                          </a:prstGeom>
                          <a:noFill/>
                          <a:ln>
                            <a:noFill/>
                          </a:ln>
                        </pic:spPr>
                      </pic:pic>
                    </a:graphicData>
                  </a:graphic>
                </wp:inline>
              </w:drawing>
            </w:r>
          </w:p>
        </w:tc>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r>
              <w:drawing>
                <wp:inline distT="0" distB="0" distL="114300" distR="114300">
                  <wp:extent cx="1920240" cy="1560195"/>
                  <wp:effectExtent l="0" t="0" r="0" b="9525"/>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18"/>
                          <a:stretch>
                            <a:fillRect/>
                          </a:stretch>
                        </pic:blipFill>
                        <pic:spPr>
                          <a:xfrm>
                            <a:off x="0" y="0"/>
                            <a:ext cx="1920240" cy="15601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r>
              <w:rPr>
                <w:rFonts w:hint="eastAsia"/>
                <w:vertAlign w:val="baseline"/>
                <w:lang w:val="en-US" w:eastAsia="zh-CN"/>
              </w:rPr>
              <w:t>网图</w:t>
            </w:r>
          </w:p>
        </w:tc>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r>
              <w:rPr>
                <w:rFonts w:hint="eastAsia"/>
                <w:vertAlign w:val="baseline"/>
                <w:lang w:val="en-US" w:eastAsia="zh-CN"/>
              </w:rPr>
              <w:t>网图</w:t>
            </w:r>
          </w:p>
        </w:tc>
      </w:tr>
    </w:tbl>
    <w:p>
      <w:pPr>
        <w:pStyle w:val="2"/>
        <w:rPr>
          <w:rFonts w:hint="default"/>
          <w:lang w:val="en-US" w:eastAsia="zh-CN"/>
        </w:rPr>
      </w:pPr>
    </w:p>
    <w:p>
      <w:pPr>
        <w:bidi w:val="0"/>
        <w:rPr>
          <w:rFonts w:hint="eastAsia"/>
          <w:lang w:val="en-US" w:eastAsia="zh-CN"/>
        </w:rPr>
      </w:pPr>
      <w:r>
        <w:rPr>
          <w:rFonts w:hint="eastAsia"/>
          <w:lang w:val="en-US" w:eastAsia="zh-CN"/>
        </w:rPr>
        <w:t>最终结果</w:t>
      </w:r>
    </w:p>
    <w:p>
      <w:pPr>
        <w:bidi w:val="0"/>
        <w:rPr>
          <w:rFonts w:hint="default"/>
          <w:lang w:val="en-US" w:eastAsia="zh-CN"/>
        </w:rPr>
      </w:pPr>
      <w:r>
        <w:rPr>
          <w:rFonts w:hint="default"/>
          <w:lang w:val="en-US" w:eastAsia="zh-CN"/>
        </w:rPr>
        <w:t>搬迁结果：</w:t>
      </w:r>
    </w:p>
    <w:p>
      <w:pPr>
        <w:bidi w:val="0"/>
        <w:rPr>
          <w:rFonts w:hint="default"/>
          <w:lang w:val="en-US" w:eastAsia="zh-CN"/>
        </w:rPr>
      </w:pPr>
      <w:r>
        <w:rPr>
          <w:rFonts w:hint="default"/>
          <w:lang w:val="en-US" w:eastAsia="zh-CN"/>
        </w:rPr>
        <w:t>居民地块ID    目标地块ID</w:t>
      </w:r>
    </w:p>
    <w:p>
      <w:pPr>
        <w:bidi w:val="0"/>
        <w:rPr>
          <w:rFonts w:hint="default"/>
          <w:lang w:val="en-US" w:eastAsia="zh-CN"/>
        </w:rPr>
      </w:pPr>
      <w:r>
        <w:rPr>
          <w:rFonts w:hint="default"/>
          <w:lang w:val="en-US" w:eastAsia="zh-CN"/>
        </w:rPr>
        <w:t>居民 1 的地块ID: 3 -&gt; 目标地块ID: 174</w:t>
      </w:r>
    </w:p>
    <w:p>
      <w:pPr>
        <w:bidi w:val="0"/>
        <w:rPr>
          <w:rFonts w:hint="default"/>
          <w:lang w:val="en-US" w:eastAsia="zh-CN"/>
        </w:rPr>
      </w:pPr>
      <w:r>
        <w:rPr>
          <w:rFonts w:hint="default"/>
          <w:lang w:val="en-US" w:eastAsia="zh-CN"/>
        </w:rPr>
        <w:t>居民 2 的地块ID: 5 -&gt; 目标地块ID: 129</w:t>
      </w:r>
    </w:p>
    <w:p>
      <w:pPr>
        <w:bidi w:val="0"/>
        <w:rPr>
          <w:rFonts w:hint="default"/>
          <w:lang w:val="en-US" w:eastAsia="zh-CN"/>
        </w:rPr>
      </w:pPr>
      <w:r>
        <w:rPr>
          <w:rFonts w:hint="default"/>
          <w:lang w:val="en-US" w:eastAsia="zh-CN"/>
        </w:rPr>
        <w:t>居民 3 的地块ID: 7 -&gt; 目标地块ID: 123</w:t>
      </w:r>
    </w:p>
    <w:p>
      <w:pPr>
        <w:bidi w:val="0"/>
        <w:rPr>
          <w:rFonts w:hint="default"/>
          <w:lang w:val="en-US" w:eastAsia="zh-CN"/>
        </w:rPr>
      </w:pPr>
      <w:r>
        <w:rPr>
          <w:rFonts w:hint="default"/>
          <w:lang w:val="en-US" w:eastAsia="zh-CN"/>
        </w:rPr>
        <w:t>居民 4 的地块ID: 9 -&gt; 目标地块ID: 117</w:t>
      </w:r>
    </w:p>
    <w:p>
      <w:pPr>
        <w:bidi w:val="0"/>
        <w:rPr>
          <w:rFonts w:hint="default"/>
          <w:lang w:val="en-US" w:eastAsia="zh-CN"/>
        </w:rPr>
      </w:pPr>
      <w:r>
        <w:rPr>
          <w:rFonts w:hint="default"/>
          <w:lang w:val="en-US" w:eastAsia="zh-CN"/>
        </w:rPr>
        <w:t>居民 5 的地块ID: 14 -&gt; 目标地块ID: 208</w:t>
      </w:r>
    </w:p>
    <w:p>
      <w:pPr>
        <w:bidi w:val="0"/>
        <w:rPr>
          <w:rFonts w:hint="default"/>
          <w:lang w:val="en-US" w:eastAsia="zh-CN"/>
        </w:rPr>
      </w:pPr>
      <w:r>
        <w:rPr>
          <w:rFonts w:hint="default"/>
          <w:lang w:val="en-US" w:eastAsia="zh-CN"/>
        </w:rPr>
        <w:t>居民 6 的地块ID: 18 -&gt; 目标地块ID: 173</w:t>
      </w:r>
    </w:p>
    <w:p>
      <w:pPr>
        <w:bidi w:val="0"/>
        <w:rPr>
          <w:rFonts w:hint="default"/>
          <w:lang w:val="en-US" w:eastAsia="zh-CN"/>
        </w:rPr>
      </w:pPr>
      <w:r>
        <w:rPr>
          <w:rFonts w:hint="default"/>
          <w:lang w:val="en-US" w:eastAsia="zh-CN"/>
        </w:rPr>
        <w:t>居民 7 的地块ID: 29 -&gt; 目标地块ID: 184</w:t>
      </w:r>
    </w:p>
    <w:p>
      <w:pPr>
        <w:bidi w:val="0"/>
        <w:rPr>
          <w:rFonts w:hint="default"/>
          <w:lang w:val="en-US" w:eastAsia="zh-CN"/>
        </w:rPr>
      </w:pPr>
      <w:r>
        <w:rPr>
          <w:rFonts w:hint="default"/>
          <w:lang w:val="en-US" w:eastAsia="zh-CN"/>
        </w:rPr>
        <w:t>居民 8 的地块ID: 30 -&gt; 目标地块ID: 170</w:t>
      </w:r>
    </w:p>
    <w:p>
      <w:pPr>
        <w:bidi w:val="0"/>
        <w:rPr>
          <w:rFonts w:hint="default"/>
          <w:lang w:val="en-US" w:eastAsia="zh-CN"/>
        </w:rPr>
      </w:pPr>
      <w:r>
        <w:rPr>
          <w:rFonts w:hint="default"/>
          <w:lang w:val="en-US" w:eastAsia="zh-CN"/>
        </w:rPr>
        <w:t>居民 9 的地块ID: 31 -&gt; 目标地块ID: 118</w:t>
      </w:r>
    </w:p>
    <w:p>
      <w:pPr>
        <w:bidi w:val="0"/>
        <w:rPr>
          <w:rFonts w:hint="default"/>
          <w:lang w:val="en-US" w:eastAsia="zh-CN"/>
        </w:rPr>
      </w:pPr>
      <w:r>
        <w:rPr>
          <w:rFonts w:hint="default"/>
          <w:lang w:val="en-US" w:eastAsia="zh-CN"/>
        </w:rPr>
        <w:t>居民 10 的地块ID: 34 -&gt; 目标地块ID: 130</w:t>
      </w:r>
    </w:p>
    <w:p>
      <w:pPr>
        <w:bidi w:val="0"/>
        <w:rPr>
          <w:rFonts w:hint="default"/>
          <w:lang w:val="en-US" w:eastAsia="zh-CN"/>
        </w:rPr>
      </w:pPr>
      <w:r>
        <w:rPr>
          <w:rFonts w:hint="default"/>
          <w:lang w:val="en-US" w:eastAsia="zh-CN"/>
        </w:rPr>
        <w:t>居民 11 的地块ID: 38 -&gt; 目标地块ID: 383</w:t>
      </w:r>
    </w:p>
    <w:p>
      <w:pPr>
        <w:bidi w:val="0"/>
        <w:rPr>
          <w:rFonts w:hint="default"/>
          <w:lang w:val="en-US" w:eastAsia="zh-CN"/>
        </w:rPr>
      </w:pPr>
      <w:r>
        <w:rPr>
          <w:rFonts w:hint="default"/>
          <w:lang w:val="en-US" w:eastAsia="zh-CN"/>
        </w:rPr>
        <w:t>居民 12 的地块ID: 39 -&gt; 目标地块ID: 119</w:t>
      </w:r>
    </w:p>
    <w:p>
      <w:pPr>
        <w:bidi w:val="0"/>
        <w:rPr>
          <w:rFonts w:hint="default"/>
          <w:lang w:val="en-US" w:eastAsia="zh-CN"/>
        </w:rPr>
      </w:pPr>
      <w:r>
        <w:rPr>
          <w:rFonts w:hint="default"/>
          <w:lang w:val="en-US" w:eastAsia="zh-CN"/>
        </w:rPr>
        <w:t>居民 13 的地块ID: 40 -&gt; 目标地块ID: 112</w:t>
      </w:r>
    </w:p>
    <w:p>
      <w:pPr>
        <w:bidi w:val="0"/>
        <w:rPr>
          <w:rFonts w:hint="default"/>
          <w:lang w:val="en-US" w:eastAsia="zh-CN"/>
        </w:rPr>
      </w:pPr>
      <w:r>
        <w:rPr>
          <w:rFonts w:hint="default"/>
          <w:lang w:val="en-US" w:eastAsia="zh-CN"/>
        </w:rPr>
        <w:t>居民 14 的地块ID: 41 -&gt; 目标地块ID: 212</w:t>
      </w:r>
    </w:p>
    <w:p>
      <w:pPr>
        <w:bidi w:val="0"/>
        <w:rPr>
          <w:rFonts w:hint="default"/>
          <w:lang w:val="en-US" w:eastAsia="zh-CN"/>
        </w:rPr>
      </w:pPr>
      <w:r>
        <w:rPr>
          <w:rFonts w:hint="default"/>
          <w:lang w:val="en-US" w:eastAsia="zh-CN"/>
        </w:rPr>
        <w:t>居民 15 的地块ID: 49 -&gt; 目标地块ID: 441</w:t>
      </w:r>
    </w:p>
    <w:p>
      <w:pPr>
        <w:bidi w:val="0"/>
        <w:rPr>
          <w:rFonts w:hint="default"/>
          <w:lang w:val="en-US" w:eastAsia="zh-CN"/>
        </w:rPr>
      </w:pPr>
      <w:r>
        <w:rPr>
          <w:rFonts w:hint="default"/>
          <w:lang w:val="en-US" w:eastAsia="zh-CN"/>
        </w:rPr>
        <w:t>居民 16 的地块ID: 50 -&gt; 目标地块ID: 394</w:t>
      </w:r>
    </w:p>
    <w:p>
      <w:pPr>
        <w:bidi w:val="0"/>
        <w:rPr>
          <w:rFonts w:hint="default"/>
          <w:lang w:val="en-US" w:eastAsia="zh-CN"/>
        </w:rPr>
      </w:pPr>
      <w:r>
        <w:rPr>
          <w:rFonts w:hint="default"/>
          <w:lang w:val="en-US" w:eastAsia="zh-CN"/>
        </w:rPr>
        <w:t>居民 17 的地块ID: 74 -&gt; 目标地块ID: 116</w:t>
      </w:r>
    </w:p>
    <w:p>
      <w:pPr>
        <w:bidi w:val="0"/>
        <w:rPr>
          <w:rFonts w:hint="default"/>
          <w:lang w:val="en-US" w:eastAsia="zh-CN"/>
        </w:rPr>
      </w:pPr>
      <w:r>
        <w:rPr>
          <w:rFonts w:hint="default"/>
          <w:lang w:val="en-US" w:eastAsia="zh-CN"/>
        </w:rPr>
        <w:t>居民 18 的地块ID: 75 -&gt; 目标地块ID: 176</w:t>
      </w:r>
    </w:p>
    <w:p>
      <w:pPr>
        <w:bidi w:val="0"/>
        <w:rPr>
          <w:rFonts w:hint="default"/>
          <w:lang w:val="en-US" w:eastAsia="zh-CN"/>
        </w:rPr>
      </w:pPr>
      <w:r>
        <w:rPr>
          <w:rFonts w:hint="default"/>
          <w:lang w:val="en-US" w:eastAsia="zh-CN"/>
        </w:rPr>
        <w:t>居民 19 的地块ID: 76 -&gt; 目标地块ID: 124</w:t>
      </w:r>
    </w:p>
    <w:p>
      <w:pPr>
        <w:bidi w:val="0"/>
        <w:rPr>
          <w:rFonts w:hint="default"/>
          <w:lang w:val="en-US" w:eastAsia="zh-CN"/>
        </w:rPr>
      </w:pPr>
      <w:r>
        <w:rPr>
          <w:rFonts w:hint="default"/>
          <w:lang w:val="en-US" w:eastAsia="zh-CN"/>
        </w:rPr>
        <w:t>居民 20 的地块ID: 77 -&gt; 目标地块ID: 175</w:t>
      </w:r>
    </w:p>
    <w:p>
      <w:pPr>
        <w:bidi w:val="0"/>
        <w:rPr>
          <w:rFonts w:hint="default"/>
          <w:lang w:val="en-US" w:eastAsia="zh-CN"/>
        </w:rPr>
      </w:pPr>
      <w:r>
        <w:rPr>
          <w:rFonts w:hint="default"/>
          <w:lang w:val="en-US" w:eastAsia="zh-CN"/>
        </w:rPr>
        <w:t>居民 21 的地块ID: 80 -&gt; 目标地块ID: 378</w:t>
      </w:r>
    </w:p>
    <w:p>
      <w:pPr>
        <w:bidi w:val="0"/>
        <w:rPr>
          <w:rFonts w:hint="default"/>
          <w:lang w:val="en-US" w:eastAsia="zh-CN"/>
        </w:rPr>
      </w:pPr>
      <w:r>
        <w:rPr>
          <w:rFonts w:hint="default"/>
          <w:lang w:val="en-US" w:eastAsia="zh-CN"/>
        </w:rPr>
        <w:t>居民 22 的地块ID: 81 -&gt; 目标地块ID: 79</w:t>
      </w:r>
    </w:p>
    <w:p>
      <w:pPr>
        <w:bidi w:val="0"/>
        <w:rPr>
          <w:rFonts w:hint="default"/>
          <w:lang w:val="en-US" w:eastAsia="zh-CN"/>
        </w:rPr>
      </w:pPr>
      <w:r>
        <w:rPr>
          <w:rFonts w:hint="default"/>
          <w:lang w:val="en-US" w:eastAsia="zh-CN"/>
        </w:rPr>
        <w:t>居民 23 的地块ID: 91 -&gt; 目标地块ID: 128</w:t>
      </w:r>
    </w:p>
    <w:p>
      <w:pPr>
        <w:bidi w:val="0"/>
        <w:rPr>
          <w:rFonts w:hint="default"/>
          <w:lang w:val="en-US" w:eastAsia="zh-CN"/>
        </w:rPr>
      </w:pPr>
      <w:r>
        <w:rPr>
          <w:rFonts w:hint="default"/>
          <w:lang w:val="en-US" w:eastAsia="zh-CN"/>
        </w:rPr>
        <w:t>居民 24 的地块ID: 92 -&gt; 目标地块ID: 131</w:t>
      </w:r>
    </w:p>
    <w:p>
      <w:pPr>
        <w:bidi w:val="0"/>
        <w:rPr>
          <w:rFonts w:hint="default"/>
          <w:lang w:val="en-US" w:eastAsia="zh-CN"/>
        </w:rPr>
      </w:pPr>
      <w:r>
        <w:rPr>
          <w:rFonts w:hint="default"/>
          <w:lang w:val="en-US" w:eastAsia="zh-CN"/>
        </w:rPr>
        <w:t>居民 25 的地块ID: 93 -&gt; 目标地块ID: 143</w:t>
      </w:r>
    </w:p>
    <w:p>
      <w:pPr>
        <w:bidi w:val="0"/>
        <w:rPr>
          <w:rFonts w:hint="default"/>
          <w:lang w:val="en-US" w:eastAsia="zh-CN"/>
        </w:rPr>
      </w:pPr>
      <w:r>
        <w:rPr>
          <w:rFonts w:hint="default"/>
          <w:lang w:val="en-US" w:eastAsia="zh-CN"/>
        </w:rPr>
        <w:t>居民 26 的地块ID: 106 -&gt; 目标地块ID: 209</w:t>
      </w:r>
    </w:p>
    <w:p>
      <w:pPr>
        <w:bidi w:val="0"/>
        <w:rPr>
          <w:rFonts w:hint="default"/>
          <w:lang w:val="en-US" w:eastAsia="zh-CN"/>
        </w:rPr>
      </w:pPr>
      <w:r>
        <w:rPr>
          <w:rFonts w:hint="default"/>
          <w:lang w:val="en-US" w:eastAsia="zh-CN"/>
        </w:rPr>
        <w:t>居民 27 的地块ID: 107 -&gt; 目标地块ID: 137</w:t>
      </w:r>
    </w:p>
    <w:p>
      <w:pPr>
        <w:bidi w:val="0"/>
        <w:rPr>
          <w:rFonts w:hint="default"/>
          <w:lang w:val="en-US" w:eastAsia="zh-CN"/>
        </w:rPr>
      </w:pPr>
      <w:r>
        <w:rPr>
          <w:rFonts w:hint="default"/>
          <w:lang w:val="en-US" w:eastAsia="zh-CN"/>
        </w:rPr>
        <w:t>居民 28 的地块ID: 110 -&gt; 目标地块ID: 127</w:t>
      </w:r>
    </w:p>
    <w:p>
      <w:pPr>
        <w:bidi w:val="0"/>
        <w:rPr>
          <w:rFonts w:hint="default"/>
          <w:lang w:val="en-US" w:eastAsia="zh-CN"/>
        </w:rPr>
      </w:pPr>
      <w:r>
        <w:rPr>
          <w:rFonts w:hint="default"/>
          <w:lang w:val="en-US" w:eastAsia="zh-CN"/>
        </w:rPr>
        <w:t>居民 29 的地块ID: 111 -&gt; 目标地块ID: 214</w:t>
      </w:r>
    </w:p>
    <w:p>
      <w:pPr>
        <w:bidi w:val="0"/>
        <w:rPr>
          <w:rFonts w:hint="default"/>
          <w:lang w:val="en-US" w:eastAsia="zh-CN"/>
        </w:rPr>
      </w:pPr>
      <w:r>
        <w:rPr>
          <w:rFonts w:hint="default"/>
          <w:lang w:val="en-US" w:eastAsia="zh-CN"/>
        </w:rPr>
        <w:t>居民 30 的地块ID: 120 -&gt; 目标地块ID: 223</w:t>
      </w:r>
    </w:p>
    <w:p>
      <w:pPr>
        <w:bidi w:val="0"/>
        <w:rPr>
          <w:rFonts w:hint="default"/>
          <w:lang w:val="en-US" w:eastAsia="zh-CN"/>
        </w:rPr>
      </w:pPr>
      <w:r>
        <w:rPr>
          <w:rFonts w:hint="default"/>
          <w:lang w:val="en-US" w:eastAsia="zh-CN"/>
        </w:rPr>
        <w:t>居民 31 的地块ID: 121 -&gt; 目标地块ID: 273</w:t>
      </w:r>
    </w:p>
    <w:p>
      <w:pPr>
        <w:bidi w:val="0"/>
        <w:rPr>
          <w:rFonts w:hint="default"/>
          <w:lang w:val="en-US" w:eastAsia="zh-CN"/>
        </w:rPr>
      </w:pPr>
      <w:r>
        <w:rPr>
          <w:rFonts w:hint="default"/>
          <w:lang w:val="en-US" w:eastAsia="zh-CN"/>
        </w:rPr>
        <w:t>居民 32 的地块ID: 132 -&gt; 目标地块ID: 183</w:t>
      </w:r>
    </w:p>
    <w:p>
      <w:pPr>
        <w:bidi w:val="0"/>
        <w:rPr>
          <w:rFonts w:hint="default"/>
          <w:lang w:val="en-US" w:eastAsia="zh-CN"/>
        </w:rPr>
      </w:pPr>
      <w:r>
        <w:rPr>
          <w:rFonts w:hint="default"/>
          <w:lang w:val="en-US" w:eastAsia="zh-CN"/>
        </w:rPr>
        <w:t>居民 33 的地块ID: 138 -&gt; 目标地块ID: 136</w:t>
      </w:r>
    </w:p>
    <w:p>
      <w:pPr>
        <w:bidi w:val="0"/>
        <w:rPr>
          <w:rFonts w:hint="default"/>
          <w:lang w:val="en-US" w:eastAsia="zh-CN"/>
        </w:rPr>
      </w:pPr>
      <w:r>
        <w:rPr>
          <w:rFonts w:hint="default"/>
          <w:lang w:val="en-US" w:eastAsia="zh-CN"/>
        </w:rPr>
        <w:t>居民 34 的地块ID: 139 -&gt; 目标地块ID: 201</w:t>
      </w:r>
    </w:p>
    <w:p>
      <w:pPr>
        <w:bidi w:val="0"/>
        <w:rPr>
          <w:rFonts w:hint="default"/>
          <w:lang w:val="en-US" w:eastAsia="zh-CN"/>
        </w:rPr>
      </w:pPr>
      <w:r>
        <w:rPr>
          <w:rFonts w:hint="default"/>
          <w:lang w:val="en-US" w:eastAsia="zh-CN"/>
        </w:rPr>
        <w:t>居民 35 的地块ID: 140 -&gt; 目标地块ID: 149</w:t>
      </w:r>
    </w:p>
    <w:p>
      <w:pPr>
        <w:bidi w:val="0"/>
        <w:rPr>
          <w:rFonts w:hint="default"/>
          <w:lang w:val="en-US" w:eastAsia="zh-CN"/>
        </w:rPr>
      </w:pPr>
      <w:r>
        <w:rPr>
          <w:rFonts w:hint="default"/>
          <w:lang w:val="en-US" w:eastAsia="zh-CN"/>
        </w:rPr>
        <w:t>居民 36 的地块ID: 141 -&gt; 目标地块ID: 218</w:t>
      </w:r>
    </w:p>
    <w:p>
      <w:pPr>
        <w:bidi w:val="0"/>
        <w:rPr>
          <w:rFonts w:hint="default"/>
          <w:lang w:val="en-US" w:eastAsia="zh-CN"/>
        </w:rPr>
      </w:pPr>
      <w:r>
        <w:rPr>
          <w:rFonts w:hint="default"/>
          <w:lang w:val="en-US" w:eastAsia="zh-CN"/>
        </w:rPr>
        <w:t>居民 37 的地块ID: 142 -&gt; 目标地块ID: 134</w:t>
      </w:r>
    </w:p>
    <w:p>
      <w:pPr>
        <w:bidi w:val="0"/>
        <w:rPr>
          <w:rFonts w:hint="default"/>
          <w:lang w:val="en-US" w:eastAsia="zh-CN"/>
        </w:rPr>
      </w:pPr>
      <w:r>
        <w:rPr>
          <w:rFonts w:hint="default"/>
          <w:lang w:val="en-US" w:eastAsia="zh-CN"/>
        </w:rPr>
        <w:t>居民 38 的地块ID: 171 -&gt; 目标地块ID: 227</w:t>
      </w:r>
    </w:p>
    <w:p>
      <w:pPr>
        <w:bidi w:val="0"/>
        <w:rPr>
          <w:rFonts w:hint="default"/>
          <w:lang w:val="en-US" w:eastAsia="zh-CN"/>
        </w:rPr>
      </w:pPr>
      <w:r>
        <w:rPr>
          <w:rFonts w:hint="default"/>
          <w:lang w:val="en-US" w:eastAsia="zh-CN"/>
        </w:rPr>
        <w:t>居民 39 的地块ID: 172 -&gt; 目标地块ID: 126</w:t>
      </w:r>
    </w:p>
    <w:p>
      <w:pPr>
        <w:bidi w:val="0"/>
        <w:rPr>
          <w:rFonts w:hint="default"/>
          <w:lang w:val="en-US" w:eastAsia="zh-CN"/>
        </w:rPr>
      </w:pPr>
      <w:r>
        <w:rPr>
          <w:rFonts w:hint="default"/>
          <w:lang w:val="en-US" w:eastAsia="zh-CN"/>
        </w:rPr>
        <w:t>居民 40 的地块ID: 179 -&gt; 目标地块ID: 162</w:t>
      </w:r>
    </w:p>
    <w:p>
      <w:pPr>
        <w:bidi w:val="0"/>
        <w:rPr>
          <w:rFonts w:hint="default"/>
          <w:lang w:val="en-US" w:eastAsia="zh-CN"/>
        </w:rPr>
      </w:pPr>
      <w:r>
        <w:rPr>
          <w:rFonts w:hint="default"/>
          <w:lang w:val="en-US" w:eastAsia="zh-CN"/>
        </w:rPr>
        <w:t>居民 41 的地块ID: 180 -&gt; 目标地块ID: 145</w:t>
      </w:r>
    </w:p>
    <w:p>
      <w:pPr>
        <w:bidi w:val="0"/>
        <w:rPr>
          <w:rFonts w:hint="default"/>
          <w:lang w:val="en-US" w:eastAsia="zh-CN"/>
        </w:rPr>
      </w:pPr>
      <w:r>
        <w:rPr>
          <w:rFonts w:hint="default"/>
          <w:lang w:val="en-US" w:eastAsia="zh-CN"/>
        </w:rPr>
        <w:t>居民 42 的地块ID: 181 -&gt; 目标地块ID: 233</w:t>
      </w:r>
    </w:p>
    <w:p>
      <w:pPr>
        <w:bidi w:val="0"/>
        <w:rPr>
          <w:rFonts w:hint="default"/>
          <w:lang w:val="en-US" w:eastAsia="zh-CN"/>
        </w:rPr>
      </w:pPr>
      <w:r>
        <w:rPr>
          <w:rFonts w:hint="default"/>
          <w:lang w:val="en-US" w:eastAsia="zh-CN"/>
        </w:rPr>
        <w:t>居民 43 的地块ID: 182 -&gt; 目标地块ID: 456</w:t>
      </w:r>
    </w:p>
    <w:p>
      <w:pPr>
        <w:bidi w:val="0"/>
        <w:rPr>
          <w:rFonts w:hint="default"/>
          <w:lang w:val="en-US" w:eastAsia="zh-CN"/>
        </w:rPr>
      </w:pPr>
      <w:r>
        <w:rPr>
          <w:rFonts w:hint="default"/>
          <w:lang w:val="en-US" w:eastAsia="zh-CN"/>
        </w:rPr>
        <w:t>居民 44 的地块ID: 191 -&gt; 目标地块ID: 457</w:t>
      </w:r>
    </w:p>
    <w:p>
      <w:pPr>
        <w:bidi w:val="0"/>
        <w:rPr>
          <w:rFonts w:hint="default"/>
          <w:lang w:val="en-US" w:eastAsia="zh-CN"/>
        </w:rPr>
      </w:pPr>
      <w:r>
        <w:rPr>
          <w:rFonts w:hint="default"/>
          <w:lang w:val="en-US" w:eastAsia="zh-CN"/>
        </w:rPr>
        <w:t>居民 45 的地块ID: 192 -&gt; 目标地块ID: 151</w:t>
      </w:r>
    </w:p>
    <w:p>
      <w:pPr>
        <w:bidi w:val="0"/>
        <w:rPr>
          <w:rFonts w:hint="default"/>
          <w:lang w:val="en-US" w:eastAsia="zh-CN"/>
        </w:rPr>
      </w:pPr>
      <w:r>
        <w:rPr>
          <w:rFonts w:hint="default"/>
          <w:lang w:val="en-US" w:eastAsia="zh-CN"/>
        </w:rPr>
        <w:t>居民 46 的地块ID: 193 -&gt; 目标地块ID: 115</w:t>
      </w:r>
    </w:p>
    <w:p>
      <w:pPr>
        <w:bidi w:val="0"/>
        <w:rPr>
          <w:rFonts w:hint="default"/>
          <w:lang w:val="en-US" w:eastAsia="zh-CN"/>
        </w:rPr>
      </w:pPr>
      <w:r>
        <w:rPr>
          <w:rFonts w:hint="default"/>
          <w:lang w:val="en-US" w:eastAsia="zh-CN"/>
        </w:rPr>
        <w:t>居民 47 的地块ID: 194 -&gt; 目标地块ID: 426</w:t>
      </w:r>
    </w:p>
    <w:p>
      <w:pPr>
        <w:bidi w:val="0"/>
        <w:rPr>
          <w:rFonts w:hint="default"/>
          <w:lang w:val="en-US" w:eastAsia="zh-CN"/>
        </w:rPr>
      </w:pPr>
      <w:r>
        <w:rPr>
          <w:rFonts w:hint="default"/>
          <w:lang w:val="en-US" w:eastAsia="zh-CN"/>
        </w:rPr>
        <w:t>居民 48 的地块ID: 195 -&gt; 目标地块ID: 144</w:t>
      </w:r>
    </w:p>
    <w:p>
      <w:pPr>
        <w:bidi w:val="0"/>
        <w:rPr>
          <w:rFonts w:hint="default"/>
          <w:lang w:val="en-US" w:eastAsia="zh-CN"/>
        </w:rPr>
      </w:pPr>
      <w:r>
        <w:rPr>
          <w:rFonts w:hint="default"/>
          <w:lang w:val="en-US" w:eastAsia="zh-CN"/>
        </w:rPr>
        <w:t>居民 49 的地块ID: 196 -&gt; 目标地块ID: 396</w:t>
      </w:r>
    </w:p>
    <w:p>
      <w:pPr>
        <w:bidi w:val="0"/>
        <w:rPr>
          <w:rFonts w:hint="default"/>
          <w:lang w:val="en-US" w:eastAsia="zh-CN"/>
        </w:rPr>
      </w:pPr>
      <w:r>
        <w:rPr>
          <w:rFonts w:hint="default"/>
          <w:lang w:val="en-US" w:eastAsia="zh-CN"/>
        </w:rPr>
        <w:t>居民 50 的地块ID: 197 -&gt; 目标地块ID: 386</w:t>
      </w:r>
    </w:p>
    <w:p>
      <w:pPr>
        <w:bidi w:val="0"/>
        <w:rPr>
          <w:rFonts w:hint="default"/>
          <w:lang w:val="en-US" w:eastAsia="zh-CN"/>
        </w:rPr>
      </w:pPr>
      <w:r>
        <w:rPr>
          <w:rFonts w:hint="default"/>
          <w:lang w:val="en-US" w:eastAsia="zh-CN"/>
        </w:rPr>
        <w:t>居民 51 的地块ID: 198 -&gt; 目标地块ID: 431</w:t>
      </w:r>
    </w:p>
    <w:p>
      <w:pPr>
        <w:bidi w:val="0"/>
        <w:rPr>
          <w:rFonts w:hint="default"/>
          <w:lang w:val="en-US" w:eastAsia="zh-CN"/>
        </w:rPr>
      </w:pPr>
      <w:r>
        <w:rPr>
          <w:rFonts w:hint="default"/>
          <w:lang w:val="en-US" w:eastAsia="zh-CN"/>
        </w:rPr>
        <w:t>居民 52 的地块ID: 200 -&gt; 目标地块ID: 410</w:t>
      </w:r>
    </w:p>
    <w:p>
      <w:pPr>
        <w:bidi w:val="0"/>
        <w:rPr>
          <w:rFonts w:hint="default"/>
          <w:lang w:val="en-US" w:eastAsia="zh-CN"/>
        </w:rPr>
      </w:pPr>
      <w:r>
        <w:rPr>
          <w:rFonts w:hint="default"/>
          <w:lang w:val="en-US" w:eastAsia="zh-CN"/>
        </w:rPr>
        <w:t>居民 53 的地块ID: 203 -&gt; 目标地块ID: 308</w:t>
      </w:r>
    </w:p>
    <w:p>
      <w:pPr>
        <w:bidi w:val="0"/>
        <w:rPr>
          <w:rFonts w:hint="default"/>
          <w:lang w:val="en-US" w:eastAsia="zh-CN"/>
        </w:rPr>
      </w:pPr>
      <w:r>
        <w:rPr>
          <w:rFonts w:hint="default"/>
          <w:lang w:val="en-US" w:eastAsia="zh-CN"/>
        </w:rPr>
        <w:t>居民 54 的地块ID: 204 -&gt; 目标地块ID: 226</w:t>
      </w:r>
    </w:p>
    <w:p>
      <w:pPr>
        <w:bidi w:val="0"/>
        <w:rPr>
          <w:rFonts w:hint="default"/>
          <w:lang w:val="en-US" w:eastAsia="zh-CN"/>
        </w:rPr>
      </w:pPr>
      <w:r>
        <w:rPr>
          <w:rFonts w:hint="default"/>
          <w:lang w:val="en-US" w:eastAsia="zh-CN"/>
        </w:rPr>
        <w:t>居民 55 的地块ID: 206 -&gt; 目标地块ID: 221</w:t>
      </w:r>
    </w:p>
    <w:p>
      <w:pPr>
        <w:bidi w:val="0"/>
        <w:rPr>
          <w:rFonts w:hint="default"/>
          <w:lang w:val="en-US" w:eastAsia="zh-CN"/>
        </w:rPr>
      </w:pPr>
      <w:r>
        <w:rPr>
          <w:rFonts w:hint="default"/>
          <w:lang w:val="en-US" w:eastAsia="zh-CN"/>
        </w:rPr>
        <w:t>居民 56 的地块ID: 207 -&gt; 目标地块ID: 412</w:t>
      </w:r>
    </w:p>
    <w:p>
      <w:pPr>
        <w:bidi w:val="0"/>
        <w:rPr>
          <w:rFonts w:hint="default"/>
          <w:lang w:val="en-US" w:eastAsia="zh-CN"/>
        </w:rPr>
      </w:pPr>
      <w:r>
        <w:rPr>
          <w:rFonts w:hint="default"/>
          <w:lang w:val="en-US" w:eastAsia="zh-CN"/>
        </w:rPr>
        <w:t>居民 57 的地块ID: 210 -&gt; 目标地块ID: 309</w:t>
      </w:r>
    </w:p>
    <w:p>
      <w:pPr>
        <w:bidi w:val="0"/>
        <w:rPr>
          <w:rFonts w:hint="default"/>
          <w:lang w:val="en-US" w:eastAsia="zh-CN"/>
        </w:rPr>
      </w:pPr>
      <w:r>
        <w:rPr>
          <w:rFonts w:hint="default"/>
          <w:lang w:val="en-US" w:eastAsia="zh-CN"/>
        </w:rPr>
        <w:t>居民 58 的地块ID: 211 -&gt; 目标地块ID: 314</w:t>
      </w:r>
    </w:p>
    <w:p>
      <w:pPr>
        <w:bidi w:val="0"/>
        <w:rPr>
          <w:rFonts w:hint="default"/>
          <w:lang w:val="en-US" w:eastAsia="zh-CN"/>
        </w:rPr>
      </w:pPr>
      <w:r>
        <w:rPr>
          <w:rFonts w:hint="default"/>
          <w:lang w:val="en-US" w:eastAsia="zh-CN"/>
        </w:rPr>
        <w:t>居民 59 的地块ID: 215 -&gt; 目标地块ID: 222</w:t>
      </w:r>
    </w:p>
    <w:p>
      <w:pPr>
        <w:bidi w:val="0"/>
        <w:rPr>
          <w:rFonts w:hint="default"/>
          <w:lang w:val="en-US" w:eastAsia="zh-CN"/>
        </w:rPr>
      </w:pPr>
      <w:r>
        <w:rPr>
          <w:rFonts w:hint="default"/>
          <w:lang w:val="en-US" w:eastAsia="zh-CN"/>
        </w:rPr>
        <w:t>居民 60 的地块ID: 220 -&gt; 目标地块ID: 413</w:t>
      </w:r>
    </w:p>
    <w:p>
      <w:pPr>
        <w:bidi w:val="0"/>
        <w:rPr>
          <w:rFonts w:hint="default"/>
          <w:lang w:val="en-US" w:eastAsia="zh-CN"/>
        </w:rPr>
      </w:pPr>
      <w:r>
        <w:rPr>
          <w:rFonts w:hint="default"/>
          <w:lang w:val="en-US" w:eastAsia="zh-CN"/>
        </w:rPr>
        <w:t>居民 61 的地块ID: 224 -&gt; 目标地块ID: 161</w:t>
      </w:r>
    </w:p>
    <w:p>
      <w:pPr>
        <w:bidi w:val="0"/>
        <w:rPr>
          <w:rFonts w:hint="default"/>
          <w:lang w:val="en-US" w:eastAsia="zh-CN"/>
        </w:rPr>
      </w:pPr>
      <w:r>
        <w:rPr>
          <w:rFonts w:hint="default"/>
          <w:lang w:val="en-US" w:eastAsia="zh-CN"/>
        </w:rPr>
        <w:t>居民 62 的地块ID: 225 -&gt; 目标地块ID: 234</w:t>
      </w:r>
    </w:p>
    <w:p>
      <w:pPr>
        <w:bidi w:val="0"/>
        <w:rPr>
          <w:rFonts w:hint="default"/>
          <w:lang w:val="en-US" w:eastAsia="zh-CN"/>
        </w:rPr>
      </w:pPr>
      <w:r>
        <w:rPr>
          <w:rFonts w:hint="default"/>
          <w:lang w:val="en-US" w:eastAsia="zh-CN"/>
        </w:rPr>
        <w:t>居民 63 的地块ID: 235 -&gt; 目标地块ID: 429</w:t>
      </w:r>
    </w:p>
    <w:p>
      <w:pPr>
        <w:bidi w:val="0"/>
        <w:rPr>
          <w:rFonts w:hint="default"/>
          <w:lang w:val="en-US" w:eastAsia="zh-CN"/>
        </w:rPr>
      </w:pPr>
      <w:r>
        <w:rPr>
          <w:rFonts w:hint="default"/>
          <w:lang w:val="en-US" w:eastAsia="zh-CN"/>
        </w:rPr>
        <w:t>居民 64 的地块ID: 238 -&gt; 目标地块ID: 177</w:t>
      </w:r>
    </w:p>
    <w:p>
      <w:pPr>
        <w:bidi w:val="0"/>
        <w:rPr>
          <w:rFonts w:hint="default"/>
          <w:lang w:val="en-US" w:eastAsia="zh-CN"/>
        </w:rPr>
      </w:pPr>
      <w:r>
        <w:rPr>
          <w:rFonts w:hint="default"/>
          <w:lang w:val="en-US" w:eastAsia="zh-CN"/>
        </w:rPr>
        <w:t>居民 65 的地块ID: 239 -&gt; 目标地块ID: 443</w:t>
      </w:r>
    </w:p>
    <w:p>
      <w:pPr>
        <w:bidi w:val="0"/>
        <w:rPr>
          <w:rFonts w:hint="default"/>
          <w:lang w:val="en-US" w:eastAsia="zh-CN"/>
        </w:rPr>
      </w:pPr>
      <w:r>
        <w:rPr>
          <w:rFonts w:hint="default"/>
          <w:lang w:val="en-US" w:eastAsia="zh-CN"/>
        </w:rPr>
        <w:t>居民 66 的地块ID: 240 -&gt; 目标地块ID: 122</w:t>
      </w:r>
    </w:p>
    <w:p>
      <w:pPr>
        <w:bidi w:val="0"/>
        <w:rPr>
          <w:rFonts w:hint="default"/>
          <w:lang w:val="en-US" w:eastAsia="zh-CN"/>
        </w:rPr>
      </w:pPr>
      <w:r>
        <w:rPr>
          <w:rFonts w:hint="default"/>
          <w:lang w:val="en-US" w:eastAsia="zh-CN"/>
        </w:rPr>
        <w:t>居民 67 的地块ID: 241 -&gt; 目标地块ID: 434</w:t>
      </w:r>
    </w:p>
    <w:p>
      <w:pPr>
        <w:bidi w:val="0"/>
        <w:rPr>
          <w:rFonts w:hint="default"/>
          <w:lang w:val="en-US" w:eastAsia="zh-CN"/>
        </w:rPr>
      </w:pPr>
      <w:r>
        <w:rPr>
          <w:rFonts w:hint="default"/>
          <w:lang w:val="en-US" w:eastAsia="zh-CN"/>
        </w:rPr>
        <w:t>居民 68 的地块ID: 242 -&gt; 目标地块ID: 113</w:t>
      </w:r>
    </w:p>
    <w:p>
      <w:pPr>
        <w:bidi w:val="0"/>
        <w:rPr>
          <w:rFonts w:hint="default"/>
          <w:lang w:val="en-US" w:eastAsia="zh-CN"/>
        </w:rPr>
      </w:pPr>
      <w:r>
        <w:rPr>
          <w:rFonts w:hint="default"/>
          <w:lang w:val="en-US" w:eastAsia="zh-CN"/>
        </w:rPr>
        <w:t>居民 69 的地块ID: 243 -&gt; 目标地块ID: 114</w:t>
      </w:r>
    </w:p>
    <w:p>
      <w:pPr>
        <w:bidi w:val="0"/>
        <w:rPr>
          <w:rFonts w:hint="default"/>
          <w:lang w:val="en-US" w:eastAsia="zh-CN"/>
        </w:rPr>
      </w:pPr>
      <w:r>
        <w:rPr>
          <w:rFonts w:hint="default"/>
          <w:lang w:val="en-US" w:eastAsia="zh-CN"/>
        </w:rPr>
        <w:t>居民 70 的地块ID: 244 -&gt; 目标地块ID: 399</w:t>
      </w:r>
    </w:p>
    <w:p>
      <w:pPr>
        <w:bidi w:val="0"/>
        <w:rPr>
          <w:rFonts w:hint="default"/>
          <w:lang w:val="en-US" w:eastAsia="zh-CN"/>
        </w:rPr>
      </w:pPr>
      <w:r>
        <w:rPr>
          <w:rFonts w:hint="default"/>
          <w:lang w:val="en-US" w:eastAsia="zh-CN"/>
        </w:rPr>
        <w:t>居民 71 的地块ID: 245 -&gt; 目标地块ID: 165</w:t>
      </w:r>
    </w:p>
    <w:p>
      <w:pPr>
        <w:bidi w:val="0"/>
        <w:rPr>
          <w:rFonts w:hint="default"/>
          <w:lang w:val="en-US" w:eastAsia="zh-CN"/>
        </w:rPr>
      </w:pPr>
      <w:r>
        <w:rPr>
          <w:rFonts w:hint="default"/>
          <w:lang w:val="en-US" w:eastAsia="zh-CN"/>
        </w:rPr>
        <w:t>居民 72 的地块ID: 266 -&gt; 目标地块ID: 135</w:t>
      </w:r>
    </w:p>
    <w:p>
      <w:pPr>
        <w:bidi w:val="0"/>
        <w:rPr>
          <w:rFonts w:hint="default"/>
          <w:lang w:val="en-US" w:eastAsia="zh-CN"/>
        </w:rPr>
      </w:pPr>
      <w:r>
        <w:rPr>
          <w:rFonts w:hint="default"/>
          <w:lang w:val="en-US" w:eastAsia="zh-CN"/>
        </w:rPr>
        <w:t>居民 73 的地块ID: 267 -&gt; 目标地块ID: 133</w:t>
      </w:r>
    </w:p>
    <w:p>
      <w:pPr>
        <w:bidi w:val="0"/>
        <w:rPr>
          <w:rFonts w:hint="default"/>
          <w:lang w:val="en-US" w:eastAsia="zh-CN"/>
        </w:rPr>
      </w:pPr>
      <w:r>
        <w:rPr>
          <w:rFonts w:hint="default"/>
          <w:lang w:val="en-US" w:eastAsia="zh-CN"/>
        </w:rPr>
        <w:t>居民 74 的地块ID: 268 -&gt; 目标地块ID: 232</w:t>
      </w:r>
    </w:p>
    <w:p>
      <w:pPr>
        <w:bidi w:val="0"/>
        <w:rPr>
          <w:rFonts w:hint="default"/>
          <w:lang w:val="en-US" w:eastAsia="zh-CN"/>
        </w:rPr>
      </w:pPr>
      <w:r>
        <w:rPr>
          <w:rFonts w:hint="default"/>
          <w:lang w:val="en-US" w:eastAsia="zh-CN"/>
        </w:rPr>
        <w:t>居民 75 的地块ID: 296 -&gt; 目标地块ID: 166</w:t>
      </w:r>
    </w:p>
    <w:p>
      <w:pPr>
        <w:bidi w:val="0"/>
        <w:rPr>
          <w:rFonts w:hint="default"/>
          <w:lang w:val="en-US" w:eastAsia="zh-CN"/>
        </w:rPr>
      </w:pPr>
      <w:r>
        <w:rPr>
          <w:rFonts w:hint="default"/>
          <w:lang w:val="en-US" w:eastAsia="zh-CN"/>
        </w:rPr>
        <w:t>居民 76 的地块ID: 297 -&gt; 目标地块ID: 178</w:t>
      </w:r>
    </w:p>
    <w:p>
      <w:pPr>
        <w:bidi w:val="0"/>
        <w:rPr>
          <w:rFonts w:hint="default"/>
          <w:lang w:val="en-US" w:eastAsia="zh-CN"/>
        </w:rPr>
      </w:pPr>
      <w:r>
        <w:rPr>
          <w:rFonts w:hint="default"/>
          <w:lang w:val="en-US" w:eastAsia="zh-CN"/>
        </w:rPr>
        <w:t>居民 77 的地块ID: 317 -&gt; 目标地块ID: 152</w:t>
      </w:r>
    </w:p>
    <w:p>
      <w:pPr>
        <w:bidi w:val="0"/>
        <w:rPr>
          <w:rFonts w:hint="default"/>
          <w:lang w:val="en-US" w:eastAsia="zh-CN"/>
        </w:rPr>
      </w:pPr>
      <w:r>
        <w:rPr>
          <w:rFonts w:hint="default"/>
          <w:lang w:val="en-US" w:eastAsia="zh-CN"/>
        </w:rPr>
        <w:t>居民 78 的地块ID: 318 -&gt; 目标地块ID: 202</w:t>
      </w:r>
    </w:p>
    <w:p>
      <w:pPr>
        <w:bidi w:val="0"/>
        <w:rPr>
          <w:rFonts w:hint="default"/>
          <w:lang w:val="en-US" w:eastAsia="zh-CN"/>
        </w:rPr>
      </w:pPr>
      <w:r>
        <w:rPr>
          <w:rFonts w:hint="default"/>
          <w:lang w:val="en-US" w:eastAsia="zh-CN"/>
        </w:rPr>
        <w:t>居民 79 的地块ID: 319 -&gt; 目标地块ID: 217</w:t>
      </w:r>
    </w:p>
    <w:p>
      <w:pPr>
        <w:bidi w:val="0"/>
        <w:rPr>
          <w:rFonts w:hint="default"/>
          <w:lang w:val="en-US" w:eastAsia="zh-CN"/>
        </w:rPr>
      </w:pPr>
      <w:r>
        <w:rPr>
          <w:rFonts w:hint="default"/>
          <w:lang w:val="en-US" w:eastAsia="zh-CN"/>
        </w:rPr>
        <w:t>居民 80 的地块ID: 320 -&gt; 目标地块ID: 169</w:t>
      </w:r>
    </w:p>
    <w:p>
      <w:pPr>
        <w:bidi w:val="0"/>
        <w:rPr>
          <w:rFonts w:hint="default"/>
          <w:lang w:val="en-US" w:eastAsia="zh-CN"/>
        </w:rPr>
      </w:pPr>
      <w:r>
        <w:rPr>
          <w:rFonts w:hint="default"/>
          <w:lang w:val="en-US" w:eastAsia="zh-CN"/>
        </w:rPr>
        <w:t>居民 81 的地块ID: 321 -&gt; 目标地块ID: 440</w:t>
      </w:r>
    </w:p>
    <w:p>
      <w:pPr>
        <w:bidi w:val="0"/>
        <w:rPr>
          <w:rFonts w:hint="default"/>
          <w:lang w:val="en-US" w:eastAsia="zh-CN"/>
        </w:rPr>
      </w:pPr>
      <w:r>
        <w:rPr>
          <w:rFonts w:hint="default"/>
          <w:lang w:val="en-US" w:eastAsia="zh-CN"/>
        </w:rPr>
        <w:t>居民 82 的地块ID: 327 -&gt; 目标地块ID: 150</w:t>
      </w:r>
    </w:p>
    <w:p>
      <w:pPr>
        <w:bidi w:val="0"/>
        <w:rPr>
          <w:rFonts w:hint="default"/>
          <w:lang w:val="en-US" w:eastAsia="zh-CN"/>
        </w:rPr>
      </w:pPr>
      <w:r>
        <w:rPr>
          <w:rFonts w:hint="default"/>
          <w:lang w:val="en-US" w:eastAsia="zh-CN"/>
        </w:rPr>
        <w:t>居民 83 的地块ID: 349 -&gt; 目标地块ID: 228</w:t>
      </w:r>
    </w:p>
    <w:p>
      <w:pPr>
        <w:bidi w:val="0"/>
        <w:rPr>
          <w:rFonts w:hint="default"/>
          <w:lang w:val="en-US" w:eastAsia="zh-CN"/>
        </w:rPr>
      </w:pPr>
      <w:r>
        <w:rPr>
          <w:rFonts w:hint="default"/>
          <w:lang w:val="en-US" w:eastAsia="zh-CN"/>
        </w:rPr>
        <w:t>居民 84 的地块ID: 350 -&gt; 目标地块ID: 168</w:t>
      </w:r>
    </w:p>
    <w:p>
      <w:pPr>
        <w:bidi w:val="0"/>
        <w:rPr>
          <w:rFonts w:hint="default"/>
          <w:lang w:val="en-US" w:eastAsia="zh-CN"/>
        </w:rPr>
      </w:pPr>
      <w:r>
        <w:rPr>
          <w:rFonts w:hint="default"/>
          <w:lang w:val="en-US" w:eastAsia="zh-CN"/>
        </w:rPr>
        <w:t>居民 85 的地块ID: 351 -&gt; 目标地块ID: 345</w:t>
      </w:r>
    </w:p>
    <w:p>
      <w:pPr>
        <w:bidi w:val="0"/>
        <w:rPr>
          <w:rFonts w:hint="default"/>
          <w:lang w:val="en-US" w:eastAsia="zh-CN"/>
        </w:rPr>
      </w:pPr>
      <w:r>
        <w:rPr>
          <w:rFonts w:hint="default"/>
          <w:lang w:val="en-US" w:eastAsia="zh-CN"/>
        </w:rPr>
        <w:t>居民 86 的地块ID: 352 -&gt; 目标地块ID: 231</w:t>
      </w:r>
    </w:p>
    <w:p>
      <w:pPr>
        <w:bidi w:val="0"/>
        <w:rPr>
          <w:rFonts w:hint="default"/>
          <w:lang w:val="en-US" w:eastAsia="zh-CN"/>
        </w:rPr>
      </w:pPr>
      <w:r>
        <w:rPr>
          <w:rFonts w:hint="default"/>
          <w:lang w:val="en-US" w:eastAsia="zh-CN"/>
        </w:rPr>
        <w:t>居民 87 的地块ID: 376 -&gt; 目标地块ID: 199</w:t>
      </w:r>
    </w:p>
    <w:p>
      <w:pPr>
        <w:bidi w:val="0"/>
        <w:rPr>
          <w:rFonts w:hint="default"/>
          <w:lang w:val="en-US" w:eastAsia="zh-CN"/>
        </w:rPr>
      </w:pPr>
      <w:r>
        <w:rPr>
          <w:rFonts w:hint="default"/>
          <w:lang w:val="en-US" w:eastAsia="zh-CN"/>
        </w:rPr>
        <w:t>居民 88 的地块ID: 380 -&gt; 目标地块ID: 411</w:t>
      </w:r>
    </w:p>
    <w:p>
      <w:pPr>
        <w:bidi w:val="0"/>
        <w:rPr>
          <w:rFonts w:hint="default"/>
          <w:lang w:val="en-US" w:eastAsia="zh-CN"/>
        </w:rPr>
      </w:pPr>
      <w:r>
        <w:rPr>
          <w:rFonts w:hint="default"/>
          <w:lang w:val="en-US" w:eastAsia="zh-CN"/>
        </w:rPr>
        <w:t>居民 89 的地块ID: 381 -&gt; 目标地块ID: 446</w:t>
      </w:r>
    </w:p>
    <w:p>
      <w:pPr>
        <w:bidi w:val="0"/>
        <w:rPr>
          <w:rFonts w:hint="default"/>
          <w:lang w:val="en-US" w:eastAsia="zh-CN"/>
        </w:rPr>
      </w:pPr>
      <w:r>
        <w:rPr>
          <w:rFonts w:hint="default"/>
          <w:lang w:val="en-US" w:eastAsia="zh-CN"/>
        </w:rPr>
        <w:t>居民 90 的地块ID: 384 -&gt; 目标地块ID: 125</w:t>
      </w:r>
    </w:p>
    <w:p>
      <w:pPr>
        <w:bidi w:val="0"/>
        <w:rPr>
          <w:rFonts w:hint="default"/>
          <w:lang w:val="en-US" w:eastAsia="zh-CN"/>
        </w:rPr>
      </w:pPr>
      <w:r>
        <w:rPr>
          <w:rFonts w:hint="default"/>
          <w:lang w:val="en-US" w:eastAsia="zh-CN"/>
        </w:rPr>
        <w:t>居民 91 的地块ID: 385 -&gt; 目标地块ID: 438</w:t>
      </w:r>
    </w:p>
    <w:p>
      <w:pPr>
        <w:bidi w:val="0"/>
        <w:rPr>
          <w:rFonts w:hint="default"/>
          <w:lang w:val="en-US" w:eastAsia="zh-CN"/>
        </w:rPr>
      </w:pPr>
      <w:r>
        <w:rPr>
          <w:rFonts w:hint="default"/>
          <w:lang w:val="en-US" w:eastAsia="zh-CN"/>
        </w:rPr>
        <w:t>居民 92 的地块ID: 390 -&gt; 目标地块ID: 400</w:t>
      </w:r>
    </w:p>
    <w:p>
      <w:pPr>
        <w:bidi w:val="0"/>
        <w:rPr>
          <w:rFonts w:hint="default"/>
          <w:lang w:val="en-US" w:eastAsia="zh-CN"/>
        </w:rPr>
      </w:pPr>
      <w:r>
        <w:rPr>
          <w:rFonts w:hint="default"/>
          <w:lang w:val="en-US" w:eastAsia="zh-CN"/>
        </w:rPr>
        <w:t>居民 93 的地块ID: 393 -&gt; 目标地块ID: 422</w:t>
      </w:r>
    </w:p>
    <w:p>
      <w:pPr>
        <w:bidi w:val="0"/>
        <w:rPr>
          <w:rFonts w:hint="default"/>
          <w:lang w:val="en-US" w:eastAsia="zh-CN"/>
        </w:rPr>
      </w:pPr>
      <w:r>
        <w:rPr>
          <w:rFonts w:hint="default"/>
          <w:lang w:val="en-US" w:eastAsia="zh-CN"/>
        </w:rPr>
        <w:t>居民 94 的地块ID: 401 -&gt; 目标地块ID: 388</w:t>
      </w:r>
    </w:p>
    <w:p>
      <w:pPr>
        <w:bidi w:val="0"/>
        <w:rPr>
          <w:rFonts w:hint="default"/>
          <w:lang w:val="en-US" w:eastAsia="zh-CN"/>
        </w:rPr>
      </w:pPr>
      <w:r>
        <w:rPr>
          <w:rFonts w:hint="default"/>
          <w:lang w:val="en-US" w:eastAsia="zh-CN"/>
        </w:rPr>
        <w:t>居民 95 的地块ID: 403 -&gt; 目标地块ID: 219</w:t>
      </w:r>
    </w:p>
    <w:p>
      <w:pPr>
        <w:bidi w:val="0"/>
        <w:rPr>
          <w:rFonts w:hint="default"/>
          <w:lang w:val="en-US" w:eastAsia="zh-CN"/>
        </w:rPr>
      </w:pPr>
      <w:r>
        <w:rPr>
          <w:rFonts w:hint="default"/>
          <w:lang w:val="en-US" w:eastAsia="zh-CN"/>
        </w:rPr>
        <w:t>居民 96 的地块ID: 409 -&gt; 目标地块ID: 78</w:t>
      </w:r>
    </w:p>
    <w:p>
      <w:pPr>
        <w:bidi w:val="0"/>
        <w:rPr>
          <w:rFonts w:hint="default"/>
          <w:lang w:val="en-US" w:eastAsia="zh-CN"/>
        </w:rPr>
      </w:pPr>
      <w:r>
        <w:rPr>
          <w:rFonts w:hint="default"/>
          <w:lang w:val="en-US" w:eastAsia="zh-CN"/>
        </w:rPr>
        <w:t>居民 97 的地块ID: 424 -&gt; 目标地块ID: 391</w:t>
      </w:r>
    </w:p>
    <w:p>
      <w:pPr>
        <w:bidi w:val="0"/>
        <w:rPr>
          <w:rFonts w:hint="default"/>
          <w:lang w:val="en-US" w:eastAsia="zh-CN"/>
        </w:rPr>
      </w:pPr>
      <w:r>
        <w:rPr>
          <w:rFonts w:hint="default"/>
          <w:lang w:val="en-US" w:eastAsia="zh-CN"/>
        </w:rPr>
        <w:t>居民 98 的地块ID: 433 -&gt; 目标地块ID: 387</w:t>
      </w:r>
    </w:p>
    <w:p>
      <w:pPr>
        <w:bidi w:val="0"/>
        <w:rPr>
          <w:rFonts w:hint="default"/>
          <w:lang w:val="en-US" w:eastAsia="zh-CN"/>
        </w:rPr>
      </w:pPr>
      <w:r>
        <w:rPr>
          <w:rFonts w:hint="default"/>
          <w:lang w:val="en-US" w:eastAsia="zh-CN"/>
        </w:rPr>
        <w:t>居民 99 的地块ID: 451 -&gt; 目标地块ID: 427</w:t>
      </w:r>
    </w:p>
    <w:p>
      <w:pPr>
        <w:bidi w:val="0"/>
        <w:rPr>
          <w:rFonts w:hint="default"/>
          <w:lang w:val="en-US" w:eastAsia="zh-CN"/>
        </w:rPr>
      </w:pPr>
      <w:r>
        <w:rPr>
          <w:rFonts w:hint="default"/>
          <w:lang w:val="en-US" w:eastAsia="zh-CN"/>
        </w:rPr>
        <w:t>居民 100 的地块ID: 452 -&gt; 目标地块ID: 213</w:t>
      </w:r>
    </w:p>
    <w:p>
      <w:pPr>
        <w:bidi w:val="0"/>
        <w:rPr>
          <w:rFonts w:hint="default"/>
          <w:lang w:val="en-US" w:eastAsia="zh-CN"/>
        </w:rPr>
      </w:pPr>
      <w:r>
        <w:rPr>
          <w:rFonts w:hint="default"/>
          <w:lang w:val="en-US" w:eastAsia="zh-CN"/>
        </w:rPr>
        <w:t>居民 101 的地块ID: 453 -&gt; 目标地块ID: 425</w:t>
      </w:r>
    </w:p>
    <w:p>
      <w:pPr>
        <w:bidi w:val="0"/>
        <w:rPr>
          <w:rFonts w:hint="default"/>
          <w:lang w:val="en-US" w:eastAsia="zh-CN"/>
        </w:rPr>
      </w:pPr>
      <w:r>
        <w:rPr>
          <w:rFonts w:hint="default"/>
          <w:lang w:val="en-US" w:eastAsia="zh-CN"/>
        </w:rPr>
        <w:t>居民 102 的地块ID: 454 -&gt; 目标地块ID: 428</w:t>
      </w:r>
    </w:p>
    <w:p>
      <w:pPr>
        <w:bidi w:val="0"/>
        <w:rPr>
          <w:rFonts w:hint="default"/>
          <w:lang w:val="en-US" w:eastAsia="zh-CN"/>
        </w:rPr>
      </w:pPr>
      <w:r>
        <w:rPr>
          <w:rFonts w:hint="default"/>
          <w:lang w:val="en-US" w:eastAsia="zh-CN"/>
        </w:rPr>
        <w:t>居民 103 的地块ID: 455 -&gt; 目标地块ID: 251</w:t>
      </w:r>
    </w:p>
    <w:p>
      <w:pPr>
        <w:bidi w:val="0"/>
        <w:rPr>
          <w:rFonts w:hint="default"/>
          <w:lang w:val="en-US" w:eastAsia="zh-CN"/>
        </w:rPr>
      </w:pPr>
      <w:r>
        <w:rPr>
          <w:rFonts w:hint="default"/>
          <w:lang w:val="en-US" w:eastAsia="zh-CN"/>
        </w:rPr>
        <w:t>居民 104 的地块ID: 459 -&gt; 目标地块ID: 307</w:t>
      </w:r>
    </w:p>
    <w:p>
      <w:pPr>
        <w:bidi w:val="0"/>
        <w:rPr>
          <w:rFonts w:hint="default"/>
          <w:lang w:val="en-US" w:eastAsia="zh-CN"/>
        </w:rPr>
      </w:pPr>
      <w:r>
        <w:rPr>
          <w:rFonts w:hint="default"/>
          <w:lang w:val="en-US" w:eastAsia="zh-CN"/>
        </w:rPr>
        <w:t>居民 105 的地块ID: 461 -&gt; 目标地块ID: 432</w:t>
      </w:r>
    </w:p>
    <w:p>
      <w:pPr>
        <w:bidi w:val="0"/>
        <w:rPr>
          <w:rFonts w:hint="default"/>
          <w:lang w:val="en-US" w:eastAsia="zh-CN"/>
        </w:rPr>
      </w:pPr>
      <w:r>
        <w:rPr>
          <w:rFonts w:hint="default"/>
          <w:lang w:val="en-US" w:eastAsia="zh-CN"/>
        </w:rPr>
        <w:t>居民 106 的地块ID: 462 -&gt; 目标地块ID: 265</w:t>
      </w:r>
    </w:p>
    <w:p>
      <w:pPr>
        <w:bidi w:val="0"/>
        <w:rPr>
          <w:rFonts w:hint="default"/>
          <w:lang w:val="en-US" w:eastAsia="zh-CN"/>
        </w:rPr>
      </w:pPr>
      <w:r>
        <w:rPr>
          <w:rFonts w:hint="default"/>
          <w:lang w:val="en-US" w:eastAsia="zh-CN"/>
        </w:rPr>
        <w:t>居民 107 的地块ID: 468 -&gt; 目标地块ID: 216</w:t>
      </w:r>
    </w:p>
    <w:p>
      <w:pPr>
        <w:bidi w:val="0"/>
        <w:rPr>
          <w:rFonts w:hint="default"/>
          <w:lang w:val="en-US" w:eastAsia="zh-CN"/>
        </w:rPr>
      </w:pPr>
      <w:r>
        <w:rPr>
          <w:rFonts w:hint="default"/>
          <w:lang w:val="en-US" w:eastAsia="zh-CN"/>
        </w:rPr>
        <w:t>居民 108 的地块ID: 469 -&gt; 目标地块ID: 484</w:t>
      </w:r>
    </w:p>
    <w:p>
      <w:pPr>
        <w:bidi w:val="0"/>
        <w:rPr>
          <w:rFonts w:hint="default"/>
          <w:lang w:val="en-US" w:eastAsia="zh-CN"/>
        </w:rPr>
      </w:pPr>
      <w:r>
        <w:rPr>
          <w:rFonts w:hint="default"/>
          <w:lang w:val="en-US" w:eastAsia="zh-CN"/>
        </w:rPr>
        <w:t>居民 109 的地块ID: 475 -&gt; 目标地块ID: 370</w:t>
      </w:r>
    </w:p>
    <w:p>
      <w:pPr>
        <w:bidi w:val="0"/>
        <w:rPr>
          <w:rFonts w:hint="default"/>
          <w:lang w:val="en-US" w:eastAsia="zh-CN"/>
        </w:rPr>
      </w:pPr>
      <w:r>
        <w:rPr>
          <w:rFonts w:hint="default"/>
          <w:lang w:val="en-US" w:eastAsia="zh-CN"/>
        </w:rPr>
        <w:t>居民 110 的地块ID: 476 -&gt; 目标地块ID: NaN</w:t>
      </w:r>
    </w:p>
    <w:p>
      <w:pPr>
        <w:bidi w:val="0"/>
        <w:rPr>
          <w:rFonts w:hint="default"/>
          <w:lang w:val="en-US" w:eastAsia="zh-CN"/>
        </w:rPr>
      </w:pPr>
      <w:r>
        <w:rPr>
          <w:rFonts w:hint="default"/>
          <w:lang w:val="en-US" w:eastAsia="zh-CN"/>
        </w:rPr>
        <w:t>居民 111 的地块ID: 477 -&gt; 目标地块ID: 306</w:t>
      </w:r>
    </w:p>
    <w:p>
      <w:pPr>
        <w:bidi w:val="0"/>
        <w:rPr>
          <w:rFonts w:hint="default"/>
          <w:lang w:val="en-US" w:eastAsia="zh-CN"/>
        </w:rPr>
      </w:pPr>
      <w:r>
        <w:rPr>
          <w:rFonts w:hint="default"/>
          <w:lang w:val="en-US" w:eastAsia="zh-CN"/>
        </w:rPr>
        <w:t>居民 112 的地块ID: 478 -&gt; 目标地块ID: 439</w:t>
      </w:r>
    </w:p>
    <w:p>
      <w:pPr>
        <w:bidi w:val="0"/>
        <w:rPr>
          <w:rFonts w:hint="default"/>
          <w:lang w:val="en-US" w:eastAsia="zh-CN"/>
        </w:rPr>
      </w:pPr>
      <w:r>
        <w:rPr>
          <w:rFonts w:hint="default"/>
          <w:lang w:val="en-US" w:eastAsia="zh-CN"/>
        </w:rPr>
        <w:t>最终腾出的完整院落数量: 67</w:t>
      </w:r>
    </w:p>
    <w:p>
      <w:pPr>
        <w:bidi w:val="0"/>
        <w:rPr>
          <w:rFonts w:hint="default"/>
          <w:lang w:val="en-US" w:eastAsia="zh-CN"/>
        </w:rPr>
      </w:pPr>
      <w:r>
        <w:rPr>
          <w:rFonts w:hint="default"/>
          <w:lang w:val="en-US" w:eastAsia="zh-CN"/>
        </w:rPr>
        <w:t>腾出的完整院落ID:</w:t>
      </w:r>
    </w:p>
    <w:p>
      <w:pPr>
        <w:bidi w:val="0"/>
        <w:rPr>
          <w:rFonts w:hint="default"/>
          <w:lang w:val="en-US" w:eastAsia="zh-CN"/>
        </w:rPr>
      </w:pPr>
      <w:r>
        <w:rPr>
          <w:rFonts w:hint="default"/>
          <w:lang w:val="en-US" w:eastAsia="zh-CN"/>
        </w:rPr>
        <w:t xml:space="preserve">  列 1 至 17</w:t>
      </w:r>
    </w:p>
    <w:p>
      <w:pPr>
        <w:bidi w:val="0"/>
        <w:rPr>
          <w:rFonts w:hint="default"/>
          <w:lang w:val="en-US" w:eastAsia="zh-CN"/>
        </w:rPr>
      </w:pPr>
    </w:p>
    <w:p>
      <w:pPr>
        <w:bidi w:val="0"/>
        <w:rPr>
          <w:rFonts w:hint="default"/>
          <w:lang w:val="en-US" w:eastAsia="zh-CN"/>
        </w:rPr>
      </w:pPr>
      <w:r>
        <w:rPr>
          <w:rFonts w:hint="default"/>
          <w:lang w:val="en-US" w:eastAsia="zh-CN"/>
        </w:rPr>
        <w:t xml:space="preserve">     1     2     3     4     5     6     7     8     9    10    11    12    13    14    15    16    18</w:t>
      </w:r>
    </w:p>
    <w:p>
      <w:pPr>
        <w:bidi w:val="0"/>
        <w:rPr>
          <w:rFonts w:hint="default"/>
          <w:lang w:val="en-US" w:eastAsia="zh-CN"/>
        </w:rPr>
      </w:pPr>
    </w:p>
    <w:p>
      <w:pPr>
        <w:bidi w:val="0"/>
        <w:rPr>
          <w:rFonts w:hint="default"/>
          <w:lang w:val="en-US" w:eastAsia="zh-CN"/>
        </w:rPr>
      </w:pPr>
      <w:r>
        <w:rPr>
          <w:rFonts w:hint="default"/>
          <w:lang w:val="en-US" w:eastAsia="zh-CN"/>
        </w:rPr>
        <w:t xml:space="preserve">  列 18 至 34</w:t>
      </w:r>
    </w:p>
    <w:p>
      <w:pPr>
        <w:bidi w:val="0"/>
        <w:rPr>
          <w:rFonts w:hint="default"/>
          <w:lang w:val="en-US" w:eastAsia="zh-CN"/>
        </w:rPr>
      </w:pPr>
    </w:p>
    <w:p>
      <w:pPr>
        <w:bidi w:val="0"/>
        <w:rPr>
          <w:rFonts w:hint="default"/>
          <w:lang w:val="en-US" w:eastAsia="zh-CN"/>
        </w:rPr>
      </w:pPr>
      <w:r>
        <w:rPr>
          <w:rFonts w:hint="default"/>
          <w:lang w:val="en-US" w:eastAsia="zh-CN"/>
        </w:rPr>
        <w:t xml:space="preserve">    19    20    21    22    23    24    25    26    28    33    35    36    38    43    46    52    53</w:t>
      </w:r>
    </w:p>
    <w:p>
      <w:pPr>
        <w:bidi w:val="0"/>
        <w:rPr>
          <w:rFonts w:hint="default"/>
          <w:lang w:val="en-US" w:eastAsia="zh-CN"/>
        </w:rPr>
      </w:pPr>
    </w:p>
    <w:p>
      <w:pPr>
        <w:bidi w:val="0"/>
        <w:rPr>
          <w:rFonts w:hint="default"/>
          <w:lang w:val="en-US" w:eastAsia="zh-CN"/>
        </w:rPr>
      </w:pPr>
      <w:r>
        <w:rPr>
          <w:rFonts w:hint="default"/>
          <w:lang w:val="en-US" w:eastAsia="zh-CN"/>
        </w:rPr>
        <w:t xml:space="preserve">  列 35 至 51</w:t>
      </w:r>
    </w:p>
    <w:p>
      <w:pPr>
        <w:bidi w:val="0"/>
        <w:rPr>
          <w:rFonts w:hint="default"/>
          <w:lang w:val="en-US" w:eastAsia="zh-CN"/>
        </w:rPr>
      </w:pPr>
    </w:p>
    <w:p>
      <w:pPr>
        <w:bidi w:val="0"/>
        <w:rPr>
          <w:rFonts w:hint="default"/>
          <w:lang w:val="en-US" w:eastAsia="zh-CN"/>
        </w:rPr>
      </w:pPr>
      <w:r>
        <w:rPr>
          <w:rFonts w:hint="default"/>
          <w:lang w:val="en-US" w:eastAsia="zh-CN"/>
        </w:rPr>
        <w:t xml:space="preserve">    55    56    58    59    61    62    63    64    65    66    67    69    71    72    73    74    75</w:t>
      </w:r>
    </w:p>
    <w:p>
      <w:pPr>
        <w:bidi w:val="0"/>
        <w:rPr>
          <w:rFonts w:hint="default"/>
          <w:lang w:val="en-US" w:eastAsia="zh-CN"/>
        </w:rPr>
      </w:pPr>
    </w:p>
    <w:p>
      <w:pPr>
        <w:bidi w:val="0"/>
        <w:rPr>
          <w:rFonts w:hint="default"/>
          <w:lang w:val="en-US" w:eastAsia="zh-CN"/>
        </w:rPr>
      </w:pPr>
      <w:r>
        <w:rPr>
          <w:rFonts w:hint="default"/>
          <w:lang w:val="en-US" w:eastAsia="zh-CN"/>
        </w:rPr>
        <w:t xml:space="preserve">  列 52 至 67</w:t>
      </w:r>
    </w:p>
    <w:p>
      <w:pPr>
        <w:bidi w:val="0"/>
        <w:rPr>
          <w:rFonts w:hint="default"/>
          <w:lang w:val="en-US" w:eastAsia="zh-CN"/>
        </w:rPr>
      </w:pPr>
    </w:p>
    <w:p>
      <w:pPr>
        <w:bidi w:val="0"/>
        <w:rPr>
          <w:rFonts w:hint="default"/>
          <w:lang w:val="en-US" w:eastAsia="zh-CN"/>
        </w:rPr>
      </w:pPr>
      <w:r>
        <w:rPr>
          <w:rFonts w:hint="default"/>
          <w:lang w:val="en-US" w:eastAsia="zh-CN"/>
        </w:rPr>
        <w:t xml:space="preserve">    76    77    79    80    81    82    84    86    87    93    94    96   102   104   105   106</w:t>
      </w:r>
    </w:p>
    <w:p>
      <w:pPr>
        <w:bidi w:val="0"/>
        <w:rPr>
          <w:rFonts w:hint="default"/>
          <w:lang w:val="en-US" w:eastAsia="zh-CN"/>
        </w:rPr>
      </w:pPr>
    </w:p>
    <w:p>
      <w:pPr>
        <w:bidi w:val="0"/>
        <w:rPr>
          <w:rFonts w:hint="default"/>
          <w:lang w:val="en-US" w:eastAsia="zh-CN"/>
        </w:rPr>
      </w:pPr>
      <w:r>
        <w:rPr>
          <w:rFonts w:hint="default"/>
          <w:lang w:val="en-US" w:eastAsia="zh-CN"/>
        </w:rPr>
        <w:t>总时间损失收入：42847704</w:t>
      </w:r>
    </w:p>
    <w:p>
      <w:pPr>
        <w:bidi w:val="0"/>
        <w:rPr>
          <w:rFonts w:hint="default"/>
          <w:lang w:val="en-US" w:eastAsia="zh-CN"/>
        </w:rPr>
      </w:pPr>
      <w:r>
        <w:rPr>
          <w:rFonts w:hint="default"/>
          <w:lang w:val="en-US" w:eastAsia="zh-CN"/>
        </w:rPr>
        <w:t>总投资成本（搬迁补偿 + 沟通成本）：13725267.5596</w:t>
      </w:r>
    </w:p>
    <w:p>
      <w:pPr>
        <w:bidi w:val="0"/>
        <w:rPr>
          <w:rFonts w:hint="default"/>
          <w:lang w:val="en-US" w:eastAsia="zh-CN"/>
        </w:rPr>
      </w:pPr>
      <w:r>
        <w:rPr>
          <w:rFonts w:hint="default"/>
          <w:lang w:val="en-US" w:eastAsia="zh-CN"/>
        </w:rPr>
        <w:t>总收入：4506529160</w:t>
      </w:r>
    </w:p>
    <w:p>
      <w:pPr>
        <w:pStyle w:val="2"/>
        <w:rPr>
          <w:rFonts w:hint="default"/>
          <w:lang w:val="en-US" w:eastAsia="zh-CN"/>
        </w:rPr>
      </w:pPr>
      <w:r>
        <w:rPr>
          <w:rFonts w:hint="default"/>
          <w:lang w:val="en-US" w:eastAsia="zh-CN"/>
        </w:rPr>
        <w:t>总盈利：4492803892.4404</w:t>
      </w:r>
    </w:p>
    <w:p>
      <w:pPr>
        <w:pStyle w:val="2"/>
        <w:rPr>
          <w:rFonts w:hint="default"/>
          <w:lang w:val="en-US" w:eastAsia="zh-CN"/>
        </w:rPr>
      </w:pPr>
      <w:r>
        <w:drawing>
          <wp:inline distT="0" distB="0" distL="114300" distR="114300">
            <wp:extent cx="4648200" cy="4091940"/>
            <wp:effectExtent l="0" t="0" r="0" b="762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19"/>
                    <a:stretch>
                      <a:fillRect/>
                    </a:stretch>
                  </pic:blipFill>
                  <pic:spPr>
                    <a:xfrm>
                      <a:off x="0" y="0"/>
                      <a:ext cx="4648200" cy="4091940"/>
                    </a:xfrm>
                    <a:prstGeom prst="rect">
                      <a:avLst/>
                    </a:prstGeom>
                    <a:noFill/>
                    <a:ln>
                      <a:noFill/>
                    </a:ln>
                  </pic:spPr>
                </pic:pic>
              </a:graphicData>
            </a:graphic>
          </wp:inline>
        </w:drawing>
      </w:r>
    </w:p>
    <w:p>
      <w:pPr>
        <w:pStyle w:val="4"/>
        <w:bidi w:val="0"/>
        <w:rPr>
          <w:rFonts w:hint="eastAsia"/>
          <w:lang w:eastAsia="zh-CN"/>
        </w:rPr>
      </w:pPr>
      <w:bookmarkStart w:id="114" w:name="_Toc15102"/>
      <w:r>
        <w:rPr>
          <w:rFonts w:hint="eastAsia"/>
          <w:lang w:val="en-US" w:eastAsia="zh-CN"/>
        </w:rPr>
        <w:t>5.4 问题三：</w:t>
      </w:r>
      <w:r>
        <w:rPr>
          <w:rFonts w:hint="eastAsia"/>
          <w:lang w:eastAsia="zh-CN"/>
        </w:rPr>
        <w:t>性价增益的搬迁拐点计算</w:t>
      </w:r>
      <w:bookmarkEnd w:id="114"/>
    </w:p>
    <w:p>
      <w:pPr>
        <w:bidi w:val="0"/>
        <w:rPr>
          <w:rFonts w:hint="eastAsia"/>
          <w:lang w:eastAsia="zh-CN"/>
        </w:rPr>
      </w:pPr>
      <w:r>
        <w:rPr>
          <w:rFonts w:hint="eastAsia"/>
          <w:lang w:val="en-US" w:eastAsia="zh-CN"/>
        </w:rPr>
        <w:t>对于问题三，性价增益的搬迁拐点计算。我们首先基于问题二的结果计算正常情况下的m值。得出具体数值后，我们分别从一个居民开始搬家增加到112个居民进行搬家，分析随着居民搬家个数增多m值的变化趋势。在此，利用问题二的实现代码，初步剔除每个居民信息，分析剔除单个居民后的m值的变化趋势，完成</w:t>
      </w:r>
      <w:r>
        <w:rPr>
          <w:rFonts w:hint="eastAsia"/>
          <w:lang w:eastAsia="zh-CN"/>
        </w:rPr>
        <w:t>性价增益的搬迁拐点计算</w:t>
      </w:r>
    </w:p>
    <w:p>
      <w:pPr>
        <w:bidi w:val="0"/>
        <w:rPr>
          <w:rFonts w:hint="eastAsia"/>
          <w:lang w:val="en-US" w:eastAsia="zh-CN"/>
        </w:rPr>
      </w:pPr>
      <w:r>
        <w:rPr>
          <w:rFonts w:hint="eastAsia"/>
          <w:lang w:val="en-US" w:eastAsia="zh-CN"/>
        </w:rPr>
        <w:t>5.4.1 数据分析</w:t>
      </w:r>
    </w:p>
    <w:p>
      <w:pPr>
        <w:bidi w:val="0"/>
      </w:pPr>
      <w:r>
        <w:t>1．不拆迁的总收益计算：</w:t>
      </w:r>
      <w:r>
        <w:br w:type="textWrapping"/>
      </w:r>
      <w:r>
        <w:t>－地块租金计算：根据每个地块的朝向，面积以及居民是否居住，计算地块在未来 10 年的租金收益。租金标准如下：</w:t>
      </w:r>
    </w:p>
    <w:p>
      <w:pPr>
        <w:bidi w:val="0"/>
      </w:pPr>
      <w:r>
        <w:t>对于没有居民的地块（空地），租金为 30 元／平方米／天。</w:t>
      </w:r>
    </w:p>
    <w:p>
      <w:pPr>
        <w:bidi w:val="0"/>
      </w:pPr>
      <w:r>
        <w:t>对于有居民的地块，东，西厢房的租金为 8 元／平方米／天，南北厢房的租金为 15 元／平方米／天。如果是完整的院落，则租金为 30 元／平方米／天。</w:t>
      </w:r>
    </w:p>
    <w:p>
      <w:pPr>
        <w:bidi w:val="0"/>
      </w:pPr>
      <w:r>
        <w:t>年数和天数：计算未来 10 年内的总天数，即 3650 天。</w:t>
      </w:r>
    </w:p>
    <w:p>
      <w:pPr>
        <w:bidi w:val="0"/>
      </w:pPr>
      <w:r>
        <w:t>收益累加：根据地块面积和租金标准，对所有地块进行循环计算，累加租金收益。</w:t>
      </w:r>
    </w:p>
    <w:p>
      <w:pPr>
        <w:bidi w:val="0"/>
      </w:pPr>
      <w:r>
        <w:t>2．毗邻效益的计算：</w:t>
      </w:r>
      <w:r>
        <w:br w:type="textWrapping"/>
      </w:r>
      <w:r>
        <w:t xml:space="preserve">－如果某个院落为空院落（所有地块都没有居民），并且该院落与其他空院落相邻，则该院落的收益增加 </w:t>
      </w:r>
      <m:oMath>
        <m:r>
          <m:rPr>
            <m:sty m:val="p"/>
          </m:rPr>
          <w:rPr>
            <w:rFonts w:ascii="Cambria Math" w:hAnsi="Cambria Math"/>
          </w:rPr>
          <m:t>20%</m:t>
        </m:r>
      </m:oMath>
      <w:r>
        <w:t xml:space="preserve"> 。毗邻效益的目的是通过空院落之间的相邻关系来增加开发收益。</w:t>
      </w:r>
      <w:r>
        <w:br w:type="textWrapping"/>
      </w:r>
      <w:r>
        <w:t xml:space="preserve">－邻接矩阵的应用：通过邻接矩阵，判断每个空院落是否与其他空院落相邻，并计算毗邻效益。毗邻效益是通过将空院落的面积乘以 </w:t>
      </w:r>
      <m:oMath>
        <m:r>
          <m:rPr>
            <m:sty m:val="p"/>
          </m:rPr>
          <w:rPr>
            <w:rFonts w:ascii="Cambria Math" w:hAnsi="Cambria Math"/>
          </w:rPr>
          <m:t>20%</m:t>
        </m:r>
      </m:oMath>
      <w:r>
        <w:t xml:space="preserve"> 的增益来计算的。</w:t>
      </w:r>
    </w:p>
    <w:p>
      <w:pPr>
        <w:bidi w:val="0"/>
      </w:pPr>
      <w:r>
        <w:t xml:space="preserve">3．计算搬迁后的性价比 </w:t>
      </w:r>
      <m:oMath>
        <m:r>
          <m:rPr>
            <m:sty m:val="p"/>
          </m:rPr>
          <w:rPr>
            <w:rFonts w:ascii="Cambria Math" w:hAnsi="Cambria Math"/>
          </w:rPr>
          <m:t>m</m:t>
        </m:r>
      </m:oMath>
      <w:r>
        <w:t xml:space="preserve"> ：</w:t>
      </w:r>
      <w:r>
        <w:br w:type="textWrapping"/>
      </w:r>
      <w:r>
        <w:t xml:space="preserve">－假设搬迁后的总收入（migrated＿income）已经给定，且搬迁的实际成本（total＿cost）也已给定。搬迁后的性价比 </w:t>
      </w:r>
      <m:oMath>
        <m:r>
          <m:rPr>
            <m:sty m:val="p"/>
          </m:rPr>
          <w:rPr>
            <w:rFonts w:ascii="Cambria Math" w:hAnsi="Cambria Math"/>
          </w:rPr>
          <m:t>m</m:t>
        </m:r>
      </m:oMath>
      <w:r>
        <w:t xml:space="preserve"> 可以通过以下公式计算：</w:t>
      </w:r>
    </w:p>
    <w:p>
      <w:pPr>
        <w:bidi w:val="0"/>
      </w:pPr>
      <m:oMathPara>
        <m:oMath>
          <m:r>
            <m:rPr>
              <m:sty m:val="p"/>
            </m:rPr>
            <w:rPr>
              <w:rFonts w:ascii="Cambria Math" w:hAnsi="Cambria Math"/>
            </w:rPr>
            <m:t>m=</m:t>
          </m:r>
          <m:f>
            <m:fPr>
              <m:ctrlPr>
                <w:rPr>
                  <w:rFonts w:ascii="Cambria Math" w:hAnsi="Cambria Math"/>
                </w:rPr>
              </m:ctrlPr>
            </m:fPr>
            <m:num>
              <m:r>
                <m:rPr>
                  <m:nor/>
                  <m:sty m:val="p"/>
                </m:rPr>
                <w:rPr>
                  <w:rFonts w:ascii="Cambria Math" w:hAnsi="Cambria Math"/>
                </w:rPr>
                <m:t> migrated_income </m:t>
              </m:r>
              <m:r>
                <m:rPr>
                  <m:nor/>
                  <m:sty m:val="p"/>
                </m:rPr>
                <w:rPr>
                  <w:rFonts w:ascii="Cambria Math" w:hAnsi="Cambria Math"/>
                </w:rPr>
                <m:t>−</m:t>
              </m:r>
              <m:r>
                <m:rPr>
                  <m:nor/>
                  <m:sty m:val="p"/>
                </m:rPr>
                <w:rPr>
                  <w:rFonts w:ascii="Cambria Math" w:hAnsi="Cambria Math"/>
                </w:rPr>
                <m:t> total_income_no_migration </m:t>
              </m:r>
              <m:ctrlPr>
                <w:rPr>
                  <w:rFonts w:ascii="Cambria Math" w:hAnsi="Cambria Math"/>
                </w:rPr>
              </m:ctrlPr>
            </m:num>
            <m:den>
              <m:r>
                <m:rPr>
                  <m:nor/>
                  <m:sty m:val="p"/>
                </m:rPr>
                <w:rPr>
                  <w:rFonts w:ascii="Cambria Math" w:hAnsi="Cambria Math"/>
                </w:rPr>
                <m:t> total_cost </m:t>
              </m:r>
              <m:ctrlPr>
                <w:rPr>
                  <w:rFonts w:ascii="Cambria Math" w:hAnsi="Cambria Math"/>
                </w:rPr>
              </m:ctrlPr>
            </m:den>
          </m:f>
        </m:oMath>
      </m:oMathPara>
    </w:p>
    <w:p>
      <w:pPr>
        <w:bidi w:val="0"/>
      </w:pPr>
      <w:r>
        <w:t>其中，total＿income＿no＿migration 为不进行搬迁时的总收益，total＿cost 为搬迁的实际成本。</w:t>
      </w:r>
      <w:r>
        <w:br w:type="textWrapping"/>
      </w:r>
      <w:r>
        <w:t>4．输出结果：</w:t>
      </w:r>
    </w:p>
    <w:p>
      <w:pPr>
        <w:bidi w:val="0"/>
      </w:pPr>
      <w:r>
        <w:t>不拆迁的收益：输出不进行搬迁时，所有地块在未来 10 年内的总收益。</w:t>
      </w:r>
    </w:p>
    <w:p>
      <w:pPr>
        <w:bidi w:val="0"/>
        <w:rPr>
          <w:rFonts w:hint="eastAsia"/>
          <w:lang w:val="en-US" w:eastAsia="zh-CN"/>
        </w:rPr>
      </w:pPr>
      <w:r>
        <w:t xml:space="preserve">性价比：输出搬迁后的性价比 </w:t>
      </w:r>
      <m:oMath>
        <m:r>
          <m:rPr>
            <m:sty m:val="p"/>
          </m:rPr>
          <w:rPr>
            <w:rFonts w:ascii="Cambria Math" w:hAnsi="Cambria Math"/>
          </w:rPr>
          <m:t>m</m:t>
        </m:r>
      </m:oMath>
      <w:r>
        <w:t xml:space="preserve"> ，用于评估搬迁决策的经济效益。</w:t>
      </w:r>
    </w:p>
    <w:p>
      <w:pPr>
        <w:pStyle w:val="2"/>
        <w:rPr>
          <w:rFonts w:hint="default"/>
          <w:lang w:val="en-US" w:eastAsia="zh-CN"/>
        </w:rPr>
      </w:pPr>
      <w:r>
        <w:rPr>
          <w:rFonts w:hint="default"/>
          <w:lang w:val="en-US" w:eastAsia="zh-CN"/>
        </w:rPr>
        <w:t>不拆迁的十年总收益：3643889900</w:t>
      </w:r>
    </w:p>
    <w:p>
      <w:pPr>
        <w:pStyle w:val="2"/>
        <w:rPr>
          <w:rFonts w:hint="default"/>
          <w:lang w:val="en-US" w:eastAsia="zh-CN"/>
        </w:rPr>
      </w:pPr>
      <w:r>
        <w:rPr>
          <w:rFonts w:hint="default"/>
          <w:lang w:val="en-US" w:eastAsia="zh-CN"/>
        </w:rPr>
        <w:t>搬迁后总盈利比于不搬迁的增量 / 实际搬迁投入的性价比 m：37.9595</w:t>
      </w:r>
    </w:p>
    <w:p>
      <w:pPr>
        <w:pStyle w:val="5"/>
        <w:bidi w:val="0"/>
        <w:rPr>
          <w:rFonts w:hint="eastAsia"/>
          <w:lang w:val="en-US" w:eastAsia="zh-CN"/>
        </w:rPr>
      </w:pPr>
      <w:bookmarkStart w:id="115" w:name="_Toc431"/>
      <w:r>
        <w:rPr>
          <w:rFonts w:hint="eastAsia"/>
          <w:lang w:val="en-US" w:eastAsia="zh-CN"/>
        </w:rPr>
        <w:t>5.4.2 增多分析</w:t>
      </w:r>
      <w:bookmarkEnd w:id="115"/>
    </w:p>
    <w:p>
      <w:pPr>
        <w:bidi w:val="0"/>
      </w:pPr>
      <w:r>
        <w:t>1．读取数据：</w:t>
      </w:r>
      <w:r>
        <w:br w:type="textWrapping"/>
      </w:r>
      <w:r>
        <w:t>－plot＿info 包含了老城街区的地块信息，包括每个地块的ID，院落ID，面积，院落面积，朝向以及是否有居民等。</w:t>
      </w:r>
      <w:r>
        <w:br w:type="textWrapping"/>
      </w:r>
      <w:r>
        <w:t>－relocation＿data 包含了每个居民的搬迁信息，包括居民的地块ID，目标地块ID，面积，朝向，是否临街，所属院落ID等。</w:t>
      </w:r>
    </w:p>
    <w:p>
      <w:pPr>
        <w:bidi w:val="0"/>
      </w:pPr>
      <w:r>
        <w:t>2．邻接矩阵的构建：</w:t>
      </w:r>
      <w:r>
        <w:br w:type="textWrapping"/>
      </w:r>
      <w:r>
        <w:t>－邻接矩阵用于表示院落之间的毗邻关系。每个院落与相邻院落的连接关系通过矩阵中的值表示为 1 ，表示它们是相邻的。</w:t>
      </w:r>
    </w:p>
    <w:p>
      <w:pPr>
        <w:bidi w:val="0"/>
      </w:pPr>
      <w:r>
        <w:t>3．计算不拆迁的总收益：</w:t>
      </w:r>
      <w:r>
        <w:br w:type="textWrapping"/>
      </w:r>
      <w:r>
        <w:t>－代码首先计算如果不进行搬迁，老城街区在未来10年的总租金收入。这个计算考虑了不同地块的朝向，面积以及是否有人居住，进而确定不同地块的租金收入。</w:t>
      </w:r>
      <w:r>
        <w:br w:type="textWrapping"/>
      </w:r>
      <w:r>
        <w:t>－对于没有居民的空地，租金为 30 元／平方米／天；对于东西厢房的租金是 8 元／平方米／天，南北厢房的租金是 15 元／平方米／天，而完整院落的租金是 30 元／平方米／天。</w:t>
      </w:r>
    </w:p>
    <w:p>
      <w:pPr>
        <w:bidi w:val="0"/>
      </w:pPr>
      <w:r>
        <w:t>4．随机选择搬迁目标：</w:t>
      </w:r>
      <w:r>
        <w:br w:type="textWrapping"/>
      </w:r>
      <w:r>
        <w:t>－代码在计算过程中，从第 40 个居民开始，逐步选择不同数量的居民进行搬迁。对于每个居民，随机选择一个目标地块进行搬迁，以模拟不同的搬迁方案。</w:t>
      </w:r>
    </w:p>
    <w:p>
      <w:pPr>
        <w:bidi w:val="0"/>
      </w:pPr>
      <w:r>
        <w:t>5．计算搬迁后的收入：</w:t>
      </w:r>
      <w:r>
        <w:br w:type="textWrapping"/>
      </w:r>
      <w:r>
        <w:t>－对每个居民，计算搬迁后的目标地块的租金收入。租金收入是根据地块的朝向和面积来计算的，采用相同的租金标准。</w:t>
      </w:r>
      <w:r>
        <w:br w:type="textWrapping"/>
      </w:r>
      <w:r>
        <w:t>－如果搬迁的目标地块是空院落并与其他空院落毗邻，计算毗邻效益，即相邻的空院落会使得租金收益增加20\％。</w:t>
      </w:r>
    </w:p>
    <w:p>
      <w:pPr>
        <w:bidi w:val="0"/>
      </w:pPr>
      <w:r>
        <w:t>6．计算时间损失的租金：</w:t>
      </w:r>
      <w:r>
        <w:br w:type="textWrapping"/>
      </w:r>
      <w:r>
        <w:t>－由于搬迁需要一定的时间损失（例如，搬迁后的 4 个月内无法出租或使用），因此代码会计算每个居民的搬迁带来的时间损失。时间损失是以地块的面积和租金为基础，假设搬迁时间为四个月来计算租金损失。</w:t>
      </w:r>
    </w:p>
    <w:p>
      <w:pPr>
        <w:bidi w:val="0"/>
      </w:pPr>
      <w:r>
        <w:t>7．计算搬迁的总成本：</w:t>
      </w:r>
      <w:r>
        <w:br w:type="textWrapping"/>
      </w:r>
      <w:r>
        <w:t>－总成本包括：搬迁补偿，沟通成本（每个居民需要 30000 元的沟通费用），以及因䒃迁导致的时间损失所带来的租金损失。</w:t>
      </w:r>
    </w:p>
    <w:p>
      <w:pPr>
        <w:bidi w:val="0"/>
      </w:pPr>
      <w:r>
        <w:t xml:space="preserve">8．性价比 </w:t>
      </w:r>
      <m:oMath>
        <m:r>
          <m:rPr>
            <m:sty m:val="p"/>
          </m:rPr>
          <w:rPr>
            <w:rFonts w:ascii="Cambria Math" w:hAnsi="Cambria Math"/>
          </w:rPr>
          <m:t>m</m:t>
        </m:r>
      </m:oMath>
      <w:r>
        <w:t xml:space="preserve"> 的计算：</w:t>
      </w:r>
      <w:r>
        <w:br w:type="textWrapping"/>
      </w:r>
      <w:r>
        <w:t xml:space="preserve">－性价比 </w:t>
      </w:r>
      <m:oMath>
        <m:r>
          <m:rPr>
            <m:sty m:val="p"/>
          </m:rPr>
          <w:rPr>
            <w:rFonts w:ascii="Cambria Math" w:hAnsi="Cambria Math"/>
          </w:rPr>
          <m:t>m</m:t>
        </m:r>
      </m:oMath>
      <w:r>
        <w:t xml:space="preserve"> 的公式为：</w:t>
      </w:r>
    </w:p>
    <w:p>
      <w:pPr>
        <w:bidi w:val="0"/>
      </w:pPr>
      <m:oMathPara>
        <m:oMath>
          <m:r>
            <m:rPr>
              <m:sty m:val="p"/>
            </m:rPr>
            <w:rPr>
              <w:rFonts w:ascii="Cambria Math" w:hAnsi="Cambria Math"/>
            </w:rPr>
            <m:t>m=</m:t>
          </m:r>
          <m:f>
            <m:fPr>
              <m:ctrlPr>
                <w:rPr>
                  <w:rFonts w:ascii="Cambria Math" w:hAnsi="Cambria Math"/>
                </w:rPr>
              </m:ctrlPr>
            </m:fPr>
            <m:num>
              <m:r>
                <m:rPr>
                  <m:nor/>
                  <m:sty m:val="p"/>
                </m:rPr>
                <w:rPr>
                  <w:rFonts w:ascii="Cambria Math" w:hAnsi="Cambria Math"/>
                </w:rPr>
                <m:t> 搬迁后总收入 </m:t>
              </m:r>
              <m:r>
                <m:rPr>
                  <m:nor/>
                  <m:sty m:val="p"/>
                </m:rPr>
                <w:rPr>
                  <w:rFonts w:ascii="Cambria Math" w:hAnsi="Cambria Math"/>
                </w:rPr>
                <m:t>−</m:t>
              </m:r>
              <m:r>
                <m:rPr>
                  <m:nor/>
                  <m:sty m:val="p"/>
                </m:rPr>
                <w:rPr>
                  <w:rFonts w:ascii="Cambria Math" w:hAnsi="Cambria Math"/>
                </w:rPr>
                <m:t> 不拆迁的总收入 </m:t>
              </m:r>
              <m:ctrlPr>
                <w:rPr>
                  <w:rFonts w:ascii="Cambria Math" w:hAnsi="Cambria Math"/>
                </w:rPr>
              </m:ctrlPr>
            </m:num>
            <m:den>
              <m:r>
                <m:rPr>
                  <m:nor/>
                  <m:sty m:val="p"/>
                </m:rPr>
                <w:rPr>
                  <w:rFonts w:ascii="Cambria Math" w:hAnsi="Cambria Math"/>
                </w:rPr>
                <m:t> 搬迁总成本 </m:t>
              </m:r>
              <m:ctrlPr>
                <w:rPr>
                  <w:rFonts w:ascii="Cambria Math" w:hAnsi="Cambria Math"/>
                </w:rPr>
              </m:ctrlPr>
            </m:den>
          </m:f>
        </m:oMath>
      </m:oMathPara>
    </w:p>
    <w:p>
      <w:pPr>
        <w:bidi w:val="0"/>
      </w:pPr>
      <w:r>
        <w:t>其中，搬迁后总收入包括租金收入和毗邻效益，而不拆迁的总收入则是未进行搬迁时的总收益。</w:t>
      </w:r>
    </w:p>
    <w:p>
      <w:pPr>
        <w:rPr>
          <w:rFonts w:hint="eastAsia"/>
          <w:lang w:val="en-US" w:eastAsia="zh-CN"/>
        </w:rPr>
      </w:pPr>
    </w:p>
    <w:p>
      <w:pPr>
        <w:rPr>
          <w:rFonts w:hint="eastAsia"/>
          <w:lang w:val="en-US" w:eastAsia="zh-CN"/>
        </w:rPr>
      </w:pPr>
    </w:p>
    <w:p>
      <w:pPr>
        <w:pStyle w:val="2"/>
        <w:rPr>
          <w:rFonts w:hint="eastAsia"/>
          <w:lang w:val="en-US" w:eastAsia="zh-CN"/>
        </w:rPr>
      </w:pPr>
      <w:r>
        <w:drawing>
          <wp:inline distT="0" distB="0" distL="114300" distR="114300">
            <wp:extent cx="4503420" cy="1783080"/>
            <wp:effectExtent l="0" t="0" r="7620"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0"/>
                    <a:stretch>
                      <a:fillRect/>
                    </a:stretch>
                  </pic:blipFill>
                  <pic:spPr>
                    <a:xfrm>
                      <a:off x="0" y="0"/>
                      <a:ext cx="4503420" cy="1783080"/>
                    </a:xfrm>
                    <a:prstGeom prst="rect">
                      <a:avLst/>
                    </a:prstGeom>
                    <a:noFill/>
                    <a:ln>
                      <a:noFill/>
                    </a:ln>
                  </pic:spPr>
                </pic:pic>
              </a:graphicData>
            </a:graphic>
          </wp:inline>
        </w:drawing>
      </w:r>
    </w:p>
    <w:p>
      <w:pPr>
        <w:bidi w:val="0"/>
        <w:rPr>
          <w:rFonts w:hint="eastAsia"/>
          <w:highlight w:val="green"/>
          <w:lang w:val="en-US" w:eastAsia="zh-CN"/>
        </w:rPr>
      </w:pPr>
    </w:p>
    <w:p>
      <w:pPr>
        <w:bidi w:val="0"/>
      </w:pPr>
      <w:r>
        <w:drawing>
          <wp:inline distT="0" distB="0" distL="114300" distR="114300">
            <wp:extent cx="4236720" cy="172212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1"/>
                    <a:stretch>
                      <a:fillRect/>
                    </a:stretch>
                  </pic:blipFill>
                  <pic:spPr>
                    <a:xfrm>
                      <a:off x="0" y="0"/>
                      <a:ext cx="4236720" cy="1722120"/>
                    </a:xfrm>
                    <a:prstGeom prst="rect">
                      <a:avLst/>
                    </a:prstGeom>
                    <a:noFill/>
                    <a:ln>
                      <a:noFill/>
                    </a:ln>
                  </pic:spPr>
                </pic:pic>
              </a:graphicData>
            </a:graphic>
          </wp:inline>
        </w:drawing>
      </w:r>
    </w:p>
    <w:p>
      <w:pPr>
        <w:bidi w:val="0"/>
        <w:rPr>
          <w:rFonts w:hint="eastAsia"/>
          <w:highlight w:val="green"/>
          <w:lang w:val="en-US" w:eastAsia="zh-CN"/>
        </w:rPr>
      </w:pPr>
      <w:r>
        <w:rPr>
          <w:rFonts w:hint="eastAsia"/>
          <w:highlight w:val="green"/>
          <w:lang w:val="en-US" w:eastAsia="zh-CN"/>
        </w:rPr>
        <w:t>图表1：搬迁性价比随搬迁居民数变化的趋势</w:t>
      </w:r>
    </w:p>
    <w:p>
      <w:pPr>
        <w:bidi w:val="0"/>
        <w:rPr>
          <w:rFonts w:hint="eastAsia"/>
          <w:highlight w:val="green"/>
          <w:lang w:val="en-US" w:eastAsia="zh-CN"/>
        </w:rPr>
      </w:pPr>
      <w:r>
        <w:rPr>
          <w:rFonts w:hint="eastAsia"/>
          <w:highlight w:val="green"/>
          <w:lang w:val="en-US" w:eastAsia="zh-CN"/>
        </w:rPr>
        <w:t xml:space="preserve">从图表1可以看到，搬迁性价比 </w:t>
      </w:r>
    </w:p>
    <w:p>
      <w:pPr>
        <w:bidi w:val="0"/>
        <w:rPr>
          <w:rFonts w:hint="eastAsia"/>
          <w:highlight w:val="green"/>
          <w:lang w:val="en-US" w:eastAsia="zh-CN"/>
        </w:rPr>
      </w:pPr>
      <w:r>
        <w:rPr>
          <w:rFonts w:hint="eastAsia"/>
          <w:highlight w:val="green"/>
          <w:lang w:val="en-US" w:eastAsia="zh-CN"/>
        </w:rPr>
        <w:t>m 随着搬迁居民数的增加呈现出迅速上升的趋势，初始阶段性价比较低，并且随着搬迁居民数的增加，性价比逐渐变得稳定。具体分析如下：</w:t>
      </w:r>
    </w:p>
    <w:p>
      <w:pPr>
        <w:bidi w:val="0"/>
        <w:rPr>
          <w:rFonts w:hint="eastAsia"/>
          <w:highlight w:val="green"/>
          <w:lang w:val="en-US" w:eastAsia="zh-CN"/>
        </w:rPr>
      </w:pPr>
      <w:r>
        <w:rPr>
          <w:rFonts w:hint="eastAsia"/>
          <w:highlight w:val="green"/>
          <w:lang w:val="en-US" w:eastAsia="zh-CN"/>
        </w:rPr>
        <w:t>初期阶段：图中的前几个数据点（居民数在0到20之间）性价比表现出较大幅度的下降，呈现负值。这表明在搬迁初期，可能由于成本较高（如搬迁补偿、沟通费用等）导致搬迁的经济效益未能迅速体现，导致性价比较低。</w:t>
      </w:r>
    </w:p>
    <w:p>
      <w:pPr>
        <w:bidi w:val="0"/>
        <w:rPr>
          <w:rFonts w:hint="eastAsia"/>
          <w:highlight w:val="green"/>
          <w:lang w:val="en-US" w:eastAsia="zh-CN"/>
        </w:rPr>
      </w:pPr>
      <w:r>
        <w:rPr>
          <w:rFonts w:hint="eastAsia"/>
          <w:highlight w:val="green"/>
          <w:lang w:val="en-US" w:eastAsia="zh-CN"/>
        </w:rPr>
        <w:t>中期变化：随着搬迁居民数的增加，性价比开始逐渐上升，并趋向稳定。这表明，随着更多居民的搬迁，搬迁后的总收入逐渐增加，尤其是空地腾出后所带来的高租金收入以及毗邻效益逐渐显现出来，成本增加的幅度开始变得相对较小，性价比开始回升。</w:t>
      </w:r>
    </w:p>
    <w:p>
      <w:pPr>
        <w:bidi w:val="0"/>
        <w:rPr>
          <w:rFonts w:hint="eastAsia"/>
          <w:highlight w:val="green"/>
          <w:lang w:val="en-US" w:eastAsia="zh-CN"/>
        </w:rPr>
      </w:pPr>
      <w:r>
        <w:rPr>
          <w:rFonts w:hint="eastAsia"/>
          <w:highlight w:val="green"/>
          <w:lang w:val="en-US" w:eastAsia="zh-CN"/>
        </w:rPr>
        <w:t>后期平稳：当搬迁居民数大于20后，性价比趋于稳定，曲线逐渐趋平。此时，搬迁后的经济效益和成本基本达到平衡，性价比已经处于较高的水平，并且趋向稳定。</w:t>
      </w:r>
    </w:p>
    <w:p>
      <w:pPr>
        <w:bidi w:val="0"/>
        <w:rPr>
          <w:rFonts w:hint="eastAsia"/>
          <w:highlight w:val="green"/>
          <w:lang w:val="en-US" w:eastAsia="zh-CN"/>
        </w:rPr>
      </w:pPr>
      <w:r>
        <w:rPr>
          <w:rFonts w:hint="eastAsia"/>
          <w:highlight w:val="green"/>
          <w:lang w:val="en-US" w:eastAsia="zh-CN"/>
        </w:rPr>
        <w:t>图表2：搬迁性价比随搬迁居民数变化的详细趋势（放大版）</w:t>
      </w:r>
    </w:p>
    <w:p>
      <w:pPr>
        <w:bidi w:val="0"/>
        <w:rPr>
          <w:rFonts w:hint="eastAsia"/>
          <w:highlight w:val="green"/>
          <w:lang w:val="en-US" w:eastAsia="zh-CN"/>
        </w:rPr>
      </w:pPr>
      <w:r>
        <w:rPr>
          <w:rFonts w:hint="eastAsia"/>
          <w:highlight w:val="green"/>
          <w:lang w:val="en-US" w:eastAsia="zh-CN"/>
        </w:rPr>
        <w:t>图表2提供了一个更精细的观察，具体展示了从第40个居民开始，性价比随着搬迁居民数的增加的变化趋势。</w:t>
      </w:r>
    </w:p>
    <w:p>
      <w:pPr>
        <w:bidi w:val="0"/>
        <w:rPr>
          <w:rFonts w:hint="eastAsia"/>
          <w:highlight w:val="green"/>
          <w:lang w:val="en-US" w:eastAsia="zh-CN"/>
        </w:rPr>
      </w:pPr>
      <w:r>
        <w:rPr>
          <w:rFonts w:hint="eastAsia"/>
          <w:highlight w:val="green"/>
          <w:lang w:val="en-US" w:eastAsia="zh-CN"/>
        </w:rPr>
        <w:t>逐步上升：随着搬迁居民数的不断增加，性价比呈现稳步上升的趋势。初期增加较为缓慢，但在50到80之间，性价比的提升变得更为明显，这表明随着更多居民搬迁，整体搬迁效益逐渐显现。</w:t>
      </w:r>
    </w:p>
    <w:p>
      <w:pPr>
        <w:bidi w:val="0"/>
        <w:rPr>
          <w:rFonts w:hint="eastAsia"/>
          <w:highlight w:val="green"/>
          <w:lang w:val="en-US" w:eastAsia="zh-CN"/>
        </w:rPr>
      </w:pPr>
      <w:r>
        <w:rPr>
          <w:rFonts w:hint="eastAsia"/>
          <w:highlight w:val="green"/>
          <w:lang w:val="en-US" w:eastAsia="zh-CN"/>
        </w:rPr>
        <w:t>接近稳定：在接近100个居民时，性价比的增加幅度逐渐减缓，最终趋于稳定，这可能意味着在达到一定的搬迁居民数后，所有有利条件（如毗邻效益、腾空院落的收益等）已经被充分利用，进一步增加居民搬迁的经济效益变得有限。</w:t>
      </w:r>
    </w:p>
    <w:p>
      <w:pPr>
        <w:pStyle w:val="2"/>
        <w:rPr>
          <w:rFonts w:hint="eastAsia"/>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p>
        </w:tc>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r>
              <w:rPr>
                <w:rFonts w:hint="eastAsia"/>
                <w:vertAlign w:val="baseline"/>
                <w:lang w:val="en-US" w:eastAsia="zh-CN"/>
              </w:rPr>
              <w:t>该图为python绘制 与右图二选一即可</w:t>
            </w:r>
          </w:p>
        </w:tc>
        <w:tc>
          <w:tcPr>
            <w:tcW w:w="4261" w:type="dxa"/>
            <w:tcBorders>
              <w:top w:val="nil"/>
              <w:left w:val="nil"/>
              <w:bottom w:val="nil"/>
              <w:right w:val="nil"/>
            </w:tcBorders>
            <w:vAlign w:val="center"/>
          </w:tcPr>
          <w:p>
            <w:pPr>
              <w:pStyle w:val="2"/>
              <w:keepNext w:val="0"/>
              <w:keepLines w:val="0"/>
              <w:pageBreakBefore w:val="0"/>
              <w:widowControl w:val="0"/>
              <w:kinsoku/>
              <w:wordWrap/>
              <w:overflowPunct/>
              <w:topLinePunct w:val="0"/>
              <w:autoSpaceDE/>
              <w:autoSpaceDN/>
              <w:bidi w:val="0"/>
              <w:adjustRightInd/>
              <w:snapToGrid/>
              <w:spacing w:after="0"/>
              <w:ind w:firstLine="0" w:firstLineChars="0"/>
              <w:jc w:val="center"/>
              <w:textAlignment w:val="auto"/>
              <w:rPr>
                <w:rFonts w:hint="default"/>
                <w:vertAlign w:val="baseline"/>
                <w:lang w:val="en-US" w:eastAsia="zh-CN"/>
              </w:rPr>
            </w:pPr>
            <w:r>
              <w:rPr>
                <w:rFonts w:hint="eastAsia"/>
                <w:vertAlign w:val="baseline"/>
                <w:lang w:val="en-US" w:eastAsia="zh-CN"/>
              </w:rPr>
              <w:t>该图为 matlab绘制 与左图二选一即可</w:t>
            </w:r>
          </w:p>
        </w:tc>
      </w:tr>
    </w:tbl>
    <w:p>
      <w:pPr>
        <w:pStyle w:val="2"/>
        <w:rPr>
          <w:rFonts w:hint="eastAsia"/>
          <w:lang w:val="en-US" w:eastAsia="zh-CN"/>
        </w:rPr>
      </w:pPr>
    </w:p>
    <w:p>
      <w:pPr>
        <w:pStyle w:val="2"/>
        <w:rPr>
          <w:rFonts w:hint="eastAsia"/>
          <w:lang w:val="en-US" w:eastAsia="zh-CN"/>
        </w:rPr>
      </w:pPr>
    </w:p>
    <w:p>
      <w:pPr>
        <w:pStyle w:val="5"/>
        <w:bidi w:val="0"/>
        <w:rPr>
          <w:rFonts w:hint="eastAsia"/>
          <w:lang w:val="en-US" w:eastAsia="zh-CN"/>
        </w:rPr>
      </w:pPr>
      <w:bookmarkStart w:id="116" w:name="_Toc11953"/>
      <w:r>
        <w:rPr>
          <w:rFonts w:hint="eastAsia"/>
          <w:lang w:val="en-US" w:eastAsia="zh-CN"/>
        </w:rPr>
        <w:t>5.4.3 递减分析</w:t>
      </w:r>
      <w:bookmarkEnd w:id="116"/>
    </w:p>
    <w:p>
      <w:pPr>
        <w:bidi w:val="0"/>
      </w:pPr>
      <w:r>
        <w:t>1．数据读取与初始化：代码首先读取两个主要数据集：relocation＿data（包含居民的搬迁信息，如居民地块ID，目标地块ID，面积，朝向等）和 plot＿info（包含地块的详细信息，如地块ID，院落ID，面积，朝向等）。然后根据给定的居民ID列表，逐个删除指定居民的搬迁记录。</w:t>
      </w:r>
    </w:p>
    <w:p>
      <w:pPr>
        <w:bidi w:val="0"/>
      </w:pPr>
      <w:r>
        <w:t>2．邻接矩阵的构建：邻接矩阵用于表示院落间的毗邻关系。如果两个院落相邻，则在邻接矩阵中对应位置的值设为 1 。邻接矩阵的构建基于题目中给出的毗邻规则，每对相邻院落的矩阵位置被标记为 1 。</w:t>
      </w:r>
    </w:p>
    <w:p>
      <w:pPr>
        <w:bidi w:val="0"/>
      </w:pPr>
      <w:r>
        <w:t>3．删除特定居民的搬迁记录：对于每个需要删除的居民ID，代码从 relocation＿data 中删除该居民的搬迁记录。删除操作是基于 ResidentPlotID 进行的，确保删除的是指定的居民记录。</w:t>
      </w:r>
    </w:p>
    <w:p>
      <w:pPr>
        <w:bidi w:val="0"/>
      </w:pPr>
      <w:r>
        <w:t xml:space="preserve">4．搬迁后性价比 </w:t>
      </w:r>
      <m:oMath>
        <m:r>
          <m:rPr>
            <m:sty m:val="p"/>
          </m:rPr>
          <w:rPr>
            <w:rFonts w:ascii="Cambria Math" w:hAnsi="Cambria Math"/>
          </w:rPr>
          <m:t>m</m:t>
        </m:r>
      </m:oMath>
      <w:r>
        <w:t xml:space="preserve"> 的计算：</w:t>
      </w:r>
      <w:r>
        <w:br w:type="textWrapping"/>
      </w:r>
      <w:r>
        <w:t>－目标地块选择：对于每个搬迁居民，首先根据新的搬迁记录获取目标地块，并计算该地块的租金收益。</w:t>
      </w:r>
      <w:r>
        <w:br w:type="textWrapping"/>
      </w:r>
      <w:r>
        <w:t>－租金收入：根据地块的朝向和面积，计算搬迁后的目标地块租金收入。具体来说，东，西厢房的租金为 8 元／平方米／天，南北厢房为 15 元／平方米／天，完整院落为 30 元／平方米／天。租金收入基于 10年（即 3650 天）计算。</w:t>
      </w:r>
    </w:p>
    <w:p>
      <w:pPr>
        <w:bidi w:val="0"/>
      </w:pPr>
      <w:r>
        <w:t>对于目标地块的租金收入，公式为：</w:t>
      </w:r>
    </w:p>
    <w:p>
      <w:pPr>
        <w:bidi w:val="0"/>
      </w:pPr>
      <m:oMathPara>
        <m:oMath>
          <m:sSub>
            <m:sSubPr/>
            <m:e>
              <m:r>
                <m:rPr>
                  <m:nor/>
                  <m:sty m:val="p"/>
                </m:rPr>
                <w:rPr>
                  <w:rFonts w:ascii="Cambria Math" w:hAnsi="Cambria Math"/>
                </w:rPr>
                <m:t> Income </m:t>
              </m:r>
            </m:e>
            <m:sub>
              <m:r>
                <m:rPr>
                  <m:sty m:val="p"/>
                </m:rPr>
                <w:rPr>
                  <w:rFonts w:ascii="Cambria Math" w:hAnsi="Cambria Math"/>
                </w:rPr>
                <m:t>i</m:t>
              </m:r>
            </m:sub>
          </m:sSub>
          <m:r>
            <m:rPr>
              <m:sty m:val="p"/>
            </m:rPr>
            <w:rPr>
              <w:rFonts w:ascii="Cambria Math" w:hAnsi="Cambria Math"/>
            </w:rPr>
            <m:t>=</m:t>
          </m:r>
          <m:sSub>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×R×3650</m:t>
          </m:r>
        </m:oMath>
      </m:oMathPara>
    </w:p>
    <w:p>
      <w:pPr>
        <w:bidi w:val="0"/>
      </w:pPr>
      <w:r>
        <w:t>其中，</w:t>
      </w:r>
      <m:oMath>
        <m:sSub>
          <m:sSubPr/>
          <m:e>
            <m:r>
              <m:rPr>
                <m:sty m:val="p"/>
              </m:rPr>
              <w:rPr>
                <w:rFonts w:ascii="Cambria Math" w:hAnsi="Cambria Math"/>
              </w:rPr>
              <m:t>A</m:t>
            </m:r>
          </m:e>
          <m:sub>
            <m:r>
              <m:rPr>
                <m:sty m:val="p"/>
              </m:rPr>
              <w:rPr>
                <w:rFonts w:ascii="Cambria Math" w:hAnsi="Cambria Math"/>
              </w:rPr>
              <m:t>i</m:t>
            </m:r>
          </m:sub>
        </m:sSub>
      </m:oMath>
      <w:r>
        <w:t xml:space="preserve"> 为地块的面积（平方米），</w:t>
      </w:r>
      <m:oMath>
        <m:r>
          <m:rPr>
            <m:sty m:val="p"/>
          </m:rPr>
          <w:rPr>
            <w:rFonts w:ascii="Cambria Math" w:hAnsi="Cambria Math"/>
          </w:rPr>
          <m:t>R</m:t>
        </m:r>
      </m:oMath>
      <w:r>
        <w:t xml:space="preserve"> 为每平方米的日租金， 3650 为 10 年的总天数。</w:t>
      </w:r>
      <w:r>
        <w:br w:type="textWrapping"/>
      </w:r>
      <w:r>
        <w:t xml:space="preserve">－毗邻效益：如果某个目标地块与其他空院落相邻，则额外增加 </w:t>
      </w:r>
      <m:oMath>
        <m:r>
          <m:rPr>
            <m:sty m:val="p"/>
          </m:rPr>
          <w:rPr>
            <w:rFonts w:ascii="Cambria Math" w:hAnsi="Cambria Math"/>
          </w:rPr>
          <m:t>20%</m:t>
        </m:r>
      </m:oMath>
      <w:r>
        <w:t xml:space="preserve"> 的租金收益，称为毗邻效益。毗邻效益计算公式为：</w:t>
      </w:r>
    </w:p>
    <w:p>
      <w:pPr>
        <w:bidi w:val="0"/>
      </w:pPr>
      <m:oMathPara>
        <m:oMath>
          <m:sSub>
            <m:sSubPr/>
            <m:e>
              <m:r>
                <m:rPr>
                  <m:nor/>
                  <m:sty m:val="p"/>
                </m:rPr>
                <w:rPr>
                  <w:rFonts w:ascii="Cambria Math" w:hAnsi="Cambria Math"/>
                </w:rPr>
                <m:t> Benefit </m:t>
              </m:r>
            </m:e>
            <m:sub>
              <m:r>
                <m:rPr>
                  <m:sty m:val="p"/>
                </m:rPr>
                <w:rPr>
                  <w:rFonts w:ascii="Cambria Math" w:hAnsi="Cambria Math"/>
                </w:rPr>
                <m:t>i,j</m:t>
              </m:r>
            </m:sub>
          </m:sSub>
          <m:r>
            <m:rPr>
              <m:sty m:val="p"/>
            </m:rPr>
            <w:rPr>
              <w:rFonts w:ascii="Cambria Math" w:hAnsi="Cambria Math"/>
            </w:rPr>
            <m:t>=</m:t>
          </m:r>
          <m:sSub>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×R×0.2×3650</m:t>
          </m:r>
        </m:oMath>
      </m:oMathPara>
    </w:p>
    <w:p>
      <w:pPr>
        <w:bidi w:val="0"/>
      </w:pPr>
      <w:r>
        <w:t>其中，</w:t>
      </w:r>
      <m:oMath>
        <m:sSub>
          <m:sSubPr/>
          <m:e>
            <m:r>
              <m:rPr>
                <m:sty m:val="p"/>
              </m:rPr>
              <w:rPr>
                <w:rFonts w:ascii="Cambria Math" w:hAnsi="Cambria Math"/>
              </w:rPr>
              <m:t>A</m:t>
            </m:r>
          </m:e>
          <m:sub>
            <m:r>
              <m:rPr>
                <m:sty m:val="p"/>
              </m:rPr>
              <w:rPr>
                <w:rFonts w:ascii="Cambria Math" w:hAnsi="Cambria Math"/>
              </w:rPr>
              <m:t>i</m:t>
            </m:r>
          </m:sub>
        </m:sSub>
      </m:oMath>
      <w:r>
        <w:t xml:space="preserve"> 为地块面积，</w:t>
      </w:r>
      <m:oMath>
        <m:r>
          <m:rPr>
            <m:sty m:val="p"/>
          </m:rPr>
          <w:rPr>
            <w:rFonts w:ascii="Cambria Math" w:hAnsi="Cambria Math"/>
          </w:rPr>
          <m:t>R</m:t>
        </m:r>
      </m:oMath>
      <w:r>
        <w:t xml:space="preserve"> 为租金， 0.2 为毗邻效益的增益系数， 3650 为 10 年的总天数。</w:t>
      </w:r>
      <w:r>
        <w:br w:type="textWrapping"/>
      </w:r>
      <w:r>
        <w:t>－时间损失：搬迁过程中会发生一定的时间损失（例如，搬迁后的四个月内无法出租），因此代码计算了搬迁造成的时间损失。对于每个地块，计算因搬迁而造成的租金损失。四个月的租金损失计算公式为：</w:t>
      </w:r>
    </w:p>
    <w:p>
      <w:pPr>
        <w:bidi w:val="0"/>
      </w:pPr>
      <m:oMathPara>
        <m:oMath>
          <m:r>
            <m:rPr>
              <m:nor/>
              <m:sty m:val="p"/>
            </m:rPr>
            <w:rPr>
              <w:rFonts w:ascii="Cambria Math" w:hAnsi="Cambria Math"/>
            </w:rPr>
            <m:t> Time </m:t>
          </m:r>
          <m:sSub>
            <m:sSubPr/>
            <m:e>
              <m:r>
                <m:rPr>
                  <m:sty m:val="p"/>
                </m:rPr>
                <w:rPr>
                  <w:rFonts w:ascii="Cambria Math" w:hAnsi="Cambria Math"/>
                </w:rPr>
                <m:t>Loss</m:t>
              </m:r>
            </m:e>
            <m:sub>
              <m:r>
                <m:rPr>
                  <m:sty m:val="p"/>
                </m:rPr>
                <w:rPr>
                  <w:rFonts w:ascii="Cambria Math" w:hAnsi="Cambria Math"/>
                </w:rPr>
                <m:t>i</m:t>
              </m:r>
            </m:sub>
          </m:sSub>
          <m:r>
            <m:rPr>
              <m:sty m:val="p"/>
            </m:rPr>
            <w:rPr>
              <w:rFonts w:ascii="Cambria Math" w:hAnsi="Cambria Math"/>
            </w:rPr>
            <m:t>=</m:t>
          </m:r>
          <m:sSub>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×R×120</m:t>
          </m:r>
        </m:oMath>
      </m:oMathPara>
    </w:p>
    <w:p>
      <w:pPr>
        <w:bidi w:val="0"/>
      </w:pPr>
      <w:r>
        <w:t>其中，</w:t>
      </w:r>
      <m:oMath>
        <m:sSub>
          <m:sSubPr/>
          <m:e>
            <m:r>
              <m:rPr>
                <m:sty m:val="p"/>
              </m:rPr>
              <w:rPr>
                <w:rFonts w:ascii="Cambria Math" w:hAnsi="Cambria Math"/>
              </w:rPr>
              <m:t>A</m:t>
            </m:r>
          </m:e>
          <m:sub>
            <m:r>
              <m:rPr>
                <m:sty m:val="p"/>
              </m:rPr>
              <w:rPr>
                <w:rFonts w:ascii="Cambria Math" w:hAnsi="Cambria Math"/>
              </w:rPr>
              <m:t>i</m:t>
            </m:r>
          </m:sub>
        </m:sSub>
      </m:oMath>
      <w:r>
        <w:t xml:space="preserve"> 为地块面积，</w:t>
      </w:r>
      <m:oMath>
        <m:r>
          <m:rPr>
            <m:sty m:val="p"/>
          </m:rPr>
          <w:rPr>
            <w:rFonts w:ascii="Cambria Math" w:hAnsi="Cambria Math"/>
          </w:rPr>
          <m:t>R</m:t>
        </m:r>
      </m:oMath>
      <w:r>
        <w:t xml:space="preserve"> 为租金， 120 为四个月的天数。</w:t>
      </w:r>
      <w:r>
        <w:br w:type="textWrapping"/>
      </w:r>
      <w:r>
        <w:t>－搬迁成本：搬迁的成本由搬迁补偿，沟通成本和时间损失组成。搬迁补偿是每个居民的补偿金额，沟通成本是每个居民 30000 元。总搬迁成本计算公式为：</w:t>
      </w:r>
    </w:p>
    <w:p>
      <w:pPr>
        <w:bidi w:val="0"/>
      </w:pPr>
      <m:oMathPara>
        <m:oMath>
          <m:r>
            <m:rPr>
              <m:nor/>
              <m:sty m:val="p"/>
            </m:rPr>
            <w:rPr>
              <w:rFonts w:ascii="Cambria Math" w:hAnsi="Cambria Math"/>
            </w:rPr>
            <m:t> Total Cost </m:t>
          </m:r>
          <m:r>
            <m:rPr>
              <m:nor/>
              <m:sty m:val="p"/>
            </m:rPr>
            <w:rPr>
              <w:rFonts w:ascii="Cambria Math" w:hAnsi="Cambria Math"/>
            </w:rPr>
            <m:t>=</m:t>
          </m:r>
          <m:nary>
            <m:naryPr>
              <m:chr m:val="∑"/>
              <m:limLoc m:val="undOvr"/>
              <m:subHide m:val="1"/>
              <m:supHide m:val="1"/>
              <m:ctrlPr>
                <w:rPr>
                  <w:rFonts w:ascii="Cambria Math" w:hAnsi="Cambria Math"/>
                </w:rPr>
              </m:ctrlPr>
            </m:naryPr>
            <m:sub>
              <m:ctrlPr>
                <w:rPr>
                  <w:rFonts w:ascii="Cambria Math" w:hAnsi="Cambria Math"/>
                </w:rPr>
              </m:ctrlPr>
            </m:sub>
            <m:sup>
              <m:ctrlPr>
                <w:rPr>
                  <w:rFonts w:ascii="Cambria Math" w:hAnsi="Cambria Math"/>
                </w:rPr>
              </m:ctrlPr>
            </m:sup>
            <m:e>
              <m:r>
                <m:rPr>
                  <m:sty m:val="p"/>
                </m:rPr>
                <w:rPr>
                  <w:rFonts w:ascii="Cambria Math" w:hAnsi="Cambria Math"/>
                </w:rPr>
                <m:t xml:space="preserve"> </m:t>
              </m:r>
              <m:ctrlPr>
                <w:rPr>
                  <w:rFonts w:ascii="Cambria Math" w:hAnsi="Cambria Math"/>
                </w:rPr>
              </m:ctrlPr>
            </m:e>
          </m:nary>
          <m:r>
            <m:rPr>
              <m:nor/>
              <m:sty m:val="p"/>
            </m:rPr>
            <w:rPr>
              <w:rFonts w:ascii="Cambria Math" w:hAnsi="Cambria Math"/>
            </w:rPr>
            <m:t> Compensation </m:t>
          </m:r>
          <m:r>
            <m:rPr>
              <m:nor/>
              <m:sty m:val="p"/>
            </m:rPr>
            <w:rPr>
              <w:rFonts w:ascii="Cambria Math" w:hAnsi="Cambria Math"/>
            </w:rPr>
            <m:t>+30000×</m:t>
          </m:r>
          <m:sSub>
            <m:sSubPr/>
            <m:e>
              <m:r>
                <m:rPr>
                  <m:sty m:val="p"/>
                </m:rPr>
                <w:rPr>
                  <w:rFonts w:ascii="Cambria Math" w:hAnsi="Cambria Math"/>
                </w:rPr>
                <m:t>n</m:t>
              </m:r>
            </m:e>
            <m:sub>
              <m:r>
                <m:rPr>
                  <m:nor/>
                  <m:sty m:val="p"/>
                </m:rPr>
                <w:rPr>
                  <w:rFonts w:ascii="Cambria Math" w:hAnsi="Cambria Math"/>
                </w:rPr>
                <m:t>residents </m:t>
              </m:r>
            </m:sub>
          </m:sSub>
          <m:r>
            <m:rPr>
              <m:sty m:val="p"/>
            </m:rPr>
            <w:rPr>
              <w:rFonts w:ascii="Cambria Math" w:hAnsi="Cambria Math"/>
            </w:rPr>
            <m:t>+</m:t>
          </m:r>
          <m:r>
            <m:rPr>
              <m:sty m:val="p"/>
            </m:rPr>
            <w:rPr>
              <w:rFonts w:ascii="Cambria Math" w:hAnsi="Cambria Math"/>
            </w:rPr>
            <m:t> Time Loss Income </m:t>
          </m:r>
        </m:oMath>
      </m:oMathPara>
    </w:p>
    <w:p>
      <w:pPr>
        <w:bidi w:val="0"/>
      </w:pPr>
      <w:r>
        <w:t>其中，</w:t>
      </w:r>
      <m:oMath>
        <m:sSub>
          <m:sSubPr/>
          <m:e>
            <m:r>
              <m:rPr>
                <m:sty m:val="p"/>
              </m:rPr>
              <w:rPr>
                <w:rFonts w:ascii="Cambria Math" w:hAnsi="Cambria Math"/>
              </w:rPr>
              <m:t>n</m:t>
            </m:r>
          </m:e>
          <m:sub>
            <m:r>
              <m:rPr>
                <m:nor/>
                <m:sty m:val="p"/>
              </m:rPr>
              <w:rPr>
                <w:rFonts w:ascii="Cambria Math" w:hAnsi="Cambria Math"/>
              </w:rPr>
              <m:t>residents </m:t>
            </m:r>
          </m:sub>
        </m:sSub>
      </m:oMath>
      <w:r>
        <w:t xml:space="preserve"> 是搬迁的居民数量。</w:t>
      </w:r>
    </w:p>
    <w:p>
      <w:pPr>
        <w:bidi w:val="0"/>
        <w:rPr>
          <w:rFonts w:hint="default"/>
          <w:lang w:val="en-US" w:eastAsia="zh-CN"/>
        </w:rPr>
      </w:pPr>
      <w:r>
        <w:rPr>
          <w:rFonts w:hint="eastAsia"/>
          <w:lang w:val="en-US" w:eastAsia="zh-CN"/>
        </w:rPr>
        <w:t>最后输出结果如下所示</w:t>
      </w:r>
    </w:p>
    <w:p>
      <w:pPr>
        <w:bidi w:val="0"/>
      </w:pPr>
      <w:r>
        <w:drawing>
          <wp:inline distT="0" distB="0" distL="114300" distR="114300">
            <wp:extent cx="3962400" cy="1303020"/>
            <wp:effectExtent l="0" t="0" r="0" b="762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2"/>
                    <a:stretch>
                      <a:fillRect/>
                    </a:stretch>
                  </pic:blipFill>
                  <pic:spPr>
                    <a:xfrm>
                      <a:off x="0" y="0"/>
                      <a:ext cx="3962400" cy="1303020"/>
                    </a:xfrm>
                    <a:prstGeom prst="rect">
                      <a:avLst/>
                    </a:prstGeom>
                    <a:noFill/>
                    <a:ln>
                      <a:noFill/>
                    </a:ln>
                  </pic:spPr>
                </pic:pic>
              </a:graphicData>
            </a:graphic>
          </wp:inline>
        </w:drawing>
      </w:r>
    </w:p>
    <w:p>
      <w:pPr>
        <w:bidi w:val="0"/>
        <w:rPr>
          <w:rFonts w:hint="eastAsia"/>
          <w:highlight w:val="green"/>
          <w:lang w:val="en-US" w:eastAsia="zh-CN"/>
        </w:rPr>
      </w:pPr>
      <w:bookmarkStart w:id="146" w:name="_GoBack"/>
      <w:bookmarkEnd w:id="146"/>
      <w:r>
        <w:rPr>
          <w:rFonts w:hint="eastAsia"/>
          <w:highlight w:val="green"/>
          <w:lang w:val="en-US" w:eastAsia="zh-CN"/>
        </w:rPr>
        <w:t>主要特点：</w:t>
      </w:r>
    </w:p>
    <w:p>
      <w:pPr>
        <w:bidi w:val="0"/>
        <w:rPr>
          <w:rFonts w:hint="eastAsia"/>
          <w:highlight w:val="green"/>
          <w:lang w:val="en-US" w:eastAsia="zh-CN"/>
        </w:rPr>
      </w:pPr>
      <w:r>
        <w:rPr>
          <w:rFonts w:hint="eastAsia"/>
          <w:highlight w:val="green"/>
          <w:lang w:val="en-US" w:eastAsia="zh-CN"/>
        </w:rPr>
        <w:t xml:space="preserve">性价比波动较大：图中的性价比 </w:t>
      </w:r>
    </w:p>
    <w:p>
      <w:pPr>
        <w:bidi w:val="0"/>
        <w:rPr>
          <w:rFonts w:hint="eastAsia"/>
          <w:highlight w:val="green"/>
          <w:lang w:val="en-US" w:eastAsia="zh-CN"/>
        </w:rPr>
      </w:pPr>
      <w:r>
        <w:rPr>
          <w:rFonts w:hint="eastAsia"/>
          <w:highlight w:val="green"/>
          <w:lang w:val="en-US" w:eastAsia="zh-CN"/>
        </w:rPr>
        <w:t>m 随着每个居民地块ID的变化呈现出较大的波动。这表明不同居民的搬迁对整体项目的经济效益产生了显著不同的影响，搬迁后的效益并非均匀分布，某些居民的搬迁会带来较高的经济效益，而其他居民的搬迁则可能带来较低的效益</w:t>
      </w:r>
    </w:p>
    <w:p>
      <w:pPr>
        <w:bidi w:val="0"/>
        <w:rPr>
          <w:rFonts w:hint="eastAsia"/>
          <w:highlight w:val="green"/>
          <w:lang w:val="en-US" w:eastAsia="zh-CN"/>
        </w:rPr>
      </w:pPr>
      <w:r>
        <w:rPr>
          <w:rFonts w:hint="eastAsia"/>
          <w:highlight w:val="green"/>
          <w:lang w:val="en-US" w:eastAsia="zh-CN"/>
        </w:rPr>
        <w:t xml:space="preserve">极大波动：在某些 ResidentPlotID 下，性价比 </w:t>
      </w:r>
    </w:p>
    <w:p>
      <w:pPr>
        <w:bidi w:val="0"/>
        <w:rPr>
          <w:rFonts w:hint="eastAsia"/>
          <w:highlight w:val="green"/>
          <w:lang w:val="en-US" w:eastAsia="zh-CN"/>
        </w:rPr>
      </w:pPr>
      <w:r>
        <w:rPr>
          <w:rFonts w:hint="eastAsia"/>
          <w:highlight w:val="green"/>
          <w:lang w:val="en-US" w:eastAsia="zh-CN"/>
        </w:rPr>
        <w:t>m 出现了较为极端的变化，特别是在 20 到 40 之间。这表明在这一区域，搬迁的效益差异非常大，可能是由于搬迁成本、搬迁补偿和其他因素的变化导致的。</w:t>
      </w:r>
    </w:p>
    <w:p>
      <w:pPr>
        <w:bidi w:val="0"/>
        <w:rPr>
          <w:rFonts w:hint="eastAsia"/>
          <w:highlight w:val="green"/>
          <w:lang w:val="en-US" w:eastAsia="zh-CN"/>
        </w:rPr>
      </w:pPr>
      <w:r>
        <w:rPr>
          <w:rFonts w:hint="eastAsia"/>
          <w:highlight w:val="green"/>
          <w:lang w:val="en-US" w:eastAsia="zh-CN"/>
        </w:rPr>
        <w:t xml:space="preserve">平稳区间：图的后半部分（大约 ResidentPlotID 在 50 到 100 之间）性价比 </w:t>
      </w:r>
    </w:p>
    <w:p>
      <w:pPr>
        <w:bidi w:val="0"/>
        <w:rPr>
          <w:rFonts w:hint="eastAsia"/>
          <w:highlight w:val="green"/>
          <w:lang w:val="en-US" w:eastAsia="zh-CN"/>
        </w:rPr>
      </w:pPr>
      <w:r>
        <w:rPr>
          <w:rFonts w:hint="eastAsia"/>
          <w:highlight w:val="green"/>
          <w:lang w:val="en-US" w:eastAsia="zh-CN"/>
        </w:rPr>
        <w:t>m 相对较为平稳，波动幅度减小。这表明当更多的居民搬迁后，性价比趋于稳定，可能是因为所有搬迁的经济效益和成本基本平衡，或剩余的搬迁效果已经不再对总收益产生太大影响</w:t>
      </w:r>
    </w:p>
    <w:p>
      <w:pPr>
        <w:bidi w:val="0"/>
        <w:rPr>
          <w:rFonts w:hint="eastAsia"/>
          <w:highlight w:val="green"/>
          <w:lang w:val="en-US" w:eastAsia="zh-CN"/>
        </w:rPr>
      </w:pPr>
      <w:r>
        <w:rPr>
          <w:rFonts w:hint="eastAsia"/>
          <w:highlight w:val="green"/>
          <w:lang w:val="en-US" w:eastAsia="zh-CN"/>
        </w:rPr>
        <w:t>标记的红点：图中的红色点表示 每个居民对应的性价比值，这进一步强调了每个居民搬迁对项目收益的影响，并且通过连接线（蓝色线条）可以清晰地看到每个居民性价比变化的趋势。</w:t>
      </w:r>
    </w:p>
    <w:p>
      <w:pPr>
        <w:pStyle w:val="4"/>
        <w:bidi w:val="0"/>
        <w:rPr>
          <w:rFonts w:hint="eastAsia"/>
          <w:lang w:val="en-US" w:eastAsia="zh-CN"/>
        </w:rPr>
      </w:pPr>
      <w:bookmarkStart w:id="117" w:name="_Toc7126"/>
      <w:r>
        <w:rPr>
          <w:rFonts w:hint="eastAsia"/>
          <w:lang w:val="en-US" w:eastAsia="zh-CN"/>
        </w:rPr>
        <w:t>5.5 问题四：软件构建</w:t>
      </w:r>
      <w:bookmarkEnd w:id="117"/>
    </w:p>
    <w:p>
      <w:pPr>
        <w:bidi w:val="0"/>
        <w:rPr>
          <w:rFonts w:hint="eastAsia"/>
          <w:lang w:val="en-US" w:eastAsia="zh-CN"/>
        </w:rPr>
      </w:pPr>
      <w:r>
        <w:rPr>
          <w:rFonts w:hint="eastAsia"/>
          <w:lang w:val="en-US" w:eastAsia="zh-CN"/>
        </w:rPr>
        <w:t>对于问题四规划局希望将该案例推广至全国的老旧街区更新搬迁过程中。为了实现这一目标，我们设计一个智能决策软件，能够自动计算老城区的平移置换决策，并为每个搬迁方案计算出相应的性价比m，从而辅助规划和决策。</w:t>
      </w:r>
    </w:p>
    <w:p>
      <w:pPr>
        <w:bidi w:val="0"/>
        <w:rPr>
          <w:rFonts w:hint="eastAsia"/>
          <w:lang w:val="en-US" w:eastAsia="zh-CN"/>
        </w:rPr>
      </w:pPr>
      <w:r>
        <w:rPr>
          <w:rFonts w:hint="eastAsia"/>
          <w:lang w:val="en-US" w:eastAsia="zh-CN"/>
        </w:rPr>
        <w:t>以下是该软件框架的详细设计及计算步骤：</w:t>
      </w:r>
    </w:p>
    <w:p>
      <w:pPr>
        <w:bidi w:val="0"/>
      </w:pPr>
      <w:r>
        <w:t>1．软件框架设计</w:t>
      </w:r>
      <w:r>
        <w:br w:type="textWrapping"/>
      </w:r>
      <w:r>
        <w:t xml:space="preserve">该软件的核心功能是根据不同的搬迁方案，通过设定一系列的输入参数，智能计算出每个搬迁方案对应的性价比 </w:t>
      </w:r>
      <m:oMath>
        <m:r>
          <m:rPr>
            <m:sty m:val="p"/>
          </m:rPr>
          <w:rPr>
            <w:rFonts w:ascii="Cambria Math" w:hAnsi="Cambria Math"/>
          </w:rPr>
          <m:t>m</m:t>
        </m:r>
      </m:oMath>
      <w:r>
        <w:t xml:space="preserve"> ，并自动评估搬迁的经济效益和成本。软件的主要模块包括：</w:t>
      </w:r>
    </w:p>
    <w:p>
      <w:pPr>
        <w:bidi w:val="0"/>
      </w:pPr>
      <w:r>
        <w:t>数据输入模块：用户输入相关的地块信息，搬迁方案和成本数据。</w:t>
      </w:r>
    </w:p>
    <w:p>
      <w:pPr>
        <w:bidi w:val="0"/>
      </w:pPr>
      <w:r>
        <w:t xml:space="preserve">计算模块：基于用户输入的搬迁方案，自动执行问题二和问题三的求解，计算出每个搬迁方案的性价比 </w:t>
      </w:r>
      <m:oMath>
        <m:r>
          <m:rPr>
            <m:sty m:val="p"/>
          </m:rPr>
          <w:rPr>
            <w:rFonts w:ascii="Cambria Math" w:hAnsi="Cambria Math"/>
          </w:rPr>
          <m:t>m</m:t>
        </m:r>
      </m:oMath>
      <w:r>
        <w:t xml:space="preserve"> 。</w:t>
      </w:r>
      <w:r>
        <w:br w:type="textWrapping"/>
      </w:r>
      <w:r>
        <w:t xml:space="preserve">－结果输出模块：根据计算结果输出性价比 </w:t>
      </w:r>
      <m:oMath>
        <m:r>
          <m:rPr>
            <m:sty m:val="p"/>
          </m:rPr>
          <w:rPr>
            <w:rFonts w:ascii="Cambria Math" w:hAnsi="Cambria Math"/>
          </w:rPr>
          <m:t>m</m:t>
        </m:r>
      </m:oMath>
      <w:r>
        <w:t xml:space="preserve"> 及其随搬迁居民数变化的趋势图，并生成相关的报告或决策建议。</w:t>
      </w:r>
    </w:p>
    <w:p>
      <w:pPr>
        <w:bidi w:val="0"/>
      </w:pPr>
      <w:r>
        <w:t>2．人工输入的参数</w:t>
      </w:r>
      <w:r>
        <w:br w:type="textWrapping"/>
      </w:r>
      <w:r>
        <w:t>为了支持智能计算，软件需要以下人工输入参数：</w:t>
      </w:r>
      <w:r>
        <w:br w:type="textWrapping"/>
      </w:r>
      <w:r>
        <w:t>1．地块信息：</w:t>
      </w:r>
    </w:p>
    <w:p>
      <w:pPr>
        <w:bidi w:val="0"/>
      </w:pPr>
      <w:r>
        <w:t>地块ID：每个地块的唯一标识。</w:t>
      </w:r>
    </w:p>
    <w:p>
      <w:pPr>
        <w:bidi w:val="0"/>
      </w:pPr>
      <w:r>
        <w:t>院落ID：地块所在的院落编号。</w:t>
      </w:r>
    </w:p>
    <w:p>
      <w:pPr>
        <w:bidi w:val="0"/>
      </w:pPr>
      <w:r>
        <w:t>地块面积：每个地块的面积（平方米）。</w:t>
      </w:r>
    </w:p>
    <w:p>
      <w:pPr>
        <w:bidi w:val="0"/>
      </w:pPr>
      <w:r>
        <w:t>地块朝向：地块的朝向（东，西，南，北等）。</w:t>
      </w:r>
    </w:p>
    <w:p>
      <w:pPr>
        <w:bidi w:val="0"/>
      </w:pPr>
      <w:r>
        <w:t>是否有居民：标识每个地块是否有人居住。</w:t>
      </w:r>
    </w:p>
    <w:p>
      <w:pPr>
        <w:bidi w:val="0"/>
      </w:pPr>
      <w:r>
        <w:t>2．搬迁方案：</w:t>
      </w:r>
    </w:p>
    <w:p>
      <w:pPr>
        <w:bidi w:val="0"/>
      </w:pPr>
      <w:r>
        <w:t>居民ID：每个居民的唯一标识。</w:t>
      </w:r>
    </w:p>
    <w:p>
      <w:pPr>
        <w:bidi w:val="0"/>
      </w:pPr>
      <w:r>
        <w:t>居民原地块ID：每个居民当前居住的地块ID。</w:t>
      </w:r>
    </w:p>
    <w:p>
      <w:pPr>
        <w:bidi w:val="0"/>
      </w:pPr>
      <w:r>
        <w:t>目标地块ID：居民搬迁到的新地块ID。</w:t>
      </w:r>
    </w:p>
    <w:p>
      <w:pPr>
        <w:bidi w:val="0"/>
      </w:pPr>
      <w:r>
        <w:t>补偿金额：每个居民搬迁的补偿金额。</w:t>
      </w:r>
    </w:p>
    <w:p>
      <w:pPr>
        <w:bidi w:val="0"/>
      </w:pPr>
      <w:r>
        <w:t>3．成本数据：</w:t>
      </w:r>
    </w:p>
    <w:p>
      <w:pPr>
        <w:bidi w:val="0"/>
      </w:pPr>
      <w:r>
        <w:t>沟通成本：每个居民的沟通协调成本（单位：元）。</w:t>
      </w:r>
    </w:p>
    <w:p>
      <w:pPr>
        <w:bidi w:val="0"/>
      </w:pPr>
      <w:r>
        <w:t>搬迁补偿：每个居民的搬迁补偿费用（单位：元）。</w:t>
      </w:r>
    </w:p>
    <w:p>
      <w:pPr>
        <w:bidi w:val="0"/>
      </w:pPr>
      <w:r>
        <w:t>时间损失：每个居民搬迁过程中因无法出租或使用所损失的租金（单位：元）。</w:t>
      </w:r>
    </w:p>
    <w:p>
      <w:pPr>
        <w:bidi w:val="0"/>
        <w:ind w:left="480" w:leftChars="200" w:firstLine="0" w:firstLineChars="0"/>
      </w:pPr>
      <w:r>
        <w:t>4．邻接矩阵：院落间的毗邻关系，用于计算毗邻效益。</w:t>
      </w:r>
      <w:r>
        <w:br w:type="textWrapping"/>
      </w:r>
      <w:r>
        <w:t>5．收入数据：</w:t>
      </w:r>
      <w:r>
        <w:br w:type="textWrapping"/>
      </w:r>
      <w:r>
        <w:t>－租金标准：根据地块的朝向和类型，设定不同的租金标准（如东，西厢房，南北厢房和完整院落的租金标准）。</w:t>
      </w:r>
      <w:r>
        <w:br w:type="textWrapping"/>
      </w:r>
      <w:r>
        <w:t>－毗邻效益系数：如空院落相邻时的额外收益（通常为20\％）。</w:t>
      </w:r>
    </w:p>
    <w:p>
      <w:pPr>
        <w:bidi w:val="0"/>
      </w:pPr>
      <w:r>
        <w:t>3．计算步骤</w:t>
      </w:r>
      <w:r>
        <w:br w:type="textWrapping"/>
      </w:r>
      <w:r>
        <w:t xml:space="preserve">软件根据以下步骤进行计算，并融合模型设计来自动生成每个搬迁方案的性价比 </w:t>
      </w:r>
      <m:oMath>
        <m:r>
          <m:rPr>
            <m:sty m:val="p"/>
          </m:rPr>
          <w:rPr>
            <w:rFonts w:ascii="Cambria Math" w:hAnsi="Cambria Math"/>
          </w:rPr>
          <m:t>m</m:t>
        </m:r>
      </m:oMath>
      <w:r>
        <w:t xml:space="preserve"> 。</w:t>
      </w:r>
      <w:r>
        <w:br w:type="textWrapping"/>
      </w:r>
      <w:r>
        <w:t>步骤 1：计算搬迁后的总收入</w:t>
      </w:r>
      <w:r>
        <w:br w:type="textWrapping"/>
      </w:r>
      <w:r>
        <w:t>对于每个居民的搬迁方案，计算目标地块的租金收入及毗邻效益。</w:t>
      </w:r>
      <w:r>
        <w:br w:type="textWrapping"/>
      </w:r>
      <w:r>
        <w:t>1．租金收入计算：根据目标地块的面积和朝向，计算租金收入。公式为：</w:t>
      </w:r>
    </w:p>
    <w:p>
      <w:pPr>
        <w:bidi w:val="0"/>
      </w:pPr>
      <m:oMathPara>
        <m:oMath>
          <m:sSub>
            <m:sSubPr/>
            <m:e>
              <m:r>
                <m:rPr>
                  <m:nor/>
                  <m:sty m:val="p"/>
                </m:rPr>
                <w:rPr>
                  <w:rFonts w:ascii="Cambria Math" w:hAnsi="Cambria Math"/>
                </w:rPr>
                <m:t> Income </m:t>
              </m:r>
            </m:e>
            <m:sub>
              <m:r>
                <m:rPr>
                  <m:sty m:val="p"/>
                </m:rPr>
                <w:rPr>
                  <w:rFonts w:ascii="Cambria Math" w:hAnsi="Cambria Math"/>
                </w:rPr>
                <m:t>i</m:t>
              </m:r>
            </m:sub>
          </m:sSub>
          <m:r>
            <m:rPr>
              <m:sty m:val="p"/>
            </m:rPr>
            <w:rPr>
              <w:rFonts w:ascii="Cambria Math" w:hAnsi="Cambria Math"/>
            </w:rPr>
            <m:t>=</m:t>
          </m:r>
          <m:sSub>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×R×3650</m:t>
          </m:r>
        </m:oMath>
      </m:oMathPara>
    </w:p>
    <w:p>
      <w:pPr>
        <w:bidi w:val="0"/>
      </w:pPr>
      <w:r>
        <w:t>其中，</w:t>
      </w:r>
      <m:oMath>
        <m:sSub>
          <m:sSubPr/>
          <m:e>
            <m:r>
              <m:rPr>
                <m:sty m:val="p"/>
              </m:rPr>
              <w:rPr>
                <w:rFonts w:ascii="Cambria Math" w:hAnsi="Cambria Math"/>
              </w:rPr>
              <m:t>A</m:t>
            </m:r>
          </m:e>
          <m:sub>
            <m:r>
              <m:rPr>
                <m:sty m:val="p"/>
              </m:rPr>
              <w:rPr>
                <w:rFonts w:ascii="Cambria Math" w:hAnsi="Cambria Math"/>
              </w:rPr>
              <m:t>i</m:t>
            </m:r>
          </m:sub>
        </m:sSub>
      </m:oMath>
      <w:r>
        <w:t xml:space="preserve"> 是目标地块的面积（平方米），</w:t>
      </w:r>
      <m:oMath>
        <m:r>
          <m:rPr>
            <m:sty m:val="p"/>
          </m:rPr>
          <w:rPr>
            <w:rFonts w:ascii="Cambria Math" w:hAnsi="Cambria Math"/>
          </w:rPr>
          <m:t>R</m:t>
        </m:r>
      </m:oMath>
      <w:r>
        <w:t xml:space="preserve"> 是租金标准（单位：元／平方米／天）， 3650 是 10 年的总天数。</w:t>
      </w:r>
    </w:p>
    <w:p>
      <w:pPr>
        <w:bidi w:val="0"/>
      </w:pPr>
      <w:r>
        <w:t xml:space="preserve">2．毗邻效益计算：如果目标地块与其他空院落相邻，则增加 </w:t>
      </w:r>
      <m:oMath>
        <m:r>
          <m:rPr>
            <m:sty m:val="p"/>
          </m:rPr>
          <w:rPr>
            <w:rFonts w:ascii="Cambria Math" w:hAnsi="Cambria Math"/>
          </w:rPr>
          <m:t>20%</m:t>
        </m:r>
      </m:oMath>
      <w:r>
        <w:t xml:space="preserve"> 的租金收益。毗邻效益的计算公式为：</w:t>
      </w:r>
    </w:p>
    <w:p>
      <w:pPr>
        <w:bidi w:val="0"/>
      </w:pPr>
      <m:oMathPara>
        <m:oMath>
          <m:sSub>
            <m:sSubPr/>
            <m:e>
              <m:r>
                <m:rPr>
                  <m:nor/>
                  <m:sty m:val="p"/>
                </m:rPr>
                <w:rPr>
                  <w:rFonts w:ascii="Cambria Math" w:hAnsi="Cambria Math"/>
                </w:rPr>
                <m:t> Benefit </m:t>
              </m:r>
            </m:e>
            <m:sub>
              <m:r>
                <m:rPr>
                  <m:sty m:val="p"/>
                </m:rPr>
                <w:rPr>
                  <w:rFonts w:ascii="Cambria Math" w:hAnsi="Cambria Math"/>
                </w:rPr>
                <m:t>i,j</m:t>
              </m:r>
            </m:sub>
          </m:sSub>
          <m:r>
            <m:rPr>
              <m:sty m:val="p"/>
            </m:rPr>
            <w:rPr>
              <w:rFonts w:ascii="Cambria Math" w:hAnsi="Cambria Math"/>
            </w:rPr>
            <m:t>=</m:t>
          </m:r>
          <m:sSub>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×R×0.2×3650</m:t>
          </m:r>
        </m:oMath>
      </m:oMathPara>
    </w:p>
    <w:p>
      <w:pPr>
        <w:bidi w:val="0"/>
      </w:pPr>
      <w:r>
        <w:t>其中， 0.2 为毗邻效益的增益系数，表示相邻空院落带来的额外收益。</w:t>
      </w:r>
      <w:r>
        <w:br w:type="textWrapping"/>
      </w:r>
      <w:r>
        <w:t>步骤 2：计算搬迁的总成本</w:t>
      </w:r>
      <w:r>
        <w:br w:type="textWrapping"/>
      </w:r>
      <w:r>
        <w:t>根据居民的搬迁方案，计算搬迁的总成本，包括搬迁补偿，沟通成本和时间损失。</w:t>
      </w:r>
      <w:r>
        <w:br w:type="textWrapping"/>
      </w:r>
      <w:r>
        <w:t>1．搬迁补偿：根据每个居民的搬迁补偿金额进行累加。</w:t>
      </w:r>
    </w:p>
    <w:p>
      <w:pPr>
        <w:bidi w:val="0"/>
      </w:pPr>
      <m:oMathPara>
        <m:oMath>
          <m:r>
            <m:rPr>
              <m:nor/>
              <m:sty m:val="p"/>
            </m:rPr>
            <w:rPr>
              <w:rFonts w:ascii="Cambria Math" w:hAnsi="Cambria Math"/>
            </w:rPr>
            <m:t> Compensation Total </m:t>
          </m:r>
          <m:r>
            <m:rPr>
              <m:nor/>
              <m:sty m:val="p"/>
            </m:rPr>
            <w:rPr>
              <w:rFonts w:ascii="Cambria Math" w:hAnsi="Cambria Math"/>
            </w:rPr>
            <m:t>=</m:t>
          </m:r>
          <m:nary>
            <m:naryPr>
              <m:chr m:val="∑"/>
              <m:limLoc m:val="undOvr"/>
              <m:subHide m:val="1"/>
              <m:supHide m:val="1"/>
              <m:ctrlPr>
                <w:rPr>
                  <w:rFonts w:ascii="Cambria Math" w:hAnsi="Cambria Math"/>
                </w:rPr>
              </m:ctrlPr>
            </m:naryPr>
            <m:sub>
              <m:ctrlPr>
                <w:rPr>
                  <w:rFonts w:ascii="Cambria Math" w:hAnsi="Cambria Math"/>
                </w:rPr>
              </m:ctrlPr>
            </m:sub>
            <m:sup>
              <m:ctrlPr>
                <w:rPr>
                  <w:rFonts w:ascii="Cambria Math" w:hAnsi="Cambria Math"/>
                </w:rPr>
              </m:ctrlPr>
            </m:sup>
            <m:e>
              <m:r>
                <m:rPr>
                  <m:sty m:val="p"/>
                </m:rPr>
                <w:rPr>
                  <w:rFonts w:ascii="Cambria Math" w:hAnsi="Cambria Math"/>
                </w:rPr>
                <m:t xml:space="preserve"> </m:t>
              </m:r>
              <m:ctrlPr>
                <w:rPr>
                  <w:rFonts w:ascii="Cambria Math" w:hAnsi="Cambria Math"/>
                </w:rPr>
              </m:ctrlPr>
            </m:e>
          </m:nary>
          <m:sSub>
            <m:sSubPr/>
            <m:e>
              <m:r>
                <m:rPr>
                  <m:nor/>
                  <m:sty m:val="p"/>
                </m:rPr>
                <w:rPr>
                  <w:rFonts w:ascii="Cambria Math" w:hAnsi="Cambria Math"/>
                </w:rPr>
                <m:t> Compensation </m:t>
              </m:r>
            </m:e>
            <m:sub>
              <m:r>
                <m:rPr>
                  <m:sty m:val="p"/>
                </m:rPr>
                <w:rPr>
                  <w:rFonts w:ascii="Cambria Math" w:hAnsi="Cambria Math"/>
                </w:rPr>
                <m:t>i</m:t>
              </m:r>
            </m:sub>
          </m:sSub>
        </m:oMath>
      </m:oMathPara>
    </w:p>
    <w:p>
      <w:pPr>
        <w:bidi w:val="0"/>
      </w:pPr>
      <w:r>
        <w:t>2．沟通成本：根据般迁居民数计算总沟通成本，假设每个居民的沟通成本为 30000 元。</w:t>
      </w:r>
    </w:p>
    <w:p>
      <w:pPr>
        <w:bidi w:val="0"/>
      </w:pPr>
      <m:oMathPara>
        <m:oMath>
          <m:r>
            <m:rPr>
              <m:nor/>
              <m:sty m:val="p"/>
            </m:rPr>
            <w:rPr>
              <w:rFonts w:ascii="Cambria Math" w:hAnsi="Cambria Math"/>
            </w:rPr>
            <m:t> Communication Cost </m:t>
          </m:r>
          <m:r>
            <m:rPr>
              <m:nor/>
              <m:sty m:val="p"/>
            </m:rPr>
            <w:rPr>
              <w:rFonts w:ascii="Cambria Math" w:hAnsi="Cambria Math"/>
            </w:rPr>
            <m:t>=30000×</m:t>
          </m:r>
          <m:sSub>
            <m:sSubPr/>
            <m:e>
              <m:r>
                <m:rPr>
                  <m:sty m:val="p"/>
                </m:rPr>
                <w:rPr>
                  <w:rFonts w:ascii="Cambria Math" w:hAnsi="Cambria Math"/>
                </w:rPr>
                <m:t>n</m:t>
              </m:r>
            </m:e>
            <m:sub>
              <m:r>
                <m:rPr>
                  <m:nor/>
                  <m:sty m:val="p"/>
                </m:rPr>
                <w:rPr>
                  <w:rFonts w:ascii="Cambria Math" w:hAnsi="Cambria Math"/>
                </w:rPr>
                <m:t>residents </m:t>
              </m:r>
            </m:sub>
          </m:sSub>
        </m:oMath>
      </m:oMathPara>
    </w:p>
    <w:p>
      <w:pPr>
        <w:bidi w:val="0"/>
      </w:pPr>
      <w:r>
        <w:t>3．时间损失：计算因搬迁造成的时间损失。假设搬迁期间，居民所占用地块的租金损失为四个月的租金。</w:t>
      </w:r>
    </w:p>
    <w:p>
      <w:pPr>
        <w:bidi w:val="0"/>
      </w:pPr>
      <m:oMathPara>
        <m:oMath>
          <m:r>
            <m:rPr>
              <m:nor/>
              <m:sty m:val="p"/>
            </m:rPr>
            <w:rPr>
              <w:rFonts w:ascii="Cambria Math" w:hAnsi="Cambria Math"/>
            </w:rPr>
            <m:t> Time Loss Income </m:t>
          </m:r>
          <m:r>
            <m:rPr>
              <m:nor/>
              <m:sty m:val="p"/>
            </m:rPr>
            <w:rPr>
              <w:rFonts w:ascii="Cambria Math" w:hAnsi="Cambria Math"/>
            </w:rPr>
            <m:t>=</m:t>
          </m:r>
          <m:nary>
            <m:naryPr>
              <m:chr m:val="∑"/>
              <m:grow m:val="1"/>
              <m:limLoc m:val="undOvr"/>
            </m:naryPr>
            <m:sub>
              <m:r>
                <m:rPr>
                  <m:sty m:val="p"/>
                </m:rPr>
                <w:rPr>
                  <w:rFonts w:ascii="Cambria Math" w:hAnsi="Cambria Math"/>
                </w:rPr>
                <m:t>i=1</m:t>
              </m:r>
            </m:sub>
            <m:sup>
              <m:sSub>
                <m:sSubPr/>
                <m:e>
                  <m:r>
                    <m:rPr>
                      <m:sty m:val="p"/>
                    </m:rPr>
                    <w:rPr>
                      <w:rFonts w:ascii="Cambria Math" w:hAnsi="Cambria Math"/>
                    </w:rPr>
                    <m:t>n</m:t>
                  </m:r>
                </m:e>
                <m:sub>
                  <m:r>
                    <m:rPr>
                      <m:nor/>
                      <m:sty m:val="p"/>
                    </m:rPr>
                    <w:rPr>
                      <w:rFonts w:ascii="Cambria Math" w:hAnsi="Cambria Math"/>
                    </w:rPr>
                    <m:t>residents </m:t>
                  </m:r>
                </m:sub>
              </m:sSub>
            </m:sup>
            <m:e>
              <m:r>
                <m:rPr>
                  <m:sty m:val="p"/>
                </m:rPr>
                <w:rPr>
                  <w:rFonts w:ascii="Cambria Math" w:hAnsi="Cambria Math"/>
                </w:rPr>
                <m:t> </m:t>
              </m:r>
            </m:e>
          </m:nary>
          <m:sSub>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×R×120</m:t>
          </m:r>
        </m:oMath>
      </m:oMathPara>
    </w:p>
    <w:p>
      <w:pPr>
        <w:bidi w:val="0"/>
      </w:pPr>
      <w:r>
        <w:t>其中， 120 为四个月的天数。</w:t>
      </w:r>
      <w:r>
        <w:br w:type="textWrapping"/>
      </w:r>
      <w:r>
        <w:t xml:space="preserve">步骤 3：计算性价比 </w:t>
      </w:r>
      <m:oMath>
        <m:r>
          <m:rPr>
            <m:sty m:val="p"/>
          </m:rPr>
          <w:rPr>
            <w:rFonts w:ascii="Cambria Math" w:hAnsi="Cambria Math"/>
          </w:rPr>
          <m:t>m</m:t>
        </m:r>
      </m:oMath>
      <w:r>
        <w:br w:type="textWrapping"/>
      </w:r>
      <w:r>
        <w:t xml:space="preserve">性价比 </w:t>
      </w:r>
      <m:oMath>
        <m:r>
          <m:rPr>
            <m:sty m:val="p"/>
          </m:rPr>
          <w:rPr>
            <w:rFonts w:ascii="Cambria Math" w:hAnsi="Cambria Math"/>
          </w:rPr>
          <m:t>m</m:t>
        </m:r>
      </m:oMath>
      <w:r>
        <w:t xml:space="preserve"> 计算公式如下：</w:t>
      </w:r>
    </w:p>
    <w:p>
      <w:pPr>
        <w:bidi w:val="0"/>
      </w:pPr>
      <m:oMathPara>
        <m:oMath>
          <m:r>
            <m:rPr>
              <m:sty m:val="p"/>
            </m:rPr>
            <w:rPr>
              <w:rFonts w:ascii="Cambria Math" w:hAnsi="Cambria Math"/>
            </w:rPr>
            <m:t>m=</m:t>
          </m:r>
          <m:f>
            <m:fPr>
              <m:ctrlPr>
                <w:rPr>
                  <w:rFonts w:ascii="Cambria Math" w:hAnsi="Cambria Math"/>
                </w:rPr>
              </m:ctrlPr>
            </m:fPr>
            <m:num>
              <m:r>
                <m:rPr>
                  <m:nor/>
                  <m:sty m:val="p"/>
                </m:rPr>
                <w:rPr>
                  <w:rFonts w:ascii="Cambria Math" w:hAnsi="Cambria Math"/>
                </w:rPr>
                <m:t> 搬迁后总收入 </m:t>
              </m:r>
              <m:r>
                <m:rPr>
                  <m:nor/>
                  <m:sty m:val="p"/>
                </m:rPr>
                <w:rPr>
                  <w:rFonts w:ascii="Cambria Math" w:hAnsi="Cambria Math"/>
                </w:rPr>
                <m:t>−</m:t>
              </m:r>
              <m:r>
                <m:rPr>
                  <m:nor/>
                  <m:sty m:val="p"/>
                </m:rPr>
                <w:rPr>
                  <w:rFonts w:ascii="Cambria Math" w:hAnsi="Cambria Math"/>
                </w:rPr>
                <m:t> 不搬迁的总收入 </m:t>
              </m:r>
              <m:ctrlPr>
                <w:rPr>
                  <w:rFonts w:ascii="Cambria Math" w:hAnsi="Cambria Math"/>
                </w:rPr>
              </m:ctrlPr>
            </m:num>
            <m:den>
              <m:r>
                <m:rPr>
                  <m:nor/>
                  <m:sty m:val="p"/>
                </m:rPr>
                <w:rPr>
                  <w:rFonts w:ascii="Cambria Math" w:hAnsi="Cambria Math"/>
                </w:rPr>
                <m:t> 搬迁总成本 </m:t>
              </m:r>
              <m:ctrlPr>
                <w:rPr>
                  <w:rFonts w:ascii="Cambria Math" w:hAnsi="Cambria Math"/>
                </w:rPr>
              </m:ctrlPr>
            </m:den>
          </m:f>
        </m:oMath>
      </m:oMathPara>
    </w:p>
    <w:p>
      <w:pPr>
        <w:bidi w:val="0"/>
      </w:pPr>
      <w:r>
        <w:t>其中：</w:t>
      </w:r>
    </w:p>
    <w:p>
      <w:pPr>
        <w:bidi w:val="0"/>
      </w:pPr>
      <w:r>
        <w:t>搬迁后总收入：包含租金收入和毗邻效益。</w:t>
      </w:r>
    </w:p>
    <w:p>
      <w:pPr>
        <w:bidi w:val="0"/>
      </w:pPr>
      <w:r>
        <w:t>不搬迁的总收入：不进行搬迁时的总租金收入（可以从原始数据计算得到）。</w:t>
      </w:r>
    </w:p>
    <w:p>
      <w:pPr>
        <w:bidi w:val="0"/>
      </w:pPr>
      <w:r>
        <w:t>搬迁总成本：包括搬迁补偿，沟通成本和时间损失。</w:t>
      </w:r>
    </w:p>
    <w:p>
      <w:pPr>
        <w:bidi w:val="0"/>
      </w:pPr>
      <w:r>
        <w:t>步骤 4：自动生成性价比分析报告</w:t>
      </w:r>
      <w:r>
        <w:br w:type="textWrapping"/>
      </w:r>
      <w:r>
        <w:t xml:space="preserve">根据每个搬迁方案的性价比 </w:t>
      </w:r>
      <m:oMath>
        <m:r>
          <m:rPr>
            <m:sty m:val="p"/>
          </m:rPr>
          <w:rPr>
            <w:rFonts w:ascii="Cambria Math" w:hAnsi="Cambria Math"/>
          </w:rPr>
          <m:t>m</m:t>
        </m:r>
      </m:oMath>
      <w:r>
        <w:t xml:space="preserve"> ，自动生成性价比分析报告。报告应展示每个搬迁方案的性价比以及搬迁居民数与性价比之间的变化趋势。</w:t>
      </w:r>
    </w:p>
    <w:p>
      <w:pPr>
        <w:numPr>
          <w:ilvl w:val="0"/>
          <w:numId w:val="8"/>
        </w:numPr>
        <w:bidi w:val="0"/>
        <w:rPr>
          <w:rFonts w:hint="eastAsia"/>
        </w:rPr>
      </w:pPr>
      <w:r>
        <w:t>决策支持功能</w:t>
      </w:r>
      <w:r>
        <w:br w:type="textWrapping"/>
      </w:r>
      <w:r>
        <w:rPr>
          <w:rFonts w:hint="eastAsia"/>
          <w:lang w:val="en-US" w:eastAsia="zh-CN"/>
        </w:rPr>
        <w:t xml:space="preserve">   </w:t>
      </w:r>
      <w:r>
        <w:rPr>
          <w:rFonts w:hint="eastAsia"/>
        </w:rPr>
        <w:t>软件不仅能够计算每个搬迁方案的性价比  ，还可以通过以下功能提供决策支持：</w:t>
      </w:r>
    </w:p>
    <w:p>
      <w:pPr>
        <w:numPr>
          <w:numId w:val="0"/>
        </w:numPr>
        <w:bidi w:val="0"/>
        <w:ind w:firstLine="480" w:firstLineChars="200"/>
        <w:rPr>
          <w:rFonts w:hint="eastAsia"/>
        </w:rPr>
      </w:pPr>
      <w:r>
        <w:rPr>
          <w:rFonts w:hint="eastAsia"/>
        </w:rPr>
        <w:t>1．敏感性分析：对关键参数（如搬迁补偿，租金标准，时间损失等）进行敏感性分析，了解哪些因素对性价比  影响最大，从而帮助决策者优化搬迁方案。</w:t>
      </w:r>
    </w:p>
    <w:p>
      <w:pPr>
        <w:numPr>
          <w:numId w:val="0"/>
        </w:numPr>
        <w:bidi w:val="0"/>
        <w:ind w:firstLine="480" w:firstLineChars="200"/>
        <w:rPr>
          <w:rFonts w:hint="eastAsia"/>
        </w:rPr>
      </w:pPr>
      <w:r>
        <w:rPr>
          <w:rFonts w:hint="eastAsia"/>
        </w:rPr>
        <w:t>2．最佳搬迁方案推荐：根据性价比的结果，自动推荐最佳的搬迁方案，即选择性价比最高的方案。</w:t>
      </w:r>
    </w:p>
    <w:p>
      <w:pPr>
        <w:numPr>
          <w:numId w:val="0"/>
        </w:numPr>
        <w:bidi w:val="0"/>
        <w:ind w:firstLine="480" w:firstLineChars="200"/>
        <w:rPr>
          <w:rFonts w:hint="eastAsia"/>
        </w:rPr>
      </w:pPr>
      <w:r>
        <w:rPr>
          <w:rFonts w:hint="eastAsia"/>
        </w:rPr>
        <w:t>3．图表展示：自动生成性价比与搬迁居民数变化的趋势图，帮助决策者直观地了解搬迁的经济效益。</w:t>
      </w:r>
    </w:p>
    <w:p>
      <w:pPr>
        <w:numPr>
          <w:numId w:val="0"/>
        </w:numPr>
        <w:bidi w:val="0"/>
        <w:ind w:firstLine="480" w:firstLineChars="200"/>
      </w:pPr>
      <w:r>
        <w:rPr>
          <w:rFonts w:hint="eastAsia"/>
        </w:rPr>
        <w:t>4．风险评估：通过设置风险评估模型，分析搬迁方案的潜在风险，并提供相应的应对策略。</w:t>
      </w:r>
    </w:p>
    <w:p>
      <w:pPr>
        <w:pStyle w:val="2"/>
        <w:rPr>
          <w:rFonts w:hint="default"/>
          <w:lang w:val="en-US" w:eastAsia="zh-CN"/>
        </w:rPr>
      </w:pPr>
      <w:r>
        <w:rPr>
          <w:rFonts w:hint="default"/>
          <w:lang w:val="en-US" w:eastAsia="zh-CN"/>
        </w:rPr>
        <w:t>+-------------------------------------------------------+</w:t>
      </w:r>
    </w:p>
    <w:p>
      <w:pPr>
        <w:pStyle w:val="2"/>
        <w:rPr>
          <w:rFonts w:hint="default"/>
          <w:lang w:val="en-US" w:eastAsia="zh-CN"/>
        </w:rPr>
      </w:pPr>
      <w:r>
        <w:rPr>
          <w:rFonts w:hint="default"/>
          <w:lang w:val="en-US" w:eastAsia="zh-CN"/>
        </w:rPr>
        <w:t>|                     数据输入模块                     |</w:t>
      </w:r>
    </w:p>
    <w:p>
      <w:pPr>
        <w:pStyle w:val="2"/>
        <w:rPr>
          <w:rFonts w:hint="default"/>
          <w:lang w:val="en-US" w:eastAsia="zh-CN"/>
        </w:rPr>
      </w:pPr>
      <w:r>
        <w:rPr>
          <w:rFonts w:hint="default"/>
          <w:lang w:val="en-US" w:eastAsia="zh-CN"/>
        </w:rPr>
        <w:t>| 1. 地块信息                                           |</w:t>
      </w:r>
    </w:p>
    <w:p>
      <w:pPr>
        <w:pStyle w:val="2"/>
        <w:rPr>
          <w:rFonts w:hint="default"/>
          <w:lang w:val="en-US" w:eastAsia="zh-CN"/>
        </w:rPr>
      </w:pPr>
      <w:r>
        <w:rPr>
          <w:rFonts w:hint="default"/>
          <w:lang w:val="en-US" w:eastAsia="zh-CN"/>
        </w:rPr>
        <w:t>| 2. 搬迁方案                                           |</w:t>
      </w:r>
    </w:p>
    <w:p>
      <w:pPr>
        <w:pStyle w:val="2"/>
        <w:rPr>
          <w:rFonts w:hint="default"/>
          <w:lang w:val="en-US" w:eastAsia="zh-CN"/>
        </w:rPr>
      </w:pPr>
      <w:r>
        <w:rPr>
          <w:rFonts w:hint="default"/>
          <w:lang w:val="en-US" w:eastAsia="zh-CN"/>
        </w:rPr>
        <w:t>| 3. 邻接矩阵                                           |</w:t>
      </w:r>
    </w:p>
    <w:p>
      <w:pPr>
        <w:pStyle w:val="2"/>
        <w:rPr>
          <w:rFonts w:hint="default"/>
          <w:lang w:val="en-US" w:eastAsia="zh-CN"/>
        </w:rPr>
      </w:pPr>
      <w:r>
        <w:rPr>
          <w:rFonts w:hint="default"/>
          <w:lang w:val="en-US" w:eastAsia="zh-CN"/>
        </w:rPr>
        <w:t>| 4. 成本数据                                           |</w:t>
      </w:r>
    </w:p>
    <w:p>
      <w:pPr>
        <w:pStyle w:val="2"/>
        <w:rPr>
          <w:rFonts w:hint="default"/>
          <w:lang w:val="en-US" w:eastAsia="zh-CN"/>
        </w:rPr>
      </w:pPr>
      <w:r>
        <w:rPr>
          <w:rFonts w:hint="default"/>
          <w:lang w:val="en-US" w:eastAsia="zh-CN"/>
        </w:rPr>
        <w:t>| 5. 收入数据                                           |</w:t>
      </w:r>
    </w:p>
    <w:p>
      <w:pPr>
        <w:pStyle w:val="2"/>
        <w:rPr>
          <w:rFonts w:hint="default"/>
          <w:lang w:val="en-US" w:eastAsia="zh-CN"/>
        </w:rPr>
      </w:pPr>
      <w:r>
        <w:rPr>
          <w:rFonts w:hint="default"/>
          <w:lang w:val="en-US" w:eastAsia="zh-CN"/>
        </w:rPr>
        <w:t>+-------------------------------------------------------+</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v</w:t>
      </w:r>
    </w:p>
    <w:p>
      <w:pPr>
        <w:pStyle w:val="2"/>
        <w:rPr>
          <w:rFonts w:hint="default"/>
          <w:lang w:val="en-US" w:eastAsia="zh-CN"/>
        </w:rPr>
      </w:pPr>
      <w:r>
        <w:rPr>
          <w:rFonts w:hint="default"/>
          <w:lang w:val="en-US" w:eastAsia="zh-CN"/>
        </w:rPr>
        <w:t>+-------------------------------------------------------+</w:t>
      </w:r>
    </w:p>
    <w:p>
      <w:pPr>
        <w:pStyle w:val="2"/>
        <w:rPr>
          <w:rFonts w:hint="default"/>
          <w:lang w:val="en-US" w:eastAsia="zh-CN"/>
        </w:rPr>
      </w:pPr>
      <w:r>
        <w:rPr>
          <w:rFonts w:hint="default"/>
          <w:lang w:val="en-US" w:eastAsia="zh-CN"/>
        </w:rPr>
        <w:t>|                    计算模块                           |</w:t>
      </w:r>
    </w:p>
    <w:p>
      <w:pPr>
        <w:pStyle w:val="2"/>
        <w:rPr>
          <w:rFonts w:hint="default"/>
          <w:lang w:val="en-US" w:eastAsia="zh-CN"/>
        </w:rPr>
      </w:pPr>
      <w:r>
        <w:rPr>
          <w:rFonts w:hint="default"/>
          <w:lang w:val="en-US" w:eastAsia="zh-CN"/>
        </w:rPr>
        <w:t>| 1. 计算搬迁后总收入                                    |</w:t>
      </w:r>
    </w:p>
    <w:p>
      <w:pPr>
        <w:pStyle w:val="2"/>
        <w:rPr>
          <w:rFonts w:hint="default"/>
          <w:lang w:val="en-US" w:eastAsia="zh-CN"/>
        </w:rPr>
      </w:pPr>
      <w:r>
        <w:rPr>
          <w:rFonts w:hint="default"/>
          <w:lang w:val="en-US" w:eastAsia="zh-CN"/>
        </w:rPr>
        <w:t>| 2. 计算毗邻效益                                        |</w:t>
      </w:r>
    </w:p>
    <w:p>
      <w:pPr>
        <w:pStyle w:val="2"/>
        <w:rPr>
          <w:rFonts w:hint="default"/>
          <w:lang w:val="en-US" w:eastAsia="zh-CN"/>
        </w:rPr>
      </w:pPr>
      <w:r>
        <w:rPr>
          <w:rFonts w:hint="default"/>
          <w:lang w:val="en-US" w:eastAsia="zh-CN"/>
        </w:rPr>
        <w:t>| 3. 计算搬迁的总成本                                   |</w:t>
      </w:r>
    </w:p>
    <w:p>
      <w:pPr>
        <w:pStyle w:val="2"/>
        <w:rPr>
          <w:rFonts w:hint="default"/>
          <w:lang w:val="en-US" w:eastAsia="zh-CN"/>
        </w:rPr>
      </w:pPr>
      <w:r>
        <w:rPr>
          <w:rFonts w:hint="default"/>
          <w:lang w:val="en-US" w:eastAsia="zh-CN"/>
        </w:rPr>
        <w:t>| 4. 计算性价比 m                                       |</w:t>
      </w:r>
    </w:p>
    <w:p>
      <w:pPr>
        <w:pStyle w:val="2"/>
        <w:rPr>
          <w:rFonts w:hint="default"/>
          <w:lang w:val="en-US" w:eastAsia="zh-CN"/>
        </w:rPr>
      </w:pPr>
      <w:r>
        <w:rPr>
          <w:rFonts w:hint="default"/>
          <w:lang w:val="en-US" w:eastAsia="zh-CN"/>
        </w:rPr>
        <w:t>+-------------------------------------------------------+</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v</w:t>
      </w:r>
    </w:p>
    <w:p>
      <w:pPr>
        <w:pStyle w:val="2"/>
        <w:rPr>
          <w:rFonts w:hint="default"/>
          <w:lang w:val="en-US" w:eastAsia="zh-CN"/>
        </w:rPr>
      </w:pPr>
      <w:r>
        <w:rPr>
          <w:rFonts w:hint="default"/>
          <w:lang w:val="en-US" w:eastAsia="zh-CN"/>
        </w:rPr>
        <w:t>+-------------------------------------------------------+</w:t>
      </w:r>
    </w:p>
    <w:p>
      <w:pPr>
        <w:pStyle w:val="2"/>
        <w:rPr>
          <w:rFonts w:hint="default"/>
          <w:lang w:val="en-US" w:eastAsia="zh-CN"/>
        </w:rPr>
      </w:pPr>
      <w:r>
        <w:rPr>
          <w:rFonts w:hint="default"/>
          <w:lang w:val="en-US" w:eastAsia="zh-CN"/>
        </w:rPr>
        <w:t>|                   结果输出模块                        |</w:t>
      </w:r>
    </w:p>
    <w:p>
      <w:pPr>
        <w:pStyle w:val="2"/>
        <w:rPr>
          <w:rFonts w:hint="default"/>
          <w:lang w:val="en-US" w:eastAsia="zh-CN"/>
        </w:rPr>
      </w:pPr>
      <w:r>
        <w:rPr>
          <w:rFonts w:hint="default"/>
          <w:lang w:val="en-US" w:eastAsia="zh-CN"/>
        </w:rPr>
        <w:t>| 1. 输出每个搬迁方案的性价比 m                         |</w:t>
      </w:r>
    </w:p>
    <w:p>
      <w:pPr>
        <w:pStyle w:val="2"/>
        <w:rPr>
          <w:rFonts w:hint="default"/>
          <w:lang w:val="en-US" w:eastAsia="zh-CN"/>
        </w:rPr>
      </w:pPr>
      <w:r>
        <w:rPr>
          <w:rFonts w:hint="default"/>
          <w:lang w:val="en-US" w:eastAsia="zh-CN"/>
        </w:rPr>
        <w:t>| 2. 绘制性价比与搬迁居民数变化的趋势图                 |</w:t>
      </w:r>
    </w:p>
    <w:p>
      <w:pPr>
        <w:pStyle w:val="2"/>
        <w:rPr>
          <w:rFonts w:hint="default"/>
          <w:lang w:val="en-US" w:eastAsia="zh-CN"/>
        </w:rPr>
      </w:pPr>
      <w:r>
        <w:rPr>
          <w:rFonts w:hint="default"/>
          <w:lang w:val="en-US" w:eastAsia="zh-CN"/>
        </w:rPr>
        <w:t>| 3. 输出决策报告                                       |</w:t>
      </w:r>
    </w:p>
    <w:p>
      <w:pPr>
        <w:pStyle w:val="2"/>
        <w:rPr>
          <w:rFonts w:hint="default"/>
          <w:lang w:val="en-US" w:eastAsia="zh-CN"/>
        </w:rPr>
      </w:pPr>
      <w:r>
        <w:rPr>
          <w:rFonts w:hint="default"/>
          <w:lang w:val="en-US" w:eastAsia="zh-CN"/>
        </w:rPr>
        <w:t>+-------------------------------------------------------+</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v</w:t>
      </w:r>
    </w:p>
    <w:p>
      <w:pPr>
        <w:pStyle w:val="2"/>
        <w:rPr>
          <w:rFonts w:hint="default"/>
          <w:lang w:val="en-US" w:eastAsia="zh-CN"/>
        </w:rPr>
      </w:pPr>
      <w:r>
        <w:rPr>
          <w:rFonts w:hint="default"/>
          <w:lang w:val="en-US" w:eastAsia="zh-CN"/>
        </w:rPr>
        <w:t>+-------------------------------------------------------+</w:t>
      </w:r>
    </w:p>
    <w:p>
      <w:pPr>
        <w:pStyle w:val="2"/>
        <w:rPr>
          <w:rFonts w:hint="default"/>
          <w:lang w:val="en-US" w:eastAsia="zh-CN"/>
        </w:rPr>
      </w:pPr>
      <w:r>
        <w:rPr>
          <w:rFonts w:hint="default"/>
          <w:lang w:val="en-US" w:eastAsia="zh-CN"/>
        </w:rPr>
        <w:t>|                    决策支持模块                       |</w:t>
      </w:r>
    </w:p>
    <w:p>
      <w:pPr>
        <w:pStyle w:val="2"/>
        <w:rPr>
          <w:rFonts w:hint="default"/>
          <w:lang w:val="en-US" w:eastAsia="zh-CN"/>
        </w:rPr>
      </w:pPr>
      <w:r>
        <w:rPr>
          <w:rFonts w:hint="default"/>
          <w:lang w:val="en-US" w:eastAsia="zh-CN"/>
        </w:rPr>
        <w:t>| 1. 推荐最佳搬迁方案                                   |</w:t>
      </w:r>
    </w:p>
    <w:p>
      <w:pPr>
        <w:pStyle w:val="2"/>
        <w:rPr>
          <w:rFonts w:hint="default"/>
          <w:lang w:val="en-US" w:eastAsia="zh-CN"/>
        </w:rPr>
      </w:pPr>
      <w:r>
        <w:rPr>
          <w:rFonts w:hint="default"/>
          <w:lang w:val="en-US" w:eastAsia="zh-CN"/>
        </w:rPr>
        <w:t>| 2. 敏感性分析                                         |</w:t>
      </w:r>
    </w:p>
    <w:p>
      <w:pPr>
        <w:pStyle w:val="2"/>
        <w:rPr>
          <w:rFonts w:hint="default"/>
          <w:lang w:val="en-US" w:eastAsia="zh-CN"/>
        </w:rPr>
      </w:pPr>
      <w:r>
        <w:rPr>
          <w:rFonts w:hint="default"/>
          <w:lang w:val="en-US" w:eastAsia="zh-CN"/>
        </w:rPr>
        <w:t>| 3. 风险评估                                           |</w:t>
      </w:r>
    </w:p>
    <w:p>
      <w:pPr>
        <w:pStyle w:val="2"/>
        <w:rPr>
          <w:rFonts w:hint="default"/>
          <w:lang w:val="en-US" w:eastAsia="zh-CN"/>
        </w:rPr>
      </w:pPr>
      <w:r>
        <w:rPr>
          <w:rFonts w:hint="default"/>
          <w:lang w:val="en-US" w:eastAsia="zh-CN"/>
        </w:rPr>
        <w:t>+-------------------------------------------------------+</w:t>
      </w:r>
    </w:p>
    <w:p>
      <w:pPr>
        <w:pStyle w:val="2"/>
        <w:rPr>
          <w:rFonts w:hint="default"/>
          <w:lang w:val="en-US" w:eastAsia="zh-CN"/>
        </w:rPr>
      </w:pPr>
    </w:p>
    <w:p>
      <w:pPr>
        <w:rPr>
          <w:rFonts w:hint="default"/>
          <w:lang w:val="en-US" w:eastAsia="zh-CN"/>
        </w:rPr>
      </w:pPr>
    </w:p>
    <w:p>
      <w:pPr>
        <w:pStyle w:val="3"/>
        <w:pageBreakBefore w:val="0"/>
        <w:numPr>
          <w:ilvl w:val="0"/>
          <w:numId w:val="4"/>
        </w:numPr>
        <w:wordWrap/>
        <w:overflowPunct/>
        <w:topLinePunct w:val="0"/>
        <w:bidi w:val="0"/>
        <w:adjustRightInd/>
        <w:spacing w:before="0" w:beforeLines="0" w:beforeAutospacing="0" w:after="0" w:afterLines="0" w:afterAutospacing="0" w:line="240" w:lineRule="auto"/>
        <w:outlineLvl w:val="1"/>
        <w:rPr>
          <w:rFonts w:hint="default"/>
          <w:lang w:val="en-US" w:eastAsia="zh-CN"/>
        </w:rPr>
      </w:pPr>
      <w:bookmarkStart w:id="118" w:name="_Toc27209"/>
      <w:bookmarkStart w:id="119" w:name="_Toc28488"/>
      <w:bookmarkStart w:id="120" w:name="_Toc20887"/>
      <w:r>
        <w:rPr>
          <w:rFonts w:hint="eastAsia"/>
          <w:lang w:val="en-US" w:eastAsia="zh-CN"/>
        </w:rPr>
        <w:t>模型总结</w:t>
      </w:r>
      <w:bookmarkEnd w:id="118"/>
      <w:bookmarkEnd w:id="119"/>
      <w:bookmarkEnd w:id="120"/>
    </w:p>
    <w:p>
      <w:pPr>
        <w:pStyle w:val="4"/>
        <w:pageBreakBefore w:val="0"/>
        <w:wordWrap/>
        <w:overflowPunct/>
        <w:topLinePunct w:val="0"/>
        <w:bidi w:val="0"/>
        <w:adjustRightInd/>
        <w:spacing w:before="0" w:beforeLines="0" w:beforeAutospacing="0" w:after="0" w:afterLines="0" w:afterAutospacing="0" w:line="240" w:lineRule="auto"/>
        <w:outlineLvl w:val="2"/>
        <w:rPr>
          <w:rFonts w:hint="eastAsia"/>
          <w:lang w:val="en-US" w:eastAsia="zh-CN"/>
        </w:rPr>
      </w:pPr>
      <w:bookmarkStart w:id="121" w:name="_Toc24440"/>
      <w:bookmarkStart w:id="122" w:name="_Toc2807"/>
      <w:bookmarkStart w:id="123" w:name="_Toc27574"/>
      <w:r>
        <w:rPr>
          <w:rFonts w:hint="eastAsia"/>
          <w:lang w:val="en-US" w:eastAsia="zh-CN"/>
        </w:rPr>
        <w:t>6.1 模型优点</w:t>
      </w:r>
      <w:bookmarkEnd w:id="121"/>
      <w:bookmarkEnd w:id="122"/>
      <w:bookmarkEnd w:id="123"/>
    </w:p>
    <w:p>
      <w:pPr>
        <w:rPr>
          <w:rFonts w:hint="eastAsia"/>
          <w:highlight w:val="green"/>
          <w:lang w:val="en-US" w:eastAsia="zh-CN"/>
        </w:rPr>
      </w:pPr>
      <w:r>
        <w:rPr>
          <w:rFonts w:hint="eastAsia"/>
          <w:highlight w:val="green"/>
          <w:lang w:val="en-US" w:eastAsia="zh-CN"/>
        </w:rPr>
        <w:t>1、综合考虑多因素：</w:t>
      </w:r>
    </w:p>
    <w:p>
      <w:pPr>
        <w:rPr>
          <w:rFonts w:hint="eastAsia"/>
          <w:highlight w:val="green"/>
          <w:lang w:val="en-US" w:eastAsia="zh-CN"/>
        </w:rPr>
      </w:pPr>
      <w:r>
        <w:rPr>
          <w:rFonts w:hint="eastAsia"/>
          <w:highlight w:val="green"/>
          <w:lang w:val="en-US" w:eastAsia="zh-CN"/>
        </w:rPr>
        <w:t>模型综合考虑了多种因素（如地块面积、朝向、补偿金额、毗邻效益等），并通过计算搬迁后的租金收入、毗邻效益和时间损失来评估搬迁方案的经济效益，保证了决策的全面性。</w:t>
      </w:r>
    </w:p>
    <w:p>
      <w:pPr>
        <w:rPr>
          <w:rFonts w:hint="eastAsia"/>
          <w:highlight w:val="green"/>
          <w:lang w:val="en-US" w:eastAsia="zh-CN"/>
        </w:rPr>
      </w:pPr>
      <w:r>
        <w:rPr>
          <w:rFonts w:hint="eastAsia"/>
          <w:highlight w:val="green"/>
          <w:lang w:val="en-US" w:eastAsia="zh-CN"/>
        </w:rPr>
        <w:t>2、考虑毗邻效益和时间损失：</w:t>
      </w:r>
    </w:p>
    <w:p>
      <w:pPr>
        <w:rPr>
          <w:rFonts w:hint="eastAsia"/>
          <w:highlight w:val="green"/>
          <w:lang w:val="en-US" w:eastAsia="zh-CN"/>
        </w:rPr>
      </w:pPr>
      <w:r>
        <w:rPr>
          <w:rFonts w:hint="eastAsia"/>
          <w:highlight w:val="green"/>
          <w:lang w:val="en-US" w:eastAsia="zh-CN"/>
        </w:rPr>
        <w:t>模型特别考虑了毗邻效益（空院落毗邻带来的额外收益）和搬迁过程中可能的时间损失（因搬迁造成的租金损失）。这为搬迁决策提供了更精细的分析视角，避免忽视这些关键因素。</w:t>
      </w:r>
    </w:p>
    <w:p>
      <w:pPr>
        <w:rPr>
          <w:rFonts w:hint="eastAsia"/>
          <w:highlight w:val="green"/>
          <w:lang w:val="en-US" w:eastAsia="zh-CN"/>
        </w:rPr>
      </w:pPr>
      <w:r>
        <w:rPr>
          <w:rFonts w:hint="eastAsia"/>
          <w:highlight w:val="green"/>
          <w:lang w:val="en-US" w:eastAsia="zh-CN"/>
        </w:rPr>
        <w:t>3、自动计算性价比 m：</w:t>
      </w:r>
    </w:p>
    <w:p>
      <w:pPr>
        <w:rPr>
          <w:rFonts w:hint="eastAsia"/>
          <w:highlight w:val="green"/>
          <w:lang w:val="en-US" w:eastAsia="zh-CN"/>
        </w:rPr>
      </w:pPr>
      <w:r>
        <w:rPr>
          <w:rFonts w:hint="eastAsia"/>
          <w:highlight w:val="green"/>
          <w:lang w:val="en-US" w:eastAsia="zh-CN"/>
        </w:rPr>
        <w:t>模型能够自动计算每个搬迁方案的性价比 m，使得规划者能够快速评估不同方案的经济效益，从而做出科学决策。</w:t>
      </w:r>
    </w:p>
    <w:p>
      <w:pPr>
        <w:rPr>
          <w:rFonts w:hint="eastAsia"/>
          <w:highlight w:val="green"/>
          <w:lang w:val="en-US" w:eastAsia="zh-CN"/>
        </w:rPr>
      </w:pPr>
      <w:r>
        <w:rPr>
          <w:rFonts w:hint="eastAsia"/>
          <w:highlight w:val="green"/>
          <w:lang w:val="en-US" w:eastAsia="zh-CN"/>
        </w:rPr>
        <w:t>4、支持灵活的决策优化：</w:t>
      </w:r>
    </w:p>
    <w:p>
      <w:pPr>
        <w:rPr>
          <w:rFonts w:hint="eastAsia"/>
          <w:highlight w:val="green"/>
          <w:lang w:val="en-US" w:eastAsia="zh-CN"/>
        </w:rPr>
      </w:pPr>
      <w:r>
        <w:rPr>
          <w:rFonts w:hint="eastAsia"/>
          <w:highlight w:val="green"/>
          <w:lang w:val="en-US" w:eastAsia="zh-CN"/>
        </w:rPr>
        <w:t>通过敏感性分析和风险评估，模型帮助决策者优化搬迁方案，找到最佳的性价比，并为决策者提供决策依据，减少风险。</w:t>
      </w:r>
    </w:p>
    <w:p>
      <w:pPr>
        <w:rPr>
          <w:rFonts w:hint="eastAsia"/>
          <w:highlight w:val="green"/>
          <w:lang w:val="en-US" w:eastAsia="zh-CN"/>
        </w:rPr>
      </w:pPr>
      <w:r>
        <w:rPr>
          <w:rFonts w:hint="eastAsia"/>
          <w:highlight w:val="green"/>
          <w:lang w:val="en-US" w:eastAsia="zh-CN"/>
        </w:rPr>
        <w:t>5、适应性强：</w:t>
      </w:r>
    </w:p>
    <w:p>
      <w:pPr>
        <w:rPr>
          <w:rFonts w:hint="eastAsia"/>
          <w:lang w:val="en-US" w:eastAsia="zh-CN"/>
        </w:rPr>
      </w:pPr>
      <w:r>
        <w:rPr>
          <w:rFonts w:hint="eastAsia"/>
          <w:highlight w:val="green"/>
          <w:lang w:val="en-US" w:eastAsia="zh-CN"/>
        </w:rPr>
        <w:t>该模型能够根据不同城市或区域的需求灵活调整参数（如补偿标准、租金标准等），具有较强的通用性和扩展性，适用于全国范围内的老城区改造和搬迁项目。</w:t>
      </w:r>
    </w:p>
    <w:p>
      <w:pPr>
        <w:rPr>
          <w:rFonts w:hint="eastAsia"/>
          <w:highlight w:val="green"/>
          <w:lang w:val="en-US" w:eastAsia="zh-CN"/>
        </w:rPr>
      </w:pPr>
      <w:r>
        <w:rPr>
          <w:rFonts w:hint="eastAsia"/>
          <w:highlight w:val="green"/>
          <w:lang w:val="en-US" w:eastAsia="zh-CN"/>
        </w:rPr>
        <w:t>6、动态模拟与结果输出：</w:t>
      </w:r>
    </w:p>
    <w:p>
      <w:pPr>
        <w:rPr>
          <w:rFonts w:hint="eastAsia"/>
          <w:lang w:val="en-US" w:eastAsia="zh-CN"/>
        </w:rPr>
      </w:pPr>
      <w:r>
        <w:rPr>
          <w:rFonts w:hint="eastAsia"/>
          <w:highlight w:val="green"/>
          <w:lang w:val="en-US" w:eastAsia="zh-CN"/>
        </w:rPr>
        <w:t>通过图表和报告，模型能够展示不同搬迁方案的效果和性价比随居民数量变化的趋势，帮助决策者对比不同方案，直观地了解方案的变化效果</w:t>
      </w:r>
      <w:r>
        <w:rPr>
          <w:rFonts w:hint="eastAsia"/>
          <w:lang w:val="en-US" w:eastAsia="zh-CN"/>
        </w:rPr>
        <w:t>。</w:t>
      </w:r>
    </w:p>
    <w:p>
      <w:pPr>
        <w:pStyle w:val="4"/>
        <w:pageBreakBefore w:val="0"/>
        <w:wordWrap/>
        <w:overflowPunct/>
        <w:topLinePunct w:val="0"/>
        <w:bidi w:val="0"/>
        <w:adjustRightInd/>
        <w:spacing w:before="0" w:beforeLines="0" w:beforeAutospacing="0" w:after="0" w:afterLines="0" w:afterAutospacing="0" w:line="240" w:lineRule="auto"/>
        <w:outlineLvl w:val="2"/>
        <w:rPr>
          <w:rFonts w:hint="eastAsia"/>
          <w:lang w:val="en-US" w:eastAsia="zh-CN"/>
        </w:rPr>
      </w:pPr>
      <w:bookmarkStart w:id="124" w:name="_Toc18318"/>
      <w:bookmarkStart w:id="125" w:name="_Toc29818"/>
      <w:bookmarkStart w:id="126" w:name="_Toc4713"/>
      <w:r>
        <w:rPr>
          <w:rFonts w:hint="eastAsia"/>
          <w:lang w:val="en-US" w:eastAsia="zh-CN"/>
        </w:rPr>
        <w:t>6.2 模型缺点</w:t>
      </w:r>
      <w:bookmarkEnd w:id="124"/>
      <w:bookmarkEnd w:id="125"/>
      <w:bookmarkEnd w:id="126"/>
    </w:p>
    <w:p>
      <w:pPr>
        <w:rPr>
          <w:rFonts w:hint="eastAsia"/>
          <w:highlight w:val="green"/>
          <w:lang w:val="en-US" w:eastAsia="zh-CN"/>
        </w:rPr>
      </w:pPr>
      <w:r>
        <w:rPr>
          <w:rFonts w:hint="eastAsia"/>
          <w:highlight w:val="green"/>
          <w:lang w:val="en-US" w:eastAsia="zh-CN"/>
        </w:rPr>
        <w:t>1、假设的局限性：</w:t>
      </w:r>
    </w:p>
    <w:p>
      <w:pPr>
        <w:rPr>
          <w:rFonts w:hint="eastAsia"/>
          <w:highlight w:val="green"/>
          <w:lang w:val="en-US" w:eastAsia="zh-CN"/>
        </w:rPr>
      </w:pPr>
      <w:r>
        <w:rPr>
          <w:rFonts w:hint="eastAsia"/>
          <w:highlight w:val="green"/>
          <w:lang w:val="en-US" w:eastAsia="zh-CN"/>
        </w:rPr>
        <w:t>模型基于一些假设（如空院落租金、毗邻效益系数等），这些假设在实际应用中可能有所偏差，若实际情况与假设不符，模型的准确性会受到影响。</w:t>
      </w:r>
    </w:p>
    <w:p>
      <w:pPr>
        <w:rPr>
          <w:rFonts w:hint="eastAsia"/>
          <w:highlight w:val="green"/>
          <w:lang w:val="en-US" w:eastAsia="zh-CN"/>
        </w:rPr>
      </w:pPr>
      <w:r>
        <w:rPr>
          <w:rFonts w:hint="eastAsia"/>
          <w:highlight w:val="green"/>
          <w:lang w:val="en-US" w:eastAsia="zh-CN"/>
        </w:rPr>
        <w:t>2、计算复杂度高：</w:t>
      </w:r>
    </w:p>
    <w:p>
      <w:pPr>
        <w:rPr>
          <w:rFonts w:hint="eastAsia"/>
          <w:highlight w:val="green"/>
          <w:lang w:val="en-US" w:eastAsia="zh-CN"/>
        </w:rPr>
      </w:pPr>
      <w:r>
        <w:rPr>
          <w:rFonts w:hint="eastAsia"/>
          <w:highlight w:val="green"/>
          <w:lang w:val="en-US" w:eastAsia="zh-CN"/>
        </w:rPr>
        <w:t>模型涉及多个步骤和复杂的计算，尤其在处理大量居民和地块信息时，可能导致计算时间较长，并需要高效的数据处理能力和计算资源。</w:t>
      </w:r>
    </w:p>
    <w:p>
      <w:pPr>
        <w:rPr>
          <w:rFonts w:hint="eastAsia"/>
          <w:highlight w:val="green"/>
          <w:lang w:val="en-US" w:eastAsia="zh-CN"/>
        </w:rPr>
      </w:pPr>
      <w:r>
        <w:rPr>
          <w:rFonts w:hint="eastAsia"/>
          <w:highlight w:val="green"/>
          <w:lang w:val="en-US" w:eastAsia="zh-CN"/>
        </w:rPr>
        <w:t>3、依赖于准确的输入数据：</w:t>
      </w:r>
    </w:p>
    <w:p>
      <w:pPr>
        <w:rPr>
          <w:rFonts w:hint="eastAsia"/>
          <w:highlight w:val="green"/>
          <w:lang w:val="en-US" w:eastAsia="zh-CN"/>
        </w:rPr>
      </w:pPr>
      <w:r>
        <w:rPr>
          <w:rFonts w:hint="eastAsia"/>
          <w:highlight w:val="green"/>
          <w:lang w:val="en-US" w:eastAsia="zh-CN"/>
        </w:rPr>
        <w:t>模型的有效性高度依赖于输入数据的准确性和完整性。例如，居民搬迁补偿、租金标准和地块信息等数据如果存在误差，可能导致最终性价比计算结果不准确。</w:t>
      </w:r>
    </w:p>
    <w:p>
      <w:pPr>
        <w:rPr>
          <w:rFonts w:hint="eastAsia"/>
          <w:highlight w:val="green"/>
          <w:lang w:val="en-US" w:eastAsia="zh-CN"/>
        </w:rPr>
      </w:pPr>
      <w:r>
        <w:rPr>
          <w:rFonts w:hint="eastAsia"/>
          <w:highlight w:val="green"/>
          <w:lang w:val="en-US" w:eastAsia="zh-CN"/>
        </w:rPr>
        <w:t>4、未考虑社会因素和居民偏好：</w:t>
      </w:r>
    </w:p>
    <w:p>
      <w:pPr>
        <w:rPr>
          <w:rFonts w:hint="eastAsia"/>
          <w:highlight w:val="green"/>
          <w:lang w:val="en-US" w:eastAsia="zh-CN"/>
        </w:rPr>
      </w:pPr>
      <w:r>
        <w:rPr>
          <w:rFonts w:hint="eastAsia"/>
          <w:highlight w:val="green"/>
          <w:lang w:val="en-US" w:eastAsia="zh-CN"/>
        </w:rPr>
        <w:t>模型主要关注经济效益，较少考虑居民的社会因素和心理偏好（如搬迁后的社区环境、居民对补偿金额的感知等），这可能影响搬迁的顺利性和居民的满意度。</w:t>
      </w:r>
    </w:p>
    <w:p>
      <w:pPr>
        <w:rPr>
          <w:rFonts w:hint="eastAsia"/>
          <w:highlight w:val="green"/>
          <w:lang w:val="en-US" w:eastAsia="zh-CN"/>
        </w:rPr>
      </w:pPr>
      <w:r>
        <w:rPr>
          <w:rFonts w:hint="eastAsia"/>
          <w:highlight w:val="green"/>
          <w:lang w:val="en-US" w:eastAsia="zh-CN"/>
        </w:rPr>
        <w:t>5、不包含政策因素：</w:t>
      </w:r>
    </w:p>
    <w:p>
      <w:pPr>
        <w:rPr>
          <w:rFonts w:hint="eastAsia"/>
          <w:highlight w:val="green"/>
          <w:lang w:val="en-US" w:eastAsia="zh-CN"/>
        </w:rPr>
      </w:pPr>
      <w:r>
        <w:rPr>
          <w:rFonts w:hint="eastAsia"/>
          <w:highlight w:val="green"/>
          <w:lang w:val="en-US" w:eastAsia="zh-CN"/>
        </w:rPr>
        <w:t>模型没有明确考虑政策变动和政府干预等外部因素，如法律法规的改变、政策补贴等。这些因素可能在实际搬迁决策中产生重大影响。</w:t>
      </w:r>
    </w:p>
    <w:p>
      <w:pPr>
        <w:rPr>
          <w:rFonts w:hint="eastAsia"/>
          <w:highlight w:val="green"/>
          <w:lang w:val="en-US" w:eastAsia="zh-CN"/>
        </w:rPr>
      </w:pPr>
      <w:r>
        <w:rPr>
          <w:rFonts w:hint="eastAsia"/>
          <w:highlight w:val="green"/>
          <w:lang w:val="en-US" w:eastAsia="zh-CN"/>
        </w:rPr>
        <w:t>6、搬迁方案推荐局限：</w:t>
      </w:r>
    </w:p>
    <w:p>
      <w:pPr>
        <w:rPr>
          <w:rFonts w:hint="eastAsia"/>
          <w:highlight w:val="green"/>
          <w:lang w:val="en-US" w:eastAsia="zh-CN"/>
        </w:rPr>
      </w:pPr>
      <w:r>
        <w:rPr>
          <w:rFonts w:hint="eastAsia"/>
          <w:highlight w:val="green"/>
          <w:lang w:val="en-US" w:eastAsia="zh-CN"/>
        </w:rPr>
        <w:t>虽然模型可以计算出不同搬迁方案的性价比，但在某些复杂场景下，模型可能无法全面考虑到所有的社会和环境因素，无法为决策者提供最终的“最佳”方案，而是更多地依赖于输入参数和经济计算。</w:t>
      </w:r>
    </w:p>
    <w:p>
      <w:pPr>
        <w:rPr>
          <w:rFonts w:hint="eastAsia"/>
          <w:highlight w:val="green"/>
          <w:lang w:val="en-US" w:eastAsia="zh-CN"/>
        </w:rPr>
      </w:pPr>
      <w:r>
        <w:rPr>
          <w:rFonts w:hint="eastAsia"/>
          <w:highlight w:val="green"/>
          <w:lang w:val="en-US" w:eastAsia="zh-CN"/>
        </w:rPr>
        <w:t>7、区域特性差异：</w:t>
      </w:r>
    </w:p>
    <w:p>
      <w:pPr>
        <w:rPr>
          <w:rFonts w:hint="eastAsia"/>
          <w:highlight w:val="green"/>
          <w:lang w:val="en-US" w:eastAsia="zh-CN"/>
        </w:rPr>
      </w:pPr>
      <w:r>
        <w:rPr>
          <w:rFonts w:hint="eastAsia"/>
          <w:highlight w:val="green"/>
          <w:lang w:val="en-US" w:eastAsia="zh-CN"/>
        </w:rPr>
        <w:t>不同地区的经济条件、市场需求以及居民的生活习惯差异较大，模型如果没有做足够的区域化调整，可能会导致一些地方适用性不足。</w:t>
      </w:r>
    </w:p>
    <w:p>
      <w:pPr>
        <w:rPr>
          <w:rFonts w:hint="eastAsia"/>
          <w:lang w:val="en-US" w:eastAsia="zh-CN"/>
        </w:rPr>
      </w:pPr>
    </w:p>
    <w:p>
      <w:pPr>
        <w:pStyle w:val="4"/>
        <w:pageBreakBefore w:val="0"/>
        <w:wordWrap/>
        <w:overflowPunct/>
        <w:topLinePunct w:val="0"/>
        <w:bidi w:val="0"/>
        <w:adjustRightInd/>
        <w:spacing w:before="0" w:beforeLines="0" w:beforeAutospacing="0" w:after="0" w:afterLines="0" w:afterAutospacing="0" w:line="240" w:lineRule="auto"/>
        <w:outlineLvl w:val="2"/>
        <w:rPr>
          <w:rFonts w:hint="eastAsia"/>
          <w:lang w:val="en-US" w:eastAsia="zh-CN"/>
        </w:rPr>
      </w:pPr>
      <w:bookmarkStart w:id="127" w:name="_Toc10074"/>
      <w:bookmarkStart w:id="128" w:name="_Toc26992"/>
      <w:bookmarkStart w:id="129" w:name="_Toc2448"/>
      <w:r>
        <w:rPr>
          <w:rFonts w:hint="eastAsia"/>
          <w:lang w:val="en-US" w:eastAsia="zh-CN"/>
        </w:rPr>
        <w:t>6.3 模型推广</w:t>
      </w:r>
      <w:bookmarkEnd w:id="127"/>
      <w:bookmarkEnd w:id="128"/>
      <w:bookmarkEnd w:id="129"/>
    </w:p>
    <w:p>
      <w:pPr>
        <w:bidi w:val="0"/>
        <w:rPr>
          <w:highlight w:val="green"/>
        </w:rPr>
      </w:pPr>
      <w:r>
        <w:rPr>
          <w:highlight w:val="green"/>
        </w:rPr>
        <w:t>该模型在老城区平移置换决策中的应用，具有较强的实用性和推广价值，能够为不同地区的城市更新提供决策支持。通过综合考虑居民搬迁的经济效益、时间损失、毗邻效益以及搬迁补偿等因素，模型能够为城市规划和开发商提供科学的搬迁方案优化建议。在研究过程中，模型的核心优势在于它能够自动计算每个搬迁方案的性价比 mmm，并通过敏感性分析和风险评估，进一步帮助决策者优化搬迁策略，减少风险，从而提高搬迁决策的精准性。</w:t>
      </w:r>
    </w:p>
    <w:p>
      <w:pPr>
        <w:bidi w:val="0"/>
        <w:rPr>
          <w:highlight w:val="green"/>
        </w:rPr>
      </w:pPr>
      <w:r>
        <w:rPr>
          <w:highlight w:val="green"/>
        </w:rPr>
        <w:t>模型的推广不仅限于本项目所在的区域，还可以适用于其他城市或地区的老城区更新与改造。通过调整输入参数如租金标准、补偿政策、搬迁居民数量等，模型能够灵活地适应不同城市的需求。例如，在一些高密度城市或经济发展较快的区域，租金和补偿标准可能较高，模型可以通过这些变化调整其计算，以适应不同市场环境。</w:t>
      </w:r>
    </w:p>
    <w:p>
      <w:pPr>
        <w:bidi w:val="0"/>
        <w:rPr>
          <w:highlight w:val="green"/>
        </w:rPr>
      </w:pPr>
      <w:r>
        <w:rPr>
          <w:highlight w:val="green"/>
        </w:rPr>
        <w:t>此外，随着大数据和人工智能技术的发展，模型可以进一步集成更多的社会、环境和政策因素，以增强其决策支持能力。例如，结合居民心理偏好、社会接受度、公共服务设施分布等因素，能够为城市规划提供更加全面和可持续的方案，促进居民的迁入意愿和城市环境的优化。模型的推广还可以借助智能化平台进行集成和实时数据更新，使得它在实际应用中更加高效、便捷。</w:t>
      </w:r>
    </w:p>
    <w:p>
      <w:pPr>
        <w:bidi w:val="0"/>
        <w:rPr>
          <w:highlight w:val="green"/>
        </w:rPr>
      </w:pPr>
      <w:r>
        <w:rPr>
          <w:highlight w:val="green"/>
        </w:rPr>
        <w:t>最终，通过在全国范围内推广该模型，能够帮助各地城市规划部门和开发商更好地理解并利用平移置换策略，提升老旧街区更新的效率和质量，为城市的可持续发展提供有力支持。</w:t>
      </w:r>
    </w:p>
    <w:p>
      <w:pPr>
        <w:rPr>
          <w:rFonts w:hint="eastAsia"/>
          <w:highlight w:val="green"/>
          <w:lang w:val="en-US" w:eastAsia="zh-CN"/>
        </w:rPr>
      </w:pPr>
    </w:p>
    <w:p>
      <w:pPr>
        <w:pageBreakBefore w:val="0"/>
        <w:wordWrap/>
        <w:overflowPunct/>
        <w:topLinePunct w:val="0"/>
        <w:bidi w:val="0"/>
        <w:adjustRightInd/>
        <w:spacing w:beforeAutospacing="0" w:afterAutospacing="0" w:line="240" w:lineRule="auto"/>
        <w:rPr>
          <w:rFonts w:hint="default"/>
          <w:lang w:val="en-US" w:eastAsia="zh-CN"/>
        </w:rPr>
      </w:pPr>
    </w:p>
    <w:p>
      <w:pPr>
        <w:pStyle w:val="3"/>
        <w:pageBreakBefore w:val="0"/>
        <w:numPr>
          <w:ilvl w:val="0"/>
          <w:numId w:val="4"/>
        </w:numPr>
        <w:wordWrap/>
        <w:overflowPunct/>
        <w:topLinePunct w:val="0"/>
        <w:bidi w:val="0"/>
        <w:adjustRightInd/>
        <w:spacing w:before="0" w:beforeLines="0" w:beforeAutospacing="0" w:after="0" w:afterLines="0" w:afterAutospacing="0" w:line="240" w:lineRule="auto"/>
        <w:outlineLvl w:val="1"/>
        <w:rPr>
          <w:rFonts w:hint="default"/>
          <w:lang w:val="en-US" w:eastAsia="zh-CN"/>
        </w:rPr>
      </w:pPr>
      <w:bookmarkStart w:id="130" w:name="_Toc32438"/>
      <w:bookmarkStart w:id="131" w:name="_Toc126"/>
      <w:bookmarkStart w:id="132" w:name="_Toc17161"/>
      <w:r>
        <w:rPr>
          <w:rFonts w:hint="eastAsia"/>
          <w:lang w:val="en-US" w:eastAsia="zh-CN"/>
        </w:rPr>
        <w:t>参考文献</w:t>
      </w:r>
      <w:bookmarkEnd w:id="130"/>
      <w:bookmarkEnd w:id="131"/>
      <w:bookmarkEnd w:id="132"/>
    </w:p>
    <w:p>
      <w:pPr>
        <w:pageBreakBefore w:val="0"/>
        <w:numPr>
          <w:ilvl w:val="0"/>
          <w:numId w:val="9"/>
        </w:numPr>
        <w:wordWrap/>
        <w:overflowPunct/>
        <w:topLinePunct w:val="0"/>
        <w:bidi w:val="0"/>
        <w:adjustRightInd/>
        <w:spacing w:beforeAutospacing="0" w:afterAutospacing="0" w:line="240" w:lineRule="auto"/>
        <w:rPr>
          <w:rFonts w:hint="default"/>
          <w:lang w:val="en-US" w:eastAsia="zh-CN"/>
        </w:rPr>
      </w:pPr>
      <w:bookmarkStart w:id="133" w:name="_Ref25094"/>
      <w:r>
        <w:rPr>
          <w:rFonts w:hint="default"/>
          <w:lang w:val="en-US" w:eastAsia="zh-CN"/>
        </w:rPr>
        <w:t>张一林，郁芸君，陈珠明.人工智能、中小企业融资与银行数字化转型[J].中国工业经济，2021（12）：69-87.DOI：10.19581/j.cnki.ciejournal.2021.12.003.</w:t>
      </w:r>
      <w:bookmarkEnd w:id="133"/>
    </w:p>
    <w:p>
      <w:pPr>
        <w:pageBreakBefore w:val="0"/>
        <w:numPr>
          <w:ilvl w:val="0"/>
          <w:numId w:val="9"/>
        </w:numPr>
        <w:wordWrap/>
        <w:overflowPunct/>
        <w:topLinePunct w:val="0"/>
        <w:bidi w:val="0"/>
        <w:adjustRightInd/>
        <w:spacing w:beforeAutospacing="0" w:afterAutospacing="0" w:line="240" w:lineRule="auto"/>
        <w:rPr>
          <w:rFonts w:hint="default"/>
          <w:lang w:val="en-US" w:eastAsia="zh-CN"/>
        </w:rPr>
      </w:pPr>
      <w:bookmarkStart w:id="134" w:name="_Ref25156"/>
      <w:r>
        <w:rPr>
          <w:rFonts w:hint="default"/>
          <w:lang w:val="en-US" w:eastAsia="zh-CN"/>
        </w:rPr>
        <w:t>杨寅,刘勤,吕晓雷.中国企业智能财务应用现状及发展趋势分析——基于2021年调查问卷数据的例证[J].会计之友,2022(20):111-117.</w:t>
      </w:r>
      <w:bookmarkEnd w:id="134"/>
    </w:p>
    <w:p>
      <w:pPr>
        <w:pageBreakBefore w:val="0"/>
        <w:numPr>
          <w:ilvl w:val="0"/>
          <w:numId w:val="9"/>
        </w:numPr>
        <w:wordWrap/>
        <w:overflowPunct/>
        <w:topLinePunct w:val="0"/>
        <w:bidi w:val="0"/>
        <w:adjustRightInd/>
        <w:spacing w:beforeAutospacing="0" w:afterAutospacing="0" w:line="240" w:lineRule="auto"/>
        <w:rPr>
          <w:rFonts w:hint="default"/>
          <w:lang w:val="en-US" w:eastAsia="zh-CN"/>
        </w:rPr>
      </w:pPr>
      <w:bookmarkStart w:id="135" w:name="_Ref25175"/>
      <w:r>
        <w:rPr>
          <w:rFonts w:hint="default"/>
          <w:lang w:val="en-US" w:eastAsia="zh-CN"/>
        </w:rPr>
        <w:t>刘薇,宁晓红.护士安宁疗护知信行及培训需求调查问卷的编制及信效度检验[J].实用老年医学,2022,36(11):1170-1173+1184.</w:t>
      </w:r>
      <w:bookmarkEnd w:id="135"/>
    </w:p>
    <w:p>
      <w:pPr>
        <w:pageBreakBefore w:val="0"/>
        <w:numPr>
          <w:ilvl w:val="0"/>
          <w:numId w:val="9"/>
        </w:numPr>
        <w:wordWrap/>
        <w:overflowPunct/>
        <w:topLinePunct w:val="0"/>
        <w:bidi w:val="0"/>
        <w:adjustRightInd/>
        <w:spacing w:beforeAutospacing="0" w:afterAutospacing="0" w:line="240" w:lineRule="auto"/>
        <w:rPr>
          <w:rFonts w:hint="default"/>
          <w:lang w:val="en-US" w:eastAsia="zh-CN"/>
        </w:rPr>
      </w:pPr>
      <w:bookmarkStart w:id="136" w:name="_Ref25202"/>
      <w:r>
        <w:rPr>
          <w:rFonts w:hint="default"/>
          <w:lang w:val="en-US" w:eastAsia="zh-CN"/>
        </w:rPr>
        <w:t>史枚翎.移动APP对图书馆社会化阅读推广服务的影响因素研究——基于调查问卷的实证分析[J].图书馆研究与工作,2022(06):16-20.</w:t>
      </w:r>
      <w:bookmarkEnd w:id="136"/>
    </w:p>
    <w:p>
      <w:pPr>
        <w:pageBreakBefore w:val="0"/>
        <w:numPr>
          <w:ilvl w:val="0"/>
          <w:numId w:val="9"/>
        </w:numPr>
        <w:wordWrap/>
        <w:overflowPunct/>
        <w:topLinePunct w:val="0"/>
        <w:bidi w:val="0"/>
        <w:adjustRightInd/>
        <w:spacing w:beforeAutospacing="0" w:afterAutospacing="0" w:line="240" w:lineRule="auto"/>
        <w:rPr>
          <w:rFonts w:hint="default"/>
          <w:lang w:val="en-US" w:eastAsia="zh-CN"/>
        </w:rPr>
      </w:pPr>
      <w:r>
        <w:rPr>
          <w:rFonts w:hint="default"/>
          <w:lang w:val="en-US" w:eastAsia="zh-CN"/>
        </w:rPr>
        <w:t>贺宇,赵建航,孔朝阳.中国产品在东盟市场的印象研究——基于印尼、泰国、老挝三国调查问卷的分析[J].科学决策,2022(10):125-137.</w:t>
      </w:r>
    </w:p>
    <w:p>
      <w:pPr>
        <w:pageBreakBefore w:val="0"/>
        <w:numPr>
          <w:ilvl w:val="0"/>
          <w:numId w:val="9"/>
        </w:numPr>
        <w:wordWrap/>
        <w:overflowPunct/>
        <w:topLinePunct w:val="0"/>
        <w:bidi w:val="0"/>
        <w:adjustRightInd/>
        <w:spacing w:beforeAutospacing="0" w:afterAutospacing="0" w:line="240" w:lineRule="auto"/>
        <w:rPr>
          <w:rFonts w:hint="default"/>
          <w:lang w:val="en-US" w:eastAsia="zh-CN"/>
        </w:rPr>
      </w:pPr>
      <w:bookmarkStart w:id="137" w:name="_Ref25280"/>
      <w:r>
        <w:rPr>
          <w:rFonts w:hint="default"/>
          <w:lang w:val="en-US" w:eastAsia="zh-CN"/>
        </w:rPr>
        <w:t>吕承超,崔悦.乡村振兴发展:指标评价体系、地区差距与空间极化[J].农业经济问题,2021(05):20-32.DOI:10.13246/j.cnki.iae.2021.05.004.</w:t>
      </w:r>
      <w:bookmarkEnd w:id="137"/>
    </w:p>
    <w:p>
      <w:pPr>
        <w:pageBreakBefore w:val="0"/>
        <w:numPr>
          <w:ilvl w:val="0"/>
          <w:numId w:val="9"/>
        </w:numPr>
        <w:wordWrap/>
        <w:overflowPunct/>
        <w:topLinePunct w:val="0"/>
        <w:bidi w:val="0"/>
        <w:adjustRightInd/>
        <w:spacing w:beforeAutospacing="0" w:afterAutospacing="0" w:line="240" w:lineRule="auto"/>
        <w:rPr>
          <w:rFonts w:hint="default"/>
          <w:lang w:val="en-US" w:eastAsia="zh-CN"/>
        </w:rPr>
      </w:pPr>
      <w:bookmarkStart w:id="138" w:name="_Ref25322"/>
      <w:r>
        <w:rPr>
          <w:rFonts w:hint="default"/>
          <w:lang w:val="en-US" w:eastAsia="zh-CN"/>
        </w:rPr>
        <w:t>裴征，朱晓伟，龚超.基于层次分析法和熵值法组合的DRG指标评价体系权重赋值研究[J].中国医院管理，2020，40（11）：69-72+83.</w:t>
      </w:r>
      <w:bookmarkEnd w:id="138"/>
    </w:p>
    <w:p>
      <w:pPr>
        <w:pageBreakBefore w:val="0"/>
        <w:numPr>
          <w:ilvl w:val="0"/>
          <w:numId w:val="9"/>
        </w:numPr>
        <w:wordWrap/>
        <w:overflowPunct/>
        <w:topLinePunct w:val="0"/>
        <w:bidi w:val="0"/>
        <w:adjustRightInd/>
        <w:spacing w:beforeAutospacing="0" w:afterAutospacing="0" w:line="240" w:lineRule="auto"/>
        <w:rPr>
          <w:rFonts w:hint="default"/>
          <w:lang w:val="en-US" w:eastAsia="zh-CN"/>
        </w:rPr>
      </w:pPr>
      <w:bookmarkStart w:id="139" w:name="_Ref25371"/>
      <w:r>
        <w:rPr>
          <w:rFonts w:hint="default"/>
          <w:lang w:val="en-US" w:eastAsia="zh-CN"/>
        </w:rPr>
        <w:t>崔明明,聂常虹.基于指标评价体系的我国粮食安全演变研究[J].中国科学院院刊,2019,34(08):910-919.DOI:10.16418/j.issn.1000-3045.2019.08.009.</w:t>
      </w:r>
      <w:bookmarkEnd w:id="139"/>
    </w:p>
    <w:p>
      <w:pPr>
        <w:pageBreakBefore w:val="0"/>
        <w:numPr>
          <w:ilvl w:val="0"/>
          <w:numId w:val="9"/>
        </w:numPr>
        <w:wordWrap/>
        <w:overflowPunct/>
        <w:topLinePunct w:val="0"/>
        <w:bidi w:val="0"/>
        <w:adjustRightInd/>
        <w:spacing w:beforeAutospacing="0" w:afterAutospacing="0" w:line="240" w:lineRule="auto"/>
        <w:rPr>
          <w:rFonts w:hint="default"/>
          <w:lang w:val="en-US" w:eastAsia="zh-CN"/>
        </w:rPr>
      </w:pPr>
      <w:bookmarkStart w:id="140" w:name="_Ref25437"/>
      <w:r>
        <w:rPr>
          <w:rFonts w:hint="default"/>
          <w:lang w:val="en-US" w:eastAsia="zh-CN"/>
        </w:rPr>
        <w:t>张宝友,杨玉香,孟丽君.物流服务质量评价模型与方法研究综述[J].中国流通经济,2021,35(02):49-60.DOI:10.14089/j.cnki.cn11-3664/f.2021.02.005.</w:t>
      </w:r>
      <w:bookmarkEnd w:id="140"/>
    </w:p>
    <w:p>
      <w:pPr>
        <w:pageBreakBefore w:val="0"/>
        <w:numPr>
          <w:ilvl w:val="0"/>
          <w:numId w:val="9"/>
        </w:numPr>
        <w:wordWrap/>
        <w:overflowPunct/>
        <w:topLinePunct w:val="0"/>
        <w:bidi w:val="0"/>
        <w:adjustRightInd/>
        <w:spacing w:beforeAutospacing="0" w:afterAutospacing="0" w:line="240" w:lineRule="auto"/>
        <w:rPr>
          <w:rFonts w:hint="default"/>
          <w:lang w:val="en-US" w:eastAsia="zh-CN"/>
        </w:rPr>
      </w:pPr>
      <w:bookmarkStart w:id="141" w:name="_Ref25489"/>
      <w:r>
        <w:rPr>
          <w:rFonts w:hint="default"/>
          <w:lang w:val="en-US" w:eastAsia="zh-CN"/>
        </w:rPr>
        <w:t>谢幼如,常亚洁.绩效导向的教育信息化评价模型的构建[J].中国电化教育,2015(01):56-61+92.</w:t>
      </w:r>
      <w:bookmarkEnd w:id="141"/>
    </w:p>
    <w:p>
      <w:pPr>
        <w:pageBreakBefore w:val="0"/>
        <w:numPr>
          <w:ilvl w:val="0"/>
          <w:numId w:val="9"/>
        </w:numPr>
        <w:wordWrap/>
        <w:overflowPunct/>
        <w:topLinePunct w:val="0"/>
        <w:bidi w:val="0"/>
        <w:adjustRightInd/>
        <w:spacing w:beforeAutospacing="0" w:afterAutospacing="0" w:line="240" w:lineRule="auto"/>
        <w:rPr>
          <w:rFonts w:hint="default"/>
          <w:lang w:val="en-US" w:eastAsia="zh-CN"/>
        </w:rPr>
      </w:pPr>
      <w:bookmarkStart w:id="142" w:name="_Ref25528"/>
      <w:r>
        <w:rPr>
          <w:rFonts w:hint="default"/>
          <w:lang w:val="en-US" w:eastAsia="zh-CN"/>
        </w:rPr>
        <w:t>刘晋,程彦斌,齐东川等.基于支持向量机的化工工艺安全评价模型构建及优化研究[J].中国安全生产科学技术,2022,18(12):154-161.</w:t>
      </w:r>
      <w:bookmarkEnd w:id="142"/>
    </w:p>
    <w:p>
      <w:pPr>
        <w:pageBreakBefore w:val="0"/>
        <w:wordWrap/>
        <w:overflowPunct/>
        <w:topLinePunct w:val="0"/>
        <w:bidi w:val="0"/>
        <w:adjustRightInd/>
        <w:spacing w:beforeAutospacing="0" w:afterAutospacing="0" w:line="240" w:lineRule="auto"/>
        <w:rPr>
          <w:rFonts w:hint="default"/>
          <w:lang w:val="en-US" w:eastAsia="zh-CN"/>
        </w:rPr>
      </w:pPr>
    </w:p>
    <w:p>
      <w:pPr>
        <w:pStyle w:val="3"/>
        <w:numPr>
          <w:ilvl w:val="0"/>
          <w:numId w:val="4"/>
        </w:numPr>
        <w:bidi w:val="0"/>
        <w:outlineLvl w:val="1"/>
        <w:rPr>
          <w:rFonts w:hint="default"/>
          <w:lang w:val="en-US" w:eastAsia="zh-CN"/>
        </w:rPr>
      </w:pPr>
      <w:bookmarkStart w:id="143" w:name="_Toc31282"/>
      <w:bookmarkStart w:id="144" w:name="_Toc25564"/>
      <w:bookmarkStart w:id="145" w:name="_Toc22465"/>
      <w:r>
        <w:rPr>
          <w:rFonts w:hint="eastAsia"/>
          <w:lang w:val="en-US" w:eastAsia="zh-CN"/>
        </w:rPr>
        <w:t>附录</w:t>
      </w:r>
      <w:bookmarkEnd w:id="143"/>
      <w:bookmarkEnd w:id="144"/>
      <w:bookmarkEnd w:id="145"/>
    </w:p>
    <w:p>
      <w:pPr>
        <w:pStyle w:val="9"/>
        <w:jc w:val="both"/>
        <w:rPr>
          <w:rFonts w:hint="eastAsia" w:ascii="微软雅黑" w:hAnsi="微软雅黑" w:eastAsia="微软雅黑" w:cs="微软雅黑"/>
          <w:i w:val="0"/>
          <w:iCs w:val="0"/>
          <w:caps w:val="0"/>
          <w:color w:val="2D77E5"/>
          <w:spacing w:val="0"/>
          <w:sz w:val="16"/>
          <w:szCs w:val="16"/>
        </w:rPr>
      </w:pPr>
    </w:p>
    <w:p/>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8157FF3F-C1C3-4208-99EE-E080B0A9BEDD}"/>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A81826A2-506A-43DD-8251-99E80891C582}"/>
  </w:font>
  <w:font w:name="华文中宋">
    <w:panose1 w:val="02010600040101010101"/>
    <w:charset w:val="86"/>
    <w:family w:val="auto"/>
    <w:pitch w:val="default"/>
    <w:sig w:usb0="00000287" w:usb1="080F0000" w:usb2="00000000" w:usb3="00000000" w:csb0="0004009F" w:csb1="DFD70000"/>
    <w:embedRegular r:id="rId3" w:fontKey="{CB42070B-5BB3-4CB0-978D-16F53239167A}"/>
  </w:font>
  <w:font w:name="仿宋_GB2312">
    <w:altName w:val="仿宋"/>
    <w:panose1 w:val="02010609030101010101"/>
    <w:charset w:val="86"/>
    <w:family w:val="modern"/>
    <w:pitch w:val="default"/>
    <w:sig w:usb0="00000000" w:usb1="00000000" w:usb2="00000010" w:usb3="00000000" w:csb0="00040000" w:csb1="00000000"/>
    <w:embedRegular r:id="rId4" w:fontKey="{35E7676F-E89F-4E31-B327-0C79C8290BA7}"/>
  </w:font>
  <w:font w:name="仿宋">
    <w:panose1 w:val="02010609060101010101"/>
    <w:charset w:val="86"/>
    <w:family w:val="auto"/>
    <w:pitch w:val="default"/>
    <w:sig w:usb0="800002BF" w:usb1="38CF7CFA" w:usb2="00000016" w:usb3="00000000" w:csb0="00040001" w:csb1="00000000"/>
    <w:embedRegular r:id="rId5" w:fontKey="{75847E7A-3BBF-4A84-9FBF-127D387A552E}"/>
  </w:font>
  <w:font w:name="微软雅黑">
    <w:panose1 w:val="020B0503020204020204"/>
    <w:charset w:val="86"/>
    <w:family w:val="auto"/>
    <w:pitch w:val="default"/>
    <w:sig w:usb0="80000287" w:usb1="2ACF3C50" w:usb2="00000016" w:usb3="00000000" w:csb0="0004001F" w:csb1="00000000"/>
    <w:embedRegular r:id="rId6" w:fontKey="{A1684598-63FE-488A-A726-D613E3C3C599}"/>
  </w:font>
  <w:font w:name="Georgia">
    <w:panose1 w:val="02040502050405020303"/>
    <w:charset w:val="00"/>
    <w:family w:val="auto"/>
    <w:pitch w:val="default"/>
    <w:sig w:usb0="00000287" w:usb1="00000000" w:usb2="00000000" w:usb3="00000000" w:csb0="2000009F" w:csb1="00000000"/>
    <w:embedRegular r:id="rId7" w:fontKey="{F33583D2-2DF5-4D18-8966-23CA4871F414}"/>
  </w:font>
  <w:font w:name="Cambria Math">
    <w:panose1 w:val="02040503050406030204"/>
    <w:charset w:val="00"/>
    <w:family w:val="auto"/>
    <w:pitch w:val="default"/>
    <w:sig w:usb0="E00006FF" w:usb1="420024FF" w:usb2="02000000" w:usb3="00000000" w:csb0="2000019F" w:csb1="00000000"/>
    <w:embedRegular r:id="rId8" w:fontKey="{0D142804-A3D7-4758-B62D-3BA6F0059D24}"/>
  </w:font>
  <w:font w:name="方正楷体简体">
    <w:panose1 w:val="02000000000000000000"/>
    <w:charset w:val="86"/>
    <w:family w:val="auto"/>
    <w:pitch w:val="default"/>
    <w:sig w:usb0="A00002BF" w:usb1="184F6CFA" w:usb2="00000012" w:usb3="00000000" w:csb0="00040001" w:csb1="00000000"/>
    <w:embedRegular r:id="rId9" w:fontKey="{69A2EB77-B7F4-4A50-B13E-90A5CCD98285}"/>
  </w:font>
  <w:font w:name="汉标粗黑体">
    <w:panose1 w:val="02010601030101010101"/>
    <w:charset w:val="86"/>
    <w:family w:val="auto"/>
    <w:pitch w:val="default"/>
    <w:sig w:usb0="00000001"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200247B" w:usb2="00000009" w:usb3="00000000" w:csb0="200001FF" w:csb1="00000000"/>
  </w:font>
  <w:font w:name="MS Mincho">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rPr>
    </w:pPr>
    <w:r>
      <w:rPr>
        <w:rFonts w:hint="eastAsia"/>
        <w:lang w:val="en-US" w:eastAsia="zh-CN"/>
      </w:rPr>
      <w:t>论</w:t>
    </w:r>
    <w:r>
      <w:rPr>
        <w:rFonts w:hint="eastAsia"/>
      </w:rPr>
      <w:t>文写作过程中遗留数个致命问题，无关代码，该问题解决方式仅在官网授权售后群答疑，盗卖方式购买资料不提供答疑，感谢理解</w:t>
    </w:r>
  </w:p>
  <w:p>
    <w:pPr>
      <w:pStyle w:val="9"/>
    </w:pPr>
    <w:r>
      <w:rPr>
        <w:rFonts w:hint="eastAsia"/>
      </w:rPr>
      <w:t xml:space="preserve"> 资料助攻购买链接+说明https://docs.qq.com/doc/p/88456ad269539fdd2e3da75b1e53defa66b5c3da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rPr>
    </w:pPr>
    <w:r>
      <w:rPr>
        <w:rFonts w:hint="eastAsia"/>
      </w:rPr>
      <w:t>相关资料 可以加群 或 关注 公众号 BZD数模社</w:t>
    </w:r>
  </w:p>
  <w:p>
    <w:pPr>
      <w:pStyle w:val="10"/>
      <w:jc w:val="center"/>
      <w:rPr>
        <w:rFonts w:hint="eastAsia"/>
      </w:rPr>
    </w:pPr>
    <w:r>
      <w:rPr>
        <w:rFonts w:hint="eastAsia"/>
      </w:rPr>
      <w:t>数模交流群1群：689964173  数模交流群2群：275032074</w:t>
    </w:r>
  </w:p>
  <w:p>
    <w:pPr>
      <w:pStyle w:val="10"/>
      <w:jc w:val="center"/>
    </w:pPr>
    <w:r>
      <w:rPr>
        <w:rFonts w:hint="eastAsia"/>
      </w:rPr>
      <w:t>助攻资料通知群: 928949323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93AC0D"/>
    <w:multiLevelType w:val="singleLevel"/>
    <w:tmpl w:val="C693AC0D"/>
    <w:lvl w:ilvl="0" w:tentative="0">
      <w:start w:val="7"/>
      <w:numFmt w:val="decimal"/>
      <w:suff w:val="nothing"/>
      <w:lvlText w:val="%1．"/>
      <w:lvlJc w:val="left"/>
    </w:lvl>
  </w:abstractNum>
  <w:abstractNum w:abstractNumId="1">
    <w:nsid w:val="CBDE9C10"/>
    <w:multiLevelType w:val="singleLevel"/>
    <w:tmpl w:val="CBDE9C10"/>
    <w:lvl w:ilvl="0" w:tentative="0">
      <w:start w:val="1"/>
      <w:numFmt w:val="chineseCounting"/>
      <w:suff w:val="nothing"/>
      <w:lvlText w:val="%1、"/>
      <w:lvlJc w:val="left"/>
      <w:rPr>
        <w:rFonts w:hint="eastAsia"/>
      </w:rPr>
    </w:lvl>
  </w:abstractNum>
  <w:abstractNum w:abstractNumId="2">
    <w:nsid w:val="ED71892A"/>
    <w:multiLevelType w:val="singleLevel"/>
    <w:tmpl w:val="ED71892A"/>
    <w:lvl w:ilvl="0" w:tentative="0">
      <w:start w:val="1"/>
      <w:numFmt w:val="decimal"/>
      <w:lvlText w:val="[%1]"/>
      <w:lvlJc w:val="left"/>
      <w:pPr>
        <w:tabs>
          <w:tab w:val="left" w:pos="312"/>
        </w:tabs>
      </w:pPr>
    </w:lvl>
  </w:abstractNum>
  <w:abstractNum w:abstractNumId="3">
    <w:nsid w:val="1CD1C491"/>
    <w:multiLevelType w:val="singleLevel"/>
    <w:tmpl w:val="1CD1C491"/>
    <w:lvl w:ilvl="0" w:tentative="0">
      <w:start w:val="4"/>
      <w:numFmt w:val="decimal"/>
      <w:lvlText w:val="%1."/>
      <w:lvlJc w:val="left"/>
      <w:pPr>
        <w:tabs>
          <w:tab w:val="left" w:pos="312"/>
        </w:tabs>
      </w:pPr>
    </w:lvl>
  </w:abstractNum>
  <w:abstractNum w:abstractNumId="4">
    <w:nsid w:val="28DAB447"/>
    <w:multiLevelType w:val="singleLevel"/>
    <w:tmpl w:val="28DAB447"/>
    <w:lvl w:ilvl="0" w:tentative="0">
      <w:start w:val="1"/>
      <w:numFmt w:val="decimal"/>
      <w:suff w:val="nothing"/>
      <w:lvlText w:val="%1、"/>
      <w:lvlJc w:val="left"/>
      <w:pPr>
        <w:ind w:left="-82"/>
      </w:pPr>
    </w:lvl>
  </w:abstractNum>
  <w:abstractNum w:abstractNumId="5">
    <w:nsid w:val="68A8EB38"/>
    <w:multiLevelType w:val="singleLevel"/>
    <w:tmpl w:val="68A8EB38"/>
    <w:lvl w:ilvl="0" w:tentative="0">
      <w:start w:val="1"/>
      <w:numFmt w:val="decimal"/>
      <w:suff w:val="nothing"/>
      <w:lvlText w:val="%1、"/>
      <w:lvlJc w:val="left"/>
      <w:pPr>
        <w:ind w:left="158"/>
      </w:pPr>
    </w:lvl>
  </w:abstractNum>
  <w:abstractNum w:abstractNumId="6">
    <w:nsid w:val="6E10CF9A"/>
    <w:multiLevelType w:val="singleLevel"/>
    <w:tmpl w:val="6E10CF9A"/>
    <w:lvl w:ilvl="0" w:tentative="0">
      <w:start w:val="1"/>
      <w:numFmt w:val="decimal"/>
      <w:suff w:val="nothing"/>
      <w:lvlText w:val="%1、"/>
      <w:lvlJc w:val="left"/>
    </w:lvl>
  </w:abstractNum>
  <w:abstractNum w:abstractNumId="7">
    <w:nsid w:val="7AC09568"/>
    <w:multiLevelType w:val="multilevel"/>
    <w:tmpl w:val="7AC0956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7D9CFF3C"/>
    <w:multiLevelType w:val="singleLevel"/>
    <w:tmpl w:val="7D9CFF3C"/>
    <w:lvl w:ilvl="0" w:tentative="0">
      <w:start w:val="1"/>
      <w:numFmt w:val="decimal"/>
      <w:suff w:val="nothing"/>
      <w:lvlText w:val="%1、"/>
      <w:lvlJc w:val="left"/>
    </w:lvl>
  </w:abstractNum>
  <w:num w:numId="1">
    <w:abstractNumId w:val="5"/>
  </w:num>
  <w:num w:numId="2">
    <w:abstractNumId w:val="4"/>
  </w:num>
  <w:num w:numId="3">
    <w:abstractNumId w:val="8"/>
  </w:num>
  <w:num w:numId="4">
    <w:abstractNumId w:val="1"/>
  </w:num>
  <w:num w:numId="5">
    <w:abstractNumId w:val="7"/>
  </w:num>
  <w:num w:numId="6">
    <w:abstractNumId w:val="6"/>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NkMDY5MTk4ZTI2MzA1YmIyYjM5NGMxMDRjZTg3NjQifQ=="/>
    <w:docVar w:name="KSO_WPS_MARK_KEY" w:val="fc5f5d58-a6a1-4764-a3a0-8ec19211922f"/>
  </w:docVars>
  <w:rsids>
    <w:rsidRoot w:val="2B043B80"/>
    <w:rsid w:val="04E95B84"/>
    <w:rsid w:val="10625ADB"/>
    <w:rsid w:val="1E1A0DE2"/>
    <w:rsid w:val="28146898"/>
    <w:rsid w:val="2B043B80"/>
    <w:rsid w:val="2EA80019"/>
    <w:rsid w:val="33995ADE"/>
    <w:rsid w:val="4C6879CF"/>
    <w:rsid w:val="5FCD6FB6"/>
    <w:rsid w:val="6EBA1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ind w:firstLine="562" w:firstLineChars="200"/>
      <w:jc w:val="both"/>
    </w:pPr>
    <w:rPr>
      <w:rFonts w:ascii="Times New Roman" w:hAnsi="Times New Roman" w:eastAsia="宋体" w:cs="Times New Roman"/>
      <w:kern w:val="2"/>
      <w:sz w:val="24"/>
      <w:szCs w:val="24"/>
      <w:lang w:val="en-US" w:eastAsia="zh-CN" w:bidi="ar-SA"/>
    </w:rPr>
  </w:style>
  <w:style w:type="paragraph" w:styleId="3">
    <w:name w:val="heading 1"/>
    <w:basedOn w:val="1"/>
    <w:next w:val="1"/>
    <w:qFormat/>
    <w:uiPriority w:val="0"/>
    <w:pPr>
      <w:keepNext/>
      <w:keepLines/>
      <w:spacing w:beforeLines="0" w:beforeAutospacing="0" w:afterLines="0" w:afterAutospacing="0" w:line="576" w:lineRule="auto"/>
      <w:ind w:firstLine="0" w:firstLineChars="0"/>
      <w:outlineLvl w:val="0"/>
    </w:pPr>
    <w:rPr>
      <w:b/>
      <w:kern w:val="44"/>
      <w:sz w:val="44"/>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link w:val="26"/>
    <w:unhideWhenUsed/>
    <w:qFormat/>
    <w:uiPriority w:val="0"/>
    <w:pPr>
      <w:keepNext/>
      <w:keepLines/>
      <w:spacing w:before="140" w:beforeLines="0" w:beforeAutospacing="0" w:after="140" w:afterLines="0" w:afterAutospacing="0" w:line="240" w:lineRule="auto"/>
      <w:outlineLvl w:val="2"/>
    </w:pPr>
    <w:rPr>
      <w:rFonts w:ascii="Calibri" w:hAnsi="Calibri" w:eastAsia="黑体" w:cs="Times New Roman"/>
      <w:sz w:val="24"/>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8">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spacing w:after="120" w:afterLines="0" w:afterAutospacing="0"/>
    </w:pPr>
  </w:style>
  <w:style w:type="paragraph" w:styleId="7">
    <w:name w:val="Body Text Indent"/>
    <w:basedOn w:val="1"/>
    <w:qFormat/>
    <w:uiPriority w:val="0"/>
    <w:pPr>
      <w:spacing w:after="120"/>
      <w:ind w:left="420" w:leftChars="200"/>
    </w:pPr>
  </w:style>
  <w:style w:type="paragraph" w:styleId="8">
    <w:name w:val="toc 3"/>
    <w:basedOn w:val="1"/>
    <w:next w:val="1"/>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5">
    <w:name w:val="Body Text First Indent 2"/>
    <w:basedOn w:val="7"/>
    <w:next w:val="1"/>
    <w:qFormat/>
    <w:uiPriority w:val="99"/>
    <w:pPr>
      <w:widowControl/>
      <w:kinsoku w:val="0"/>
      <w:autoSpaceDE w:val="0"/>
      <w:autoSpaceDN w:val="0"/>
      <w:adjustRightInd/>
      <w:snapToGrid w:val="0"/>
      <w:ind w:firstLine="0" w:firstLineChars="0"/>
      <w:jc w:val="left"/>
      <w:textAlignment w:val="baseline"/>
    </w:pPr>
    <w:rPr>
      <w:rFonts w:ascii="Times New Roman" w:hAnsi="Times New Roman" w:eastAsia="宋体" w:cs="Arial"/>
      <w:snapToGrid w:val="0"/>
      <w:color w:val="000000"/>
      <w:kern w:val="0"/>
      <w:szCs w:val="21"/>
      <w:lang w:eastAsia="en-U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Hyperlink"/>
    <w:basedOn w:val="18"/>
    <w:qFormat/>
    <w:uiPriority w:val="0"/>
    <w:rPr>
      <w:color w:val="0000FF"/>
      <w:u w:val="single"/>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character" w:customStyle="1" w:styleId="24">
    <w:name w:val="font31"/>
    <w:basedOn w:val="18"/>
    <w:qFormat/>
    <w:uiPriority w:val="0"/>
    <w:rPr>
      <w:rFonts w:hint="eastAsia" w:ascii="宋体" w:hAnsi="宋体" w:eastAsia="宋体" w:cs="宋体"/>
      <w:b/>
      <w:bCs/>
      <w:color w:val="FFFFFF"/>
      <w:sz w:val="18"/>
      <w:szCs w:val="18"/>
      <w:u w:val="none"/>
    </w:rPr>
  </w:style>
  <w:style w:type="character" w:customStyle="1" w:styleId="25">
    <w:name w:val="font21"/>
    <w:basedOn w:val="18"/>
    <w:qFormat/>
    <w:uiPriority w:val="0"/>
    <w:rPr>
      <w:rFonts w:ascii="Arial" w:hAnsi="Arial" w:cs="Arial"/>
      <w:color w:val="34495E"/>
      <w:sz w:val="16"/>
      <w:szCs w:val="16"/>
      <w:u w:val="none"/>
    </w:rPr>
  </w:style>
  <w:style w:type="character" w:customStyle="1" w:styleId="26">
    <w:name w:val="标题 3 Char"/>
    <w:link w:val="5"/>
    <w:qFormat/>
    <w:uiPriority w:val="0"/>
    <w:rPr>
      <w:rFonts w:ascii="Calibri" w:hAnsi="Calibri" w:eastAsia="黑体" w:cs="Times New Roman"/>
      <w:sz w:val="24"/>
    </w:rPr>
  </w:style>
  <w:style w:type="table" w:customStyle="1" w:styleId="27">
    <w:name w:val="Normal Grid"/>
    <w:basedOn w:val="16"/>
    <w:uiPriority w:val="39"/>
    <w:pPr>
      <w:spacing w:after="0" w:line="240" w:lineRule="auto"/>
    </w:pPr>
    <w:tblPr>
      <w:tblCellMar>
        <w:top w:w="80" w:type="dxa"/>
        <w:left w:w="160" w:type="dxa"/>
        <w:bottom w:w="80" w:type="dxa"/>
        <w:right w:w="16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emf"/><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23936</Words>
  <Characters>28848</Characters>
  <Lines>0</Lines>
  <Paragraphs>0</Paragraphs>
  <TotalTime>2</TotalTime>
  <ScaleCrop>false</ScaleCrop>
  <LinksUpToDate>false</LinksUpToDate>
  <CharactersWithSpaces>32344</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2025-04-17T09:53:00Z</dcterms:created>
  <dc:creator>热心的网友李先生</dc:creator>
  <cp:lastModifiedBy>热心的网友李先生</cp:lastModifiedBy>
  <dcterms:modified xsi:type="dcterms:W3CDTF">2025-04-18T22:20:26Z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47581F0552774A26BCB822496E00B1FA</vt:lpwstr>
  </property>
</Properties>
</file>