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645" w:lineRule="exact" w:after="42"/>
      </w:pPr>
      <w:r>
        <w:rPr/>
        <w:t>2025 年第十五届MathorCup 数学应用挑战赛</w:t>
      </w:r>
    </w:p>
    <w:p>
      <w:pPr>
        <w:pStyle w:val="BodyText"/>
        <w:spacing w:line="90" w:lineRule="exact"/>
        <w:ind w:left="-197" w:right="-44"/>
        <w:rPr>
          <w:rFonts w:ascii="微软雅黑"/>
          <w:sz w:val="9"/>
        </w:rPr>
      </w:pPr>
      <w:r>
        <w:rPr>
          <w:rFonts w:ascii="微软雅黑"/>
          <w:position w:val="-1"/>
          <w:sz w:val="9"/>
        </w:rPr>
        <w:pict>
          <v:group style="width:448.15pt;height:4.5pt;mso-position-horizontal-relative:char;mso-position-vertical-relative:line" coordorigin="0,0" coordsize="8963,90">
            <v:line style="position:absolute" from="0,9" to="8963,9" stroked="true" strokeweight=".9pt" strokecolor="#000000">
              <v:stroke dashstyle="solid"/>
            </v:line>
            <v:line style="position:absolute" from="0,63" to="8963,63" stroked="true" strokeweight="2.7pt" strokecolor="#000000">
              <v:stroke dashstyle="solid"/>
            </v:line>
          </v:group>
        </w:pict>
      </w:r>
      <w:r>
        <w:rPr>
          <w:rFonts w:ascii="微软雅黑"/>
          <w:position w:val="-1"/>
          <w:sz w:val="9"/>
        </w:rPr>
      </w:r>
    </w:p>
    <w:p>
      <w:pPr>
        <w:spacing w:before="140"/>
        <w:ind w:left="54" w:right="331" w:firstLine="0"/>
        <w:jc w:val="center"/>
        <w:rPr>
          <w:rFonts w:ascii="微软雅黑" w:eastAsia="微软雅黑" w:hint="eastAsia"/>
          <w:sz w:val="36"/>
        </w:rPr>
      </w:pPr>
      <w:bookmarkStart w:name="B题：音智策引迁程，老城焕新颜" w:id="1"/>
      <w:bookmarkEnd w:id="1"/>
      <w:r>
        <w:rPr/>
      </w:r>
      <w:r>
        <w:rPr>
          <w:rFonts w:ascii="Times New Roman" w:eastAsia="Times New Roman"/>
          <w:sz w:val="36"/>
        </w:rPr>
        <w:t>B </w:t>
      </w:r>
      <w:r>
        <w:rPr>
          <w:rFonts w:ascii="微软雅黑" w:eastAsia="微软雅黑" w:hint="eastAsia"/>
          <w:sz w:val="36"/>
        </w:rPr>
        <w:t>题：音智策引迁程，老城焕新颜</w:t>
      </w:r>
    </w:p>
    <w:p>
      <w:pPr>
        <w:pStyle w:val="BodyText"/>
        <w:spacing w:before="11"/>
        <w:ind w:left="0"/>
        <w:rPr>
          <w:rFonts w:ascii="微软雅黑"/>
          <w:sz w:val="31"/>
        </w:rPr>
      </w:pPr>
    </w:p>
    <w:p>
      <w:pPr>
        <w:pStyle w:val="Heading2"/>
      </w:pPr>
      <w:r>
        <w:rPr/>
        <w:t>一、老城街区“平移置换”搬迁新况</w:t>
      </w:r>
    </w:p>
    <w:p>
      <w:pPr>
        <w:pStyle w:val="BodyText"/>
        <w:spacing w:before="11"/>
        <w:ind w:left="0"/>
        <w:rPr>
          <w:b/>
          <w:sz w:val="32"/>
        </w:rPr>
      </w:pPr>
    </w:p>
    <w:p>
      <w:pPr>
        <w:pStyle w:val="BodyText"/>
        <w:ind w:left="679"/>
      </w:pPr>
      <w:r>
        <w:rPr>
          <w:rFonts w:ascii="Times New Roman" w:eastAsia="Times New Roman"/>
        </w:rPr>
        <w:t>2020 </w:t>
      </w:r>
      <w:r>
        <w:rPr/>
        <w:t>年我国城镇化率达到 </w:t>
      </w:r>
      <w:r>
        <w:rPr>
          <w:rFonts w:ascii="Times New Roman" w:eastAsia="Times New Roman"/>
        </w:rPr>
        <w:t>63.89%</w:t>
      </w:r>
      <w:r>
        <w:rPr/>
        <w:t>，城镇化建设全面进入提质增</w:t>
      </w:r>
    </w:p>
    <w:p>
      <w:pPr>
        <w:pStyle w:val="BodyText"/>
        <w:spacing w:line="417" w:lineRule="auto" w:before="265"/>
        <w:ind w:right="303"/>
      </w:pPr>
      <w:r>
        <w:rPr/>
        <w:t>效的存量更新阶段。</w:t>
      </w:r>
      <w:r>
        <w:rPr>
          <w:rFonts w:ascii="Times New Roman" w:hAnsi="Times New Roman" w:eastAsia="Times New Roman"/>
        </w:rPr>
        <w:t>2025 </w:t>
      </w:r>
      <w:r>
        <w:rPr>
          <w:spacing w:val="-29"/>
        </w:rPr>
        <w:t>年 </w:t>
      </w:r>
      <w:r>
        <w:rPr>
          <w:rFonts w:ascii="Times New Roman" w:hAnsi="Times New Roman" w:eastAsia="Times New Roman"/>
        </w:rPr>
        <w:t>1 </w:t>
      </w:r>
      <w:r>
        <w:rPr>
          <w:spacing w:val="-29"/>
        </w:rPr>
        <w:t>月 </w:t>
      </w:r>
      <w:r>
        <w:rPr>
          <w:rFonts w:ascii="Times New Roman" w:hAnsi="Times New Roman" w:eastAsia="Times New Roman"/>
        </w:rPr>
        <w:t>3 </w:t>
      </w:r>
      <w:r>
        <w:rPr/>
        <w:t>日，国务院召开常务会议研究推</w:t>
      </w:r>
      <w:r>
        <w:rPr>
          <w:spacing w:val="-3"/>
        </w:rPr>
        <w:t>进城市更新工作，提出“城市更新关系城市面貌和居住品质的提升， </w:t>
      </w:r>
      <w:r>
        <w:rPr>
          <w:spacing w:val="-12"/>
          <w:w w:val="100"/>
        </w:rPr>
        <w:t>是扩大内需的重要抓手”，并要求加快推进城镇老旧小区、街区、厂</w:t>
      </w:r>
      <w:r>
        <w:rPr>
          <w:spacing w:val="-5"/>
        </w:rPr>
        <w:t>区和城中村等改造，保护和传承城市历史文化。</w:t>
      </w:r>
    </w:p>
    <w:p>
      <w:pPr>
        <w:pStyle w:val="BodyText"/>
        <w:spacing w:line="417" w:lineRule="auto" w:before="155"/>
        <w:ind w:right="303" w:firstLine="559"/>
      </w:pPr>
      <w:r>
        <w:rPr>
          <w:spacing w:val="-8"/>
        </w:rPr>
        <w:t>城镇老旧小区多指“老城存量平房街区”。特大城市和大城市在</w:t>
      </w:r>
      <w:r>
        <w:rPr>
          <w:spacing w:val="-3"/>
        </w:rPr>
        <w:t>经历快速发展历程后，其老城存量平房街区空间往往建筑产权多样、</w:t>
      </w:r>
      <w:r>
        <w:rPr>
          <w:spacing w:val="-11"/>
        </w:rPr>
        <w:t>主体复杂，还涉及历史保护、居民社区治理等议题。近年来老城平房街区的更新实践往往是“一事一议”的渐进式、针灸式更新工作，但</w:t>
      </w:r>
      <w:r>
        <w:rPr>
          <w:spacing w:val="-5"/>
        </w:rPr>
        <w:t>当前这些空间的再利用并不尽如人意，产生出新的困难与挑战。</w:t>
      </w:r>
    </w:p>
    <w:p>
      <w:pPr>
        <w:pStyle w:val="BodyText"/>
        <w:spacing w:line="417" w:lineRule="auto" w:before="155"/>
        <w:ind w:right="258" w:firstLine="559"/>
      </w:pPr>
      <w:r>
        <w:rPr>
          <w:spacing w:val="-11"/>
        </w:rPr>
        <w:t>具体而言，受中国传统合院式建筑文化影响，当前老城存量平房</w:t>
      </w:r>
      <w:r>
        <w:rPr>
          <w:spacing w:val="-9"/>
        </w:rPr>
        <w:t>街区往往以“四合院”为一个整体单位</w:t>
      </w:r>
      <w:r>
        <w:rPr>
          <w:spacing w:val="-3"/>
        </w:rPr>
        <w:t>（</w:t>
      </w:r>
      <w:r>
        <w:rPr>
          <w:spacing w:val="-48"/>
        </w:rPr>
        <w:t>又称“宅院”、“院落”、“院</w:t>
      </w:r>
      <w:r>
        <w:rPr>
          <w:spacing w:val="-1"/>
          <w:w w:val="100"/>
        </w:rPr>
        <w:t>子</w:t>
      </w:r>
      <w:r>
        <w:rPr>
          <w:spacing w:val="-142"/>
          <w:w w:val="100"/>
        </w:rPr>
        <w:t>”）</w:t>
      </w:r>
      <w:r>
        <w:rPr>
          <w:spacing w:val="-2"/>
          <w:w w:val="100"/>
        </w:rPr>
        <w:t>，如图</w:t>
      </w:r>
      <w:r>
        <w:rPr>
          <w:spacing w:val="-71"/>
        </w:rPr>
        <w:t> </w:t>
      </w:r>
      <w:r>
        <w:rPr>
          <w:rFonts w:ascii="Times New Roman" w:hAnsi="Times New Roman" w:eastAsia="Times New Roman"/>
          <w:spacing w:val="-4"/>
          <w:w w:val="100"/>
        </w:rPr>
        <w:t>1</w:t>
      </w:r>
      <w:r>
        <w:rPr>
          <w:spacing w:val="-1"/>
          <w:w w:val="100"/>
        </w:rPr>
        <w:t>（</w:t>
      </w:r>
      <w:r>
        <w:rPr>
          <w:rFonts w:ascii="Times New Roman" w:hAnsi="Times New Roman" w:eastAsia="Times New Roman"/>
          <w:spacing w:val="-2"/>
          <w:w w:val="100"/>
        </w:rPr>
        <w:t>1</w:t>
      </w:r>
      <w:r>
        <w:rPr>
          <w:spacing w:val="-5"/>
          <w:w w:val="100"/>
        </w:rPr>
        <w:t>）所示，主要分为南房、北房、东厢房、西厢房等。</w:t>
      </w:r>
      <w:r>
        <w:rPr>
          <w:spacing w:val="-10"/>
        </w:rPr>
        <w:t>在一事一议之下，目前居民搬迁已腾退出许多院落，可是在不少院落</w:t>
      </w:r>
      <w:r>
        <w:rPr>
          <w:spacing w:val="-11"/>
        </w:rPr>
        <w:t>中，仍有居民不愿意接受“搬离老城、居民上楼”或者金额补偿，更愿意生活在本地，于是出现居民居住</w:t>
      </w:r>
      <w:r>
        <w:rPr>
          <w:rFonts w:ascii="Times New Roman" w:hAnsi="Times New Roman" w:eastAsia="Times New Roman"/>
          <w:spacing w:val="-11"/>
        </w:rPr>
        <w:t>+</w:t>
      </w:r>
      <w:r>
        <w:rPr>
          <w:spacing w:val="-11"/>
        </w:rPr>
        <w:t>腾空房屋共存一个院落的“共</w:t>
      </w:r>
      <w:r>
        <w:rPr>
          <w:spacing w:val="-8"/>
        </w:rPr>
        <w:t>生”现象。如图 </w:t>
      </w:r>
      <w:r>
        <w:rPr>
          <w:rFonts w:ascii="Times New Roman" w:hAnsi="Times New Roman" w:eastAsia="Times New Roman"/>
          <w:spacing w:val="3"/>
        </w:rPr>
        <w:t>1</w:t>
      </w:r>
      <w:r>
        <w:rPr>
          <w:spacing w:val="3"/>
        </w:rPr>
        <w:t>（</w:t>
      </w:r>
      <w:r>
        <w:rPr>
          <w:rFonts w:ascii="Times New Roman" w:hAnsi="Times New Roman" w:eastAsia="Times New Roman"/>
          <w:spacing w:val="3"/>
        </w:rPr>
        <w:t>2</w:t>
      </w:r>
      <w:r>
        <w:rPr>
          <w:spacing w:val="3"/>
        </w:rPr>
        <w:t>）</w:t>
      </w:r>
      <w:r>
        <w:rPr/>
        <w:t>所示，其中黑色框线所围出的区域是一个院</w:t>
      </w:r>
    </w:p>
    <w:p>
      <w:pPr>
        <w:spacing w:after="0" w:line="417" w:lineRule="auto"/>
        <w:sectPr>
          <w:type w:val="continuous"/>
          <w:pgSz w:w="11910" w:h="16840"/>
          <w:pgMar w:top="1420" w:bottom="280" w:left="1680" w:right="1400"/>
        </w:sectPr>
      </w:pPr>
    </w:p>
    <w:p>
      <w:pPr>
        <w:pStyle w:val="BodyText"/>
        <w:spacing w:line="417" w:lineRule="auto" w:before="55"/>
        <w:ind w:right="303"/>
      </w:pPr>
      <w:r>
        <w:rPr/>
        <w:pict>
          <v:group style="position:absolute;margin-left:97.080002pt;margin-top:161.420029pt;width:226.7pt;height:153pt;mso-position-horizontal-relative:page;mso-position-vertical-relative:paragraph;z-index:-251653120;mso-wrap-distance-left:0;mso-wrap-distance-right:0" coordorigin="1942,3228" coordsize="4534,3060">
            <v:shape style="position:absolute;left:1941;top:3228;width:4534;height:3060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524;top:3349;width:50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b/>
                        <w:sz w:val="24"/>
                      </w:rPr>
                      <w:t>北房</w:t>
                    </w:r>
                  </w:p>
                </w:txbxContent>
              </v:textbox>
              <w10:wrap type="none"/>
            </v:shape>
            <v:shape style="position:absolute;left:4960;top:3831;width:50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b/>
                        <w:sz w:val="24"/>
                      </w:rPr>
                      <w:t>东厢</w:t>
                    </w:r>
                  </w:p>
                </w:txbxContent>
              </v:textbox>
              <w10:wrap type="none"/>
            </v:shape>
            <v:shape style="position:absolute;left:2630;top:5063;width:50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b/>
                        <w:sz w:val="24"/>
                      </w:rPr>
                      <w:t>西厢</w:t>
                    </w:r>
                  </w:p>
                </w:txbxContent>
              </v:textbox>
              <w10:wrap type="none"/>
            </v:shape>
            <v:shape style="position:absolute;left:5421;top:5723;width:500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宋体" w:eastAsia="宋体" w:hint="eastAsia"/>
                        <w:b/>
                        <w:sz w:val="24"/>
                      </w:rPr>
                    </w:pPr>
                    <w:r>
                      <w:rPr>
                        <w:rFonts w:ascii="宋体" w:eastAsia="宋体" w:hint="eastAsia"/>
                        <w:b/>
                        <w:sz w:val="24"/>
                      </w:rPr>
                      <w:t>南房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4411674</wp:posOffset>
            </wp:positionH>
            <wp:positionV relativeFrom="paragraph">
              <wp:posOffset>2074979</wp:posOffset>
            </wp:positionV>
            <wp:extent cx="1908921" cy="1885950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21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w w:val="100"/>
        </w:rPr>
        <w:t>落，内有大小</w:t>
      </w:r>
      <w:r>
        <w:rPr>
          <w:spacing w:val="-71"/>
        </w:rPr>
        <w:t> </w:t>
      </w:r>
      <w:r>
        <w:rPr>
          <w:rFonts w:ascii="Times New Roman" w:hAnsi="Times New Roman" w:eastAsia="Times New Roman"/>
          <w:spacing w:val="-2"/>
          <w:w w:val="100"/>
        </w:rPr>
        <w:t>2</w:t>
      </w:r>
      <w:r>
        <w:rPr>
          <w:rFonts w:ascii="Times New Roman" w:hAnsi="Times New Roman" w:eastAsia="Times New Roman"/>
          <w:w w:val="100"/>
        </w:rPr>
        <w:t>5</w:t>
      </w:r>
      <w:r>
        <w:rPr>
          <w:rFonts w:ascii="Times New Roman" w:hAnsi="Times New Roman" w:eastAsia="Times New Roman"/>
        </w:rPr>
        <w:t> </w:t>
      </w:r>
      <w:r>
        <w:rPr>
          <w:spacing w:val="-3"/>
          <w:w w:val="100"/>
        </w:rPr>
        <w:t>个房间，其中大部分已腾退</w:t>
      </w:r>
      <w:r>
        <w:rPr>
          <w:spacing w:val="-1"/>
          <w:w w:val="100"/>
        </w:rPr>
        <w:t>（</w:t>
      </w:r>
      <w:r>
        <w:rPr>
          <w:spacing w:val="-3"/>
          <w:w w:val="100"/>
        </w:rPr>
        <w:t>粉色地块，即空房</w:t>
      </w:r>
      <w:r>
        <w:rPr>
          <w:spacing w:val="-142"/>
          <w:w w:val="100"/>
        </w:rPr>
        <w:t>）</w:t>
      </w:r>
      <w:r>
        <w:rPr>
          <w:w w:val="100"/>
        </w:rPr>
        <w:t>，</w:t>
      </w:r>
      <w:r>
        <w:rPr>
          <w:spacing w:val="-12"/>
        </w:rPr>
        <w:t>但仍留存 </w:t>
      </w:r>
      <w:r>
        <w:rPr>
          <w:rFonts w:ascii="Times New Roman" w:hAnsi="Times New Roman" w:eastAsia="Times New Roman"/>
        </w:rPr>
        <w:t>2 </w:t>
      </w:r>
      <w:r>
        <w:rPr/>
        <w:t>户居民居住（</w:t>
      </w:r>
      <w:r>
        <w:rPr>
          <w:rFonts w:ascii="Times New Roman" w:hAnsi="Times New Roman" w:eastAsia="Times New Roman"/>
        </w:rPr>
        <w:t>2 </w:t>
      </w:r>
      <w:r>
        <w:rPr/>
        <w:t>个深红色地块</w:t>
      </w:r>
      <w:r>
        <w:rPr>
          <w:spacing w:val="-137"/>
        </w:rPr>
        <w:t>）</w:t>
      </w:r>
      <w:r>
        <w:rPr/>
        <w:t>。这种现象为这些腾空房</w:t>
      </w:r>
      <w:r>
        <w:rPr>
          <w:spacing w:val="-7"/>
        </w:rPr>
        <w:t>屋的再开发利用带来困难——因为商业开发会对近在咫尺、同住一个</w:t>
      </w:r>
      <w:r>
        <w:rPr>
          <w:spacing w:val="-11"/>
        </w:rPr>
        <w:t>院的居民带来不小干扰，且完整的腾空院落更容易开展多样化商业开</w:t>
      </w:r>
      <w:r>
        <w:rPr>
          <w:spacing w:val="-5"/>
        </w:rPr>
        <w:t>发，实现老房街区的再开发利用和更新品质提升。</w:t>
      </w:r>
    </w:p>
    <w:p>
      <w:pPr>
        <w:spacing w:before="177"/>
        <w:ind w:left="309" w:right="0" w:firstLine="0"/>
        <w:jc w:val="left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w w:val="99"/>
          <w:sz w:val="21"/>
        </w:rPr>
        <w:t>图</w:t>
      </w:r>
      <w:r>
        <w:rPr>
          <w:rFonts w:ascii="宋体" w:hAnsi="宋体" w:eastAsia="宋体" w:hint="eastAsia"/>
          <w:spacing w:val="-53"/>
          <w:sz w:val="21"/>
        </w:rPr>
        <w:t> </w:t>
      </w:r>
      <w:r>
        <w:rPr>
          <w:rFonts w:ascii="宋体" w:hAnsi="宋体" w:eastAsia="宋体" w:hint="eastAsia"/>
          <w:spacing w:val="1"/>
          <w:w w:val="99"/>
          <w:sz w:val="21"/>
        </w:rPr>
        <w:t>1</w:t>
      </w:r>
      <w:r>
        <w:rPr>
          <w:rFonts w:ascii="宋体" w:hAnsi="宋体" w:eastAsia="宋体" w:hint="eastAsia"/>
          <w:spacing w:val="-2"/>
          <w:w w:val="99"/>
          <w:sz w:val="21"/>
        </w:rPr>
        <w:t>.</w:t>
      </w:r>
      <w:r>
        <w:rPr>
          <w:rFonts w:ascii="宋体" w:hAnsi="宋体" w:eastAsia="宋体" w:hint="eastAsia"/>
          <w:spacing w:val="2"/>
          <w:w w:val="99"/>
          <w:sz w:val="21"/>
        </w:rPr>
        <w:t>（</w:t>
      </w:r>
      <w:r>
        <w:rPr>
          <w:rFonts w:ascii="宋体" w:hAnsi="宋体" w:eastAsia="宋体" w:hint="eastAsia"/>
          <w:spacing w:val="1"/>
          <w:w w:val="99"/>
          <w:sz w:val="21"/>
        </w:rPr>
        <w:t>1</w:t>
      </w:r>
      <w:r>
        <w:rPr>
          <w:rFonts w:ascii="宋体" w:hAnsi="宋体" w:eastAsia="宋体" w:hint="eastAsia"/>
          <w:spacing w:val="-1"/>
          <w:w w:val="99"/>
          <w:sz w:val="21"/>
        </w:rPr>
        <w:t>）</w:t>
      </w:r>
      <w:r>
        <w:rPr>
          <w:rFonts w:ascii="宋体" w:hAnsi="宋体" w:eastAsia="宋体" w:hint="eastAsia"/>
          <w:spacing w:val="-13"/>
          <w:w w:val="99"/>
          <w:sz w:val="21"/>
        </w:rPr>
        <w:t>典型四合院示意图；</w:t>
      </w:r>
      <w:r>
        <w:rPr>
          <w:rFonts w:ascii="宋体" w:hAnsi="宋体" w:eastAsia="宋体" w:hint="eastAsia"/>
          <w:spacing w:val="-1"/>
          <w:w w:val="99"/>
          <w:sz w:val="21"/>
        </w:rPr>
        <w:t>（</w:t>
      </w:r>
      <w:r>
        <w:rPr>
          <w:rFonts w:ascii="宋体" w:hAnsi="宋体" w:eastAsia="宋体" w:hint="eastAsia"/>
          <w:spacing w:val="1"/>
          <w:w w:val="99"/>
          <w:sz w:val="21"/>
        </w:rPr>
        <w:t>2</w:t>
      </w:r>
      <w:r>
        <w:rPr>
          <w:rFonts w:ascii="宋体" w:hAnsi="宋体" w:eastAsia="宋体" w:hint="eastAsia"/>
          <w:spacing w:val="-1"/>
          <w:w w:val="99"/>
          <w:sz w:val="21"/>
        </w:rPr>
        <w:t>）居民居住</w:t>
      </w:r>
      <w:r>
        <w:rPr>
          <w:rFonts w:ascii="宋体" w:hAnsi="宋体" w:eastAsia="宋体" w:hint="eastAsia"/>
          <w:spacing w:val="2"/>
          <w:w w:val="99"/>
          <w:sz w:val="21"/>
        </w:rPr>
        <w:t>（</w:t>
      </w:r>
      <w:r>
        <w:rPr>
          <w:rFonts w:ascii="宋体" w:hAnsi="宋体" w:eastAsia="宋体" w:hint="eastAsia"/>
          <w:w w:val="99"/>
          <w:sz w:val="21"/>
        </w:rPr>
        <w:t>深红</w:t>
      </w:r>
      <w:r>
        <w:rPr>
          <w:rFonts w:ascii="宋体" w:hAnsi="宋体" w:eastAsia="宋体" w:hint="eastAsia"/>
          <w:spacing w:val="2"/>
          <w:w w:val="99"/>
          <w:sz w:val="21"/>
        </w:rPr>
        <w:t>）</w:t>
      </w:r>
      <w:r>
        <w:rPr>
          <w:rFonts w:ascii="宋体" w:hAnsi="宋体" w:eastAsia="宋体" w:hint="eastAsia"/>
          <w:spacing w:val="-1"/>
          <w:w w:val="99"/>
          <w:sz w:val="21"/>
        </w:rPr>
        <w:t>+腾空房屋（</w:t>
      </w:r>
      <w:r>
        <w:rPr>
          <w:rFonts w:ascii="宋体" w:hAnsi="宋体" w:eastAsia="宋体" w:hint="eastAsia"/>
          <w:spacing w:val="2"/>
          <w:w w:val="99"/>
          <w:sz w:val="21"/>
        </w:rPr>
        <w:t>粉色</w:t>
      </w:r>
      <w:r>
        <w:rPr>
          <w:rFonts w:ascii="宋体" w:hAnsi="宋体" w:eastAsia="宋体" w:hint="eastAsia"/>
          <w:spacing w:val="-104"/>
          <w:w w:val="99"/>
          <w:sz w:val="21"/>
        </w:rPr>
        <w:t>）</w:t>
      </w:r>
      <w:r>
        <w:rPr>
          <w:rFonts w:ascii="宋体" w:hAnsi="宋体" w:eastAsia="宋体" w:hint="eastAsia"/>
          <w:spacing w:val="-1"/>
          <w:w w:val="99"/>
          <w:sz w:val="21"/>
        </w:rPr>
        <w:t>“共生”现象</w:t>
      </w:r>
    </w:p>
    <w:p>
      <w:pPr>
        <w:pStyle w:val="BodyText"/>
        <w:spacing w:before="4"/>
        <w:ind w:left="0"/>
        <w:rPr>
          <w:rFonts w:ascii="宋体"/>
          <w:sz w:val="24"/>
        </w:rPr>
      </w:pPr>
    </w:p>
    <w:p>
      <w:pPr>
        <w:pStyle w:val="BodyText"/>
        <w:spacing w:line="417" w:lineRule="auto"/>
        <w:ind w:right="397" w:firstLine="559"/>
        <w:jc w:val="both"/>
      </w:pPr>
      <w:r>
        <w:rPr>
          <w:spacing w:val="-11"/>
        </w:rPr>
        <w:t>为此，当前学界和业界提出一种新的策略，计划在同一街区内的</w:t>
      </w:r>
      <w:r>
        <w:rPr>
          <w:spacing w:val="-12"/>
        </w:rPr>
        <w:t>院子之间，对现有居民进行“平移置换”——此举既能保障居民居住在本地的诉求，又能够腾退置换出整院，以更好地实现院落再开发目</w:t>
      </w:r>
      <w:r>
        <w:rPr>
          <w:spacing w:val="-11"/>
        </w:rPr>
        <w:t>标。因此，某城市规划局邀请你们团队参与规划设计工作，以科学的</w:t>
      </w:r>
      <w:r>
        <w:rPr>
          <w:spacing w:val="-5"/>
        </w:rPr>
        <w:t>方式辅助规划局和开发商做出智能搬迁规划。</w:t>
      </w:r>
    </w:p>
    <w:p>
      <w:pPr>
        <w:pStyle w:val="Heading2"/>
        <w:spacing w:before="155"/>
      </w:pPr>
      <w:r>
        <w:rPr/>
        <w:t>二、老城街区“平移置换”搬迁问题</w:t>
      </w:r>
    </w:p>
    <w:p>
      <w:pPr>
        <w:pStyle w:val="BodyText"/>
        <w:spacing w:before="11"/>
        <w:ind w:left="0"/>
        <w:rPr>
          <w:b/>
          <w:sz w:val="32"/>
        </w:rPr>
      </w:pPr>
    </w:p>
    <w:p>
      <w:pPr>
        <w:pStyle w:val="BodyText"/>
        <w:spacing w:line="417" w:lineRule="auto"/>
        <w:ind w:right="303" w:firstLine="559"/>
        <w:jc w:val="both"/>
      </w:pPr>
      <w:r>
        <w:rPr>
          <w:spacing w:val="-9"/>
        </w:rPr>
        <w:t>该城市某老街区内部存在 </w:t>
      </w:r>
      <w:r>
        <w:rPr>
          <w:rFonts w:ascii="Times New Roman" w:eastAsia="Times New Roman"/>
        </w:rPr>
        <w:t>107 </w:t>
      </w:r>
      <w:r>
        <w:rPr>
          <w:spacing w:val="-12"/>
        </w:rPr>
        <w:t>个大小不一的杂院，有一些彼此分离，有一些相互毗邻。每个杂院内可划分出不同的产权地块供人居住</w:t>
      </w:r>
      <w:r>
        <w:rPr>
          <w:spacing w:val="-9"/>
        </w:rPr>
        <w:t>使用，去掉不规范的私搭乱建空间后，共有 </w:t>
      </w:r>
      <w:r>
        <w:rPr>
          <w:rFonts w:ascii="Times New Roman" w:eastAsia="Times New Roman"/>
        </w:rPr>
        <w:t>484 </w:t>
      </w:r>
      <w:r>
        <w:rPr>
          <w:spacing w:val="-3"/>
        </w:rPr>
        <w:t>个适宜居住的地块，</w:t>
      </w:r>
    </w:p>
    <w:p>
      <w:pPr>
        <w:pStyle w:val="BodyText"/>
        <w:spacing w:line="358" w:lineRule="exact"/>
        <w:jc w:val="both"/>
      </w:pPr>
      <w:r>
        <w:rPr/>
        <w:t>一些地块中的居民已经搬离，但是有 </w:t>
      </w:r>
      <w:r>
        <w:rPr>
          <w:rFonts w:ascii="Times New Roman" w:eastAsia="Times New Roman"/>
        </w:rPr>
        <w:t>113 </w:t>
      </w:r>
      <w:r>
        <w:rPr/>
        <w:t>户居民仍在居住中，等待开</w:t>
      </w:r>
    </w:p>
    <w:p>
      <w:pPr>
        <w:spacing w:after="0" w:line="358" w:lineRule="exact"/>
        <w:jc w:val="both"/>
        <w:sectPr>
          <w:pgSz w:w="11910" w:h="16840"/>
          <w:pgMar w:top="1500" w:bottom="280" w:left="1680" w:right="1400"/>
        </w:sectPr>
      </w:pPr>
    </w:p>
    <w:p>
      <w:pPr>
        <w:pStyle w:val="BodyText"/>
        <w:spacing w:line="417" w:lineRule="auto" w:before="55"/>
        <w:ind w:right="397"/>
        <w:jc w:val="both"/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1170432</wp:posOffset>
            </wp:positionH>
            <wp:positionV relativeFrom="paragraph">
              <wp:posOffset>1252982</wp:posOffset>
            </wp:positionV>
            <wp:extent cx="5174565" cy="272186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4565" cy="2721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5"/>
        </w:rPr>
        <w:t>发商的进一步搬迁。图 </w:t>
      </w:r>
      <w:r>
        <w:rPr>
          <w:rFonts w:ascii="Times New Roman" w:eastAsia="Times New Roman"/>
        </w:rPr>
        <w:t>2 </w:t>
      </w:r>
      <w:r>
        <w:rPr>
          <w:spacing w:val="-6"/>
        </w:rPr>
        <w:t>展示了这些地块的分布与居住情况，其中粗</w:t>
      </w:r>
      <w:r>
        <w:rPr>
          <w:spacing w:val="-7"/>
        </w:rPr>
        <w:t>黑线圈出并标号 </w:t>
      </w:r>
      <w:r>
        <w:rPr>
          <w:rFonts w:ascii="Times New Roman" w:eastAsia="Times New Roman"/>
        </w:rPr>
        <w:t>id </w:t>
      </w:r>
      <w:r>
        <w:rPr>
          <w:spacing w:val="-18"/>
        </w:rPr>
        <w:t>的为 </w:t>
      </w:r>
      <w:r>
        <w:rPr>
          <w:rFonts w:ascii="Times New Roman" w:eastAsia="Times New Roman"/>
        </w:rPr>
        <w:t>107 </w:t>
      </w:r>
      <w:r>
        <w:rPr/>
        <w:t>个杂院，浅红色的为已搬离的空房，深</w:t>
      </w:r>
      <w:r>
        <w:rPr>
          <w:spacing w:val="-3"/>
        </w:rPr>
        <w:t>红色的为尚在居住的住户。</w:t>
      </w:r>
    </w:p>
    <w:p>
      <w:pPr>
        <w:spacing w:before="50"/>
        <w:ind w:left="54" w:right="336" w:firstLine="0"/>
        <w:jc w:val="center"/>
        <w:rPr>
          <w:rFonts w:ascii="宋体" w:hAnsi="宋体" w:eastAsia="宋体" w:hint="eastAsia"/>
          <w:sz w:val="21"/>
        </w:rPr>
      </w:pPr>
      <w:r>
        <w:rPr>
          <w:rFonts w:ascii="宋体" w:hAnsi="宋体" w:eastAsia="宋体" w:hint="eastAsia"/>
          <w:sz w:val="21"/>
        </w:rPr>
        <w:t>图 2 某老城街区“共生”院落位置、编号及毗邻情况（附件 2 提供更详细图示，注意：图</w:t>
      </w:r>
    </w:p>
    <w:p>
      <w:pPr>
        <w:spacing w:before="43"/>
        <w:ind w:left="54" w:right="333" w:firstLine="0"/>
        <w:jc w:val="center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中粉色色块的边界不代表房屋地块区分，具体地块和院落信息请以附件 1 为主）</w:t>
      </w:r>
    </w:p>
    <w:p>
      <w:pPr>
        <w:pStyle w:val="BodyText"/>
        <w:ind w:left="0"/>
        <w:rPr>
          <w:rFonts w:ascii="宋体"/>
          <w:sz w:val="20"/>
        </w:rPr>
      </w:pPr>
    </w:p>
    <w:p>
      <w:pPr>
        <w:pStyle w:val="BodyText"/>
        <w:spacing w:before="8"/>
        <w:ind w:left="0"/>
        <w:rPr>
          <w:rFonts w:ascii="宋体"/>
        </w:rPr>
      </w:pPr>
    </w:p>
    <w:p>
      <w:pPr>
        <w:pStyle w:val="BodyText"/>
        <w:spacing w:line="417" w:lineRule="auto"/>
        <w:ind w:right="303" w:firstLine="559"/>
      </w:pPr>
      <w:r>
        <w:rPr>
          <w:spacing w:val="-7"/>
        </w:rPr>
        <w:t>目前街区内空置的地块均为规划局和开发商共有产权，通常的更</w:t>
      </w:r>
      <w:r>
        <w:rPr>
          <w:spacing w:val="-2"/>
        </w:rPr>
        <w:t>新方式是出租给商户进行商业、旅游或办公功能的开发，规划局</w:t>
      </w:r>
      <w:r>
        <w:rPr>
          <w:rFonts w:ascii="Times New Roman" w:hAnsi="Times New Roman" w:eastAsia="Times New Roman"/>
          <w:spacing w:val="3"/>
        </w:rPr>
        <w:t>/</w:t>
      </w:r>
      <w:r>
        <w:rPr/>
        <w:t>开</w:t>
      </w:r>
      <w:r>
        <w:rPr>
          <w:spacing w:val="-10"/>
        </w:rPr>
        <w:t>发商收取租金以获得收益。但正如前所述，如果仅开发单个院落中的</w:t>
      </w:r>
      <w:r>
        <w:rPr>
          <w:spacing w:val="-3"/>
        </w:rPr>
        <w:t>零散房屋，避开尚在居住的居民，则不能实现如酒店、会馆、餐厅、</w:t>
      </w:r>
      <w:r>
        <w:rPr>
          <w:spacing w:val="-12"/>
        </w:rPr>
        <w:t>咖啡厅等高价值功能，因而“共生院”中的零散地块单独出租不如整</w:t>
      </w:r>
      <w:r>
        <w:rPr>
          <w:spacing w:val="-5"/>
        </w:rPr>
        <w:t>院出租经济效益大。</w:t>
      </w:r>
    </w:p>
    <w:p>
      <w:pPr>
        <w:pStyle w:val="BodyText"/>
        <w:spacing w:line="417" w:lineRule="auto" w:before="155"/>
        <w:ind w:right="397" w:firstLine="559"/>
        <w:jc w:val="both"/>
      </w:pPr>
      <w:r>
        <w:rPr>
          <w:spacing w:val="-12"/>
        </w:rPr>
        <w:t>“平移置换”的腾挪方式，指将分散居住在各个院落里的居民尽</w:t>
      </w:r>
      <w:r>
        <w:rPr>
          <w:spacing w:val="-9"/>
        </w:rPr>
        <w:t>可能集中搬迁到几个杂院里，腾出更多完整杂院。从获益角度看，腾</w:t>
      </w:r>
      <w:r>
        <w:rPr>
          <w:spacing w:val="-10"/>
        </w:rPr>
        <w:t>出的整院院子面积越大，出租效益越好；同时，相互毗邻的空置整院</w:t>
      </w:r>
      <w:r>
        <w:rPr>
          <w:spacing w:val="-11"/>
        </w:rPr>
        <w:t>越多，将为开发商带来越大的经济效益。而从居民角度看，愿意接受</w:t>
      </w:r>
    </w:p>
    <w:p>
      <w:pPr>
        <w:spacing w:after="0" w:line="417" w:lineRule="auto"/>
        <w:jc w:val="both"/>
        <w:sectPr>
          <w:pgSz w:w="11910" w:h="16840"/>
          <w:pgMar w:top="1500" w:bottom="280" w:left="1680" w:right="1400"/>
        </w:sectPr>
      </w:pPr>
    </w:p>
    <w:p>
      <w:pPr>
        <w:pStyle w:val="BodyText"/>
        <w:spacing w:line="417" w:lineRule="auto" w:before="35"/>
        <w:ind w:right="303"/>
      </w:pPr>
      <w:r>
        <w:rPr/>
        <w:t>补偿款的居民都已搬离这片老街区，留下的居民均不想要直接的金钱补偿。如果要说服居民们搬家，应在搬迁后能提供更好的居住环境。</w:t>
      </w:r>
    </w:p>
    <w:p>
      <w:pPr>
        <w:pStyle w:val="BodyText"/>
        <w:spacing w:line="417" w:lineRule="auto" w:before="156"/>
        <w:ind w:right="296" w:firstLine="559"/>
      </w:pPr>
      <w:r>
        <w:rPr>
          <w:spacing w:val="-23"/>
        </w:rPr>
        <w:t>附件 </w:t>
      </w:r>
      <w:r>
        <w:rPr>
          <w:rFonts w:ascii="Times New Roman" w:hAnsi="Times New Roman" w:eastAsia="Times New Roman"/>
        </w:rPr>
        <w:t>1 </w:t>
      </w:r>
      <w:r>
        <w:rPr>
          <w:spacing w:val="-3"/>
        </w:rPr>
        <w:t>提供了该老街区全部产权地块的基本情况</w:t>
      </w:r>
      <w:r>
        <w:rPr/>
        <w:t>（</w:t>
      </w:r>
      <w:r>
        <w:rPr>
          <w:spacing w:val="15"/>
        </w:rPr>
        <w:t>包括地块</w:t>
      </w:r>
      <w:r>
        <w:rPr>
          <w:rFonts w:ascii="Times New Roman" w:hAnsi="Times New Roman" w:eastAsia="Times New Roman"/>
        </w:rPr>
        <w:t>id</w:t>
      </w:r>
      <w:r>
        <w:rPr/>
        <w:t>、</w:t>
      </w:r>
      <w:r>
        <w:rPr>
          <w:spacing w:val="11"/>
        </w:rPr>
        <w:t>地块所在杂院</w:t>
      </w:r>
      <w:r>
        <w:rPr>
          <w:rFonts w:ascii="Times New Roman" w:hAnsi="Times New Roman" w:eastAsia="Times New Roman"/>
        </w:rPr>
        <w:t>id</w:t>
      </w:r>
      <w:r>
        <w:rPr/>
        <w:t>、地块朝向、地块面积、地块中是否有住户</w:t>
      </w:r>
      <w:r>
        <w:rPr>
          <w:spacing w:val="-137"/>
        </w:rPr>
        <w:t>）</w:t>
      </w:r>
      <w:r>
        <w:rPr/>
        <w:t>。开发</w:t>
      </w:r>
      <w:r>
        <w:rPr>
          <w:spacing w:val="-5"/>
        </w:rPr>
        <w:t>商经过前期测算，目前保底规划 </w:t>
      </w:r>
      <w:r>
        <w:rPr>
          <w:rFonts w:ascii="Times New Roman" w:hAnsi="Times New Roman" w:eastAsia="Times New Roman"/>
        </w:rPr>
        <w:t>2000 </w:t>
      </w:r>
      <w:r>
        <w:rPr/>
        <w:t>万成本用于搬迁投入（追加备</w:t>
      </w:r>
      <w:r>
        <w:rPr>
          <w:spacing w:val="-1"/>
          <w:w w:val="100"/>
        </w:rPr>
        <w:t>用金限制不超过保底规划</w:t>
      </w:r>
      <w:r>
        <w:rPr>
          <w:spacing w:val="-71"/>
        </w:rPr>
        <w:t> </w:t>
      </w:r>
      <w:r>
        <w:rPr>
          <w:rFonts w:ascii="Times New Roman" w:hAnsi="Times New Roman" w:eastAsia="Times New Roman"/>
          <w:spacing w:val="1"/>
          <w:w w:val="100"/>
        </w:rPr>
        <w:t>3</w:t>
      </w:r>
      <w:r>
        <w:rPr>
          <w:rFonts w:ascii="Times New Roman" w:hAnsi="Times New Roman" w:eastAsia="Times New Roman"/>
          <w:spacing w:val="-2"/>
          <w:w w:val="100"/>
        </w:rPr>
        <w:t>0%</w:t>
      </w:r>
      <w:r>
        <w:rPr>
          <w:spacing w:val="-140"/>
          <w:w w:val="100"/>
        </w:rPr>
        <w:t>）</w:t>
      </w:r>
      <w:r>
        <w:rPr>
          <w:spacing w:val="-1"/>
          <w:w w:val="100"/>
        </w:rPr>
        <w:t>，并邀请你们团队参与规划设计，请</w:t>
      </w:r>
      <w:r>
        <w:rPr>
          <w:spacing w:val="-10"/>
        </w:rPr>
        <w:t>根据如下条件给出带有“地块面积或住宿品质提升补偿策略”的平移</w:t>
      </w:r>
      <w:r>
        <w:rPr>
          <w:spacing w:val="-4"/>
        </w:rPr>
        <w:t>置换规划，有效推动居民同意搬迁。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417" w:lineRule="auto" w:before="155" w:after="0"/>
        <w:ind w:left="403" w:right="397" w:hanging="284"/>
        <w:jc w:val="both"/>
        <w:rPr>
          <w:sz w:val="28"/>
        </w:rPr>
      </w:pPr>
      <w:r>
        <w:rPr>
          <w:spacing w:val="-11"/>
          <w:sz w:val="28"/>
        </w:rPr>
        <w:t>面积补偿：居民搬迁后，迁入地块的面积不能比现居地块更小。开</w:t>
      </w:r>
      <w:r>
        <w:rPr>
          <w:spacing w:val="-16"/>
          <w:sz w:val="28"/>
        </w:rPr>
        <w:t>发商出于对经济利润的考虑，最多只能提供面积比原来多 </w:t>
      </w:r>
      <w:r>
        <w:rPr>
          <w:rFonts w:ascii="Times New Roman" w:eastAsia="Times New Roman"/>
          <w:sz w:val="28"/>
        </w:rPr>
        <w:t>30%</w:t>
      </w:r>
      <w:r>
        <w:rPr>
          <w:sz w:val="28"/>
        </w:rPr>
        <w:t>的产</w:t>
      </w:r>
      <w:r>
        <w:rPr>
          <w:spacing w:val="-2"/>
          <w:sz w:val="28"/>
        </w:rPr>
        <w:t>权地块。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417" w:lineRule="auto" w:before="0" w:after="0"/>
        <w:ind w:left="403" w:right="397" w:hanging="284"/>
        <w:jc w:val="both"/>
        <w:rPr>
          <w:sz w:val="28"/>
        </w:rPr>
      </w:pPr>
      <w:r>
        <w:rPr>
          <w:spacing w:val="-11"/>
          <w:sz w:val="28"/>
        </w:rPr>
        <w:t>采光补偿：居民搬迁后，迁入地块的采光不能比现居地块更差。采</w:t>
      </w:r>
      <w:r>
        <w:rPr>
          <w:sz w:val="28"/>
        </w:rPr>
        <w:t>光与居民所在地块的方位相关，舒适度的情况为：正南</w:t>
      </w:r>
      <w:r>
        <w:rPr>
          <w:rFonts w:ascii="Times New Roman" w:eastAsia="Times New Roman"/>
          <w:spacing w:val="4"/>
          <w:sz w:val="28"/>
        </w:rPr>
        <w:t>=</w:t>
      </w:r>
      <w:r>
        <w:rPr>
          <w:spacing w:val="4"/>
          <w:sz w:val="28"/>
        </w:rPr>
        <w:t>正北</w:t>
      </w:r>
      <w:r>
        <w:rPr>
          <w:rFonts w:ascii="Times New Roman" w:eastAsia="Times New Roman"/>
          <w:spacing w:val="4"/>
          <w:sz w:val="28"/>
        </w:rPr>
        <w:t>&gt;</w:t>
      </w:r>
      <w:r>
        <w:rPr>
          <w:sz w:val="28"/>
        </w:rPr>
        <w:t>东</w:t>
      </w:r>
      <w:r>
        <w:rPr>
          <w:spacing w:val="-1"/>
          <w:w w:val="100"/>
          <w:sz w:val="28"/>
        </w:rPr>
        <w:t>厢</w:t>
      </w:r>
      <w:r>
        <w:rPr>
          <w:rFonts w:ascii="Times New Roman" w:eastAsia="Times New Roman"/>
          <w:spacing w:val="-3"/>
          <w:w w:val="100"/>
          <w:sz w:val="28"/>
        </w:rPr>
        <w:t>&gt;</w:t>
      </w:r>
      <w:r>
        <w:rPr>
          <w:spacing w:val="-2"/>
          <w:w w:val="100"/>
          <w:sz w:val="28"/>
        </w:rPr>
        <w:t>西厢</w:t>
      </w:r>
      <w:r>
        <w:rPr>
          <w:spacing w:val="-1"/>
          <w:w w:val="100"/>
          <w:sz w:val="28"/>
        </w:rPr>
        <w:t>（如图</w:t>
      </w:r>
      <w:r>
        <w:rPr>
          <w:spacing w:val="-71"/>
          <w:sz w:val="28"/>
        </w:rPr>
        <w:t> </w:t>
      </w:r>
      <w:r>
        <w:rPr>
          <w:rFonts w:ascii="Times New Roman" w:eastAsia="Times New Roman"/>
          <w:spacing w:val="-2"/>
          <w:w w:val="100"/>
          <w:sz w:val="28"/>
        </w:rPr>
        <w:t>3</w:t>
      </w:r>
      <w:r>
        <w:rPr>
          <w:spacing w:val="-140"/>
          <w:w w:val="100"/>
          <w:sz w:val="28"/>
        </w:rPr>
        <w:t>）</w:t>
      </w:r>
      <w:r>
        <w:rPr>
          <w:w w:val="100"/>
          <w:sz w:val="28"/>
        </w:rPr>
        <w:t>。</w:t>
      </w:r>
    </w:p>
    <w:p>
      <w:pPr>
        <w:pStyle w:val="ListParagraph"/>
        <w:numPr>
          <w:ilvl w:val="0"/>
          <w:numId w:val="1"/>
        </w:numPr>
        <w:tabs>
          <w:tab w:pos="404" w:val="left" w:leader="none"/>
        </w:tabs>
        <w:spacing w:line="417" w:lineRule="auto" w:before="0" w:after="0"/>
        <w:ind w:left="403" w:right="397" w:hanging="284"/>
        <w:jc w:val="both"/>
        <w:rPr>
          <w:sz w:val="28"/>
        </w:rPr>
      </w:pPr>
      <w:r>
        <w:rPr>
          <w:spacing w:val="-10"/>
          <w:sz w:val="28"/>
        </w:rPr>
        <w:t>修缮补偿：若搬迁地块的面积和采光补偿不足以推动居民搬迁，开</w:t>
      </w:r>
      <w:r>
        <w:rPr>
          <w:spacing w:val="-4"/>
          <w:sz w:val="28"/>
        </w:rPr>
        <w:t>发商也考虑对迁入地块的房屋进行修缮翻新，以争取成功搬迁。</w:t>
      </w:r>
    </w:p>
    <w:p>
      <w:pPr>
        <w:pStyle w:val="BodyText"/>
        <w:spacing w:line="417" w:lineRule="auto" w:before="154"/>
        <w:ind w:right="303" w:firstLine="559"/>
      </w:pPr>
      <w:r>
        <w:rPr>
          <w:spacing w:val="-10"/>
        </w:rPr>
        <w:t>此外，各杂院中的空置产权地块面积和朝向是确定且有限的，因</w:t>
      </w:r>
      <w:r>
        <w:rPr>
          <w:spacing w:val="-3"/>
        </w:rPr>
        <w:t>此开发商不一定能为所有居民找到更合适的迁入地块，如果找不到， 则该居民不搬迁。</w:t>
      </w:r>
    </w:p>
    <w:p>
      <w:pPr>
        <w:spacing w:after="0" w:line="417" w:lineRule="auto"/>
        <w:sectPr>
          <w:pgSz w:w="11910" w:h="16840"/>
          <w:pgMar w:top="1520" w:bottom="280" w:left="1680" w:right="1400"/>
        </w:sectPr>
      </w:pPr>
    </w:p>
    <w:p>
      <w:pPr>
        <w:pStyle w:val="BodyText"/>
        <w:spacing w:before="5"/>
        <w:ind w:left="0"/>
        <w:rPr>
          <w:sz w:val="6"/>
        </w:rPr>
      </w:pPr>
    </w:p>
    <w:p>
      <w:pPr>
        <w:pStyle w:val="BodyText"/>
        <w:ind w:left="329"/>
        <w:rPr>
          <w:sz w:val="20"/>
        </w:rPr>
      </w:pPr>
      <w:r>
        <w:rPr>
          <w:sz w:val="20"/>
        </w:rPr>
        <w:drawing>
          <wp:inline distT="0" distB="0" distL="0" distR="0">
            <wp:extent cx="4995094" cy="2682240"/>
            <wp:effectExtent l="0" t="0" r="0" b="0"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094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ind w:left="0"/>
        <w:rPr>
          <w:sz w:val="13"/>
        </w:rPr>
      </w:pPr>
    </w:p>
    <w:p>
      <w:pPr>
        <w:spacing w:before="70"/>
        <w:ind w:left="54" w:right="336" w:firstLine="0"/>
        <w:jc w:val="center"/>
        <w:rPr>
          <w:rFonts w:ascii="宋体" w:eastAsia="宋体" w:hint="eastAsia"/>
          <w:sz w:val="21"/>
        </w:rPr>
      </w:pPr>
      <w:r>
        <w:rPr>
          <w:rFonts w:ascii="宋体" w:eastAsia="宋体" w:hint="eastAsia"/>
          <w:sz w:val="21"/>
        </w:rPr>
        <w:t>图 3 老城街区场景局部鸟瞰与采光示意</w:t>
      </w:r>
    </w:p>
    <w:p>
      <w:pPr>
        <w:pStyle w:val="BodyText"/>
        <w:spacing w:before="3"/>
        <w:ind w:left="0"/>
        <w:rPr>
          <w:rFonts w:ascii="宋体"/>
          <w:sz w:val="24"/>
        </w:rPr>
      </w:pPr>
    </w:p>
    <w:p>
      <w:pPr>
        <w:pStyle w:val="BodyText"/>
        <w:spacing w:line="417" w:lineRule="auto" w:before="1"/>
        <w:ind w:right="119" w:firstLine="559"/>
      </w:pPr>
      <w:r>
        <w:rPr>
          <w:spacing w:val="-11"/>
        </w:rPr>
        <w:t>对于收益，当下分散的产权地块地价可简化为每天每平米的租金。</w:t>
      </w:r>
      <w:r>
        <w:rPr>
          <w:spacing w:val="-6"/>
        </w:rPr>
        <w:t>直接出租分散的产权地块给开发商带来收入为：东西厢房屋 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17"/>
        </w:rPr>
        <w:t> </w:t>
      </w:r>
      <w:r>
        <w:rPr/>
        <w:t>元</w:t>
      </w:r>
      <w:r>
        <w:rPr>
          <w:rFonts w:ascii="Times New Roman" w:eastAsia="Times New Roman"/>
          <w:spacing w:val="3"/>
        </w:rPr>
        <w:t>/</w:t>
      </w:r>
      <w:r>
        <w:rPr/>
        <w:t>平</w:t>
      </w:r>
    </w:p>
    <w:p>
      <w:pPr>
        <w:pStyle w:val="BodyText"/>
        <w:spacing w:line="358" w:lineRule="exact"/>
      </w:pPr>
      <w:r>
        <w:rPr/>
        <w:t>米</w:t>
      </w:r>
      <w:r>
        <w:rPr>
          <w:rFonts w:ascii="Times New Roman" w:eastAsia="Times New Roman"/>
        </w:rPr>
        <w:t>/</w:t>
      </w:r>
      <w:r>
        <w:rPr>
          <w:spacing w:val="-4"/>
        </w:rPr>
        <w:t>天，南北厢房屋 </w:t>
      </w:r>
      <w:r>
        <w:rPr>
          <w:rFonts w:ascii="Times New Roman" w:eastAsia="Times New Roman"/>
        </w:rPr>
        <w:t>15</w:t>
      </w:r>
      <w:r>
        <w:rPr>
          <w:rFonts w:ascii="Times New Roman" w:eastAsia="Times New Roman"/>
          <w:spacing w:val="38"/>
        </w:rPr>
        <w:t> </w:t>
      </w:r>
      <w:r>
        <w:rPr/>
        <w:t>元</w:t>
      </w:r>
      <w:r>
        <w:rPr>
          <w:rFonts w:ascii="Times New Roman" w:eastAsia="Times New Roman"/>
          <w:spacing w:val="3"/>
        </w:rPr>
        <w:t>/</w:t>
      </w:r>
      <w:r>
        <w:rPr/>
        <w:t>平米</w:t>
      </w:r>
      <w:r>
        <w:rPr>
          <w:rFonts w:ascii="Times New Roman" w:eastAsia="Times New Roman"/>
          <w:spacing w:val="3"/>
        </w:rPr>
        <w:t>/</w:t>
      </w:r>
      <w:r>
        <w:rPr/>
        <w:t>天。根据整院效益，完整的空置杂院</w:t>
      </w:r>
    </w:p>
    <w:p>
      <w:pPr>
        <w:pStyle w:val="BodyText"/>
        <w:spacing w:before="265"/>
      </w:pPr>
      <w:r>
        <w:rPr/>
        <w:t>出租</w:t>
      </w:r>
      <w:r>
        <w:rPr>
          <w:rFonts w:ascii="Times New Roman" w:eastAsia="Times New Roman"/>
          <w:spacing w:val="3"/>
        </w:rPr>
        <w:t>/</w:t>
      </w:r>
      <w:r>
        <w:rPr>
          <w:spacing w:val="-4"/>
        </w:rPr>
        <w:t>开发价值更高，为 </w:t>
      </w:r>
      <w:r>
        <w:rPr>
          <w:rFonts w:ascii="Times New Roman" w:eastAsia="Times New Roman"/>
        </w:rPr>
        <w:t>30</w:t>
      </w:r>
      <w:r>
        <w:rPr>
          <w:rFonts w:ascii="Times New Roman" w:eastAsia="Times New Roman"/>
          <w:spacing w:val="41"/>
        </w:rPr>
        <w:t> </w:t>
      </w:r>
      <w:r>
        <w:rPr/>
        <w:t>元</w:t>
      </w:r>
      <w:r>
        <w:rPr>
          <w:rFonts w:ascii="Times New Roman" w:eastAsia="Times New Roman"/>
          <w:spacing w:val="3"/>
        </w:rPr>
        <w:t>/</w:t>
      </w:r>
      <w:r>
        <w:rPr/>
        <w:t>平米</w:t>
      </w:r>
      <w:r>
        <w:rPr>
          <w:rFonts w:ascii="Times New Roman" w:eastAsia="Times New Roman"/>
          <w:spacing w:val="3"/>
        </w:rPr>
        <w:t>/</w:t>
      </w:r>
      <w:r>
        <w:rPr/>
        <w:t>天。根据毗邻效益，若空置整院</w:t>
      </w:r>
    </w:p>
    <w:p>
      <w:pPr>
        <w:pStyle w:val="BodyText"/>
        <w:spacing w:before="265"/>
      </w:pPr>
      <w:r>
        <w:rPr/>
        <w:t>彼此毗邻，则出租价值增加为原来的 </w:t>
      </w:r>
      <w:r>
        <w:rPr>
          <w:rFonts w:ascii="Times New Roman" w:eastAsia="Times New Roman"/>
        </w:rPr>
        <w:t>1.2 </w:t>
      </w:r>
      <w:r>
        <w:rPr/>
        <w:t>倍。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417" w:lineRule="auto"/>
        <w:ind w:right="258" w:firstLine="559"/>
      </w:pPr>
      <w:r>
        <w:rPr>
          <w:spacing w:val="-18"/>
        </w:rPr>
        <w:t>对于成本，开发商的搬迁投入包括搬迁沟通成本，修缮翻新费用， </w:t>
      </w:r>
      <w:r>
        <w:rPr>
          <w:spacing w:val="-5"/>
        </w:rPr>
        <w:t>面积损失带来的经济损失，以及搬迁和开发的时间损失。具体包括：</w:t>
      </w:r>
    </w:p>
    <w:p>
      <w:pPr>
        <w:pStyle w:val="BodyText"/>
        <w:spacing w:before="156"/>
        <w:ind w:left="679"/>
      </w:pPr>
      <w:r>
        <w:rPr/>
        <w:t>沟通成本：每搬一户居民协调等沟通成本为 </w:t>
      </w:r>
      <w:r>
        <w:rPr>
          <w:rFonts w:ascii="Times New Roman" w:eastAsia="Times New Roman"/>
        </w:rPr>
        <w:t>3 </w:t>
      </w:r>
      <w:r>
        <w:rPr/>
        <w:t>万元。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ind w:left="679"/>
      </w:pPr>
      <w:r>
        <w:rPr/>
        <w:t>修缮成本：每搬一户居民，对迁入地块的修缮翻新上限 </w:t>
      </w:r>
      <w:r>
        <w:rPr>
          <w:rFonts w:ascii="Times New Roman" w:eastAsia="Times New Roman"/>
        </w:rPr>
        <w:t>20 </w:t>
      </w:r>
      <w:r>
        <w:rPr/>
        <w:t>万元</w:t>
      </w:r>
    </w:p>
    <w:p>
      <w:pPr>
        <w:pStyle w:val="BodyText"/>
        <w:spacing w:before="265"/>
      </w:pPr>
      <w:r>
        <w:rPr/>
        <w:t>（</w:t>
      </w:r>
      <w:r>
        <w:rPr>
          <w:spacing w:val="-3"/>
        </w:rPr>
        <w:t>可以不修缮</w:t>
      </w:r>
      <w:r>
        <w:rPr>
          <w:spacing w:val="-142"/>
        </w:rPr>
        <w:t>）</w:t>
      </w:r>
      <w:r>
        <w:rPr/>
        <w:t>。</w:t>
      </w:r>
    </w:p>
    <w:p>
      <w:pPr>
        <w:pStyle w:val="BodyText"/>
        <w:spacing w:before="11"/>
        <w:ind w:left="0"/>
        <w:rPr>
          <w:sz w:val="32"/>
        </w:rPr>
      </w:pPr>
    </w:p>
    <w:p>
      <w:pPr>
        <w:pStyle w:val="BodyText"/>
        <w:spacing w:line="417" w:lineRule="auto" w:before="1"/>
        <w:ind w:right="397" w:firstLine="559"/>
      </w:pPr>
      <w:r>
        <w:rPr>
          <w:spacing w:val="-11"/>
        </w:rPr>
        <w:t>面积损失：在搬迁居民过程中，开发商多补偿给居民的面积应当</w:t>
      </w:r>
      <w:r>
        <w:rPr>
          <w:spacing w:val="-5"/>
        </w:rPr>
        <w:t>按照产权地块的潜在租金折算为开发商的经济损失。</w:t>
      </w:r>
    </w:p>
    <w:p>
      <w:pPr>
        <w:spacing w:after="0" w:line="417" w:lineRule="auto"/>
        <w:sectPr>
          <w:pgSz w:w="11910" w:h="16840"/>
          <w:pgMar w:top="1580" w:bottom="280" w:left="1680" w:right="1400"/>
        </w:sectPr>
      </w:pPr>
    </w:p>
    <w:p>
      <w:pPr>
        <w:pStyle w:val="BodyText"/>
        <w:spacing w:line="417" w:lineRule="auto" w:before="35"/>
        <w:ind w:right="397" w:firstLine="559"/>
      </w:pPr>
      <w:r>
        <w:rPr>
          <w:spacing w:val="-11"/>
        </w:rPr>
        <w:t>时间损失：在搬迁居民过程中，迁出房屋和迁入房屋均不能出租</w:t>
      </w:r>
      <w:r>
        <w:rPr>
          <w:spacing w:val="-9"/>
        </w:rPr>
        <w:t>或商用，连搬迁带更新，每搬一户居民耗时为 </w:t>
      </w:r>
      <w:r>
        <w:rPr>
          <w:rFonts w:ascii="Times New Roman" w:eastAsia="Times New Roman"/>
        </w:rPr>
        <w:t>4 </w:t>
      </w:r>
      <w:r>
        <w:rPr>
          <w:spacing w:val="-2"/>
        </w:rPr>
        <w:t>个月。</w:t>
      </w:r>
    </w:p>
    <w:p>
      <w:pPr>
        <w:pStyle w:val="Heading2"/>
        <w:spacing w:before="156"/>
      </w:pPr>
      <w:r>
        <w:rPr/>
        <w:t>三、老城街区“平移置换”搬迁规划</w:t>
      </w:r>
    </w:p>
    <w:p>
      <w:pPr>
        <w:pStyle w:val="BodyText"/>
        <w:spacing w:before="11"/>
        <w:ind w:left="0"/>
        <w:rPr>
          <w:b/>
          <w:sz w:val="32"/>
        </w:rPr>
      </w:pPr>
    </w:p>
    <w:p>
      <w:pPr>
        <w:pStyle w:val="BodyText"/>
        <w:spacing w:line="417" w:lineRule="auto"/>
        <w:ind w:right="116" w:firstLine="559"/>
      </w:pPr>
      <w:r>
        <w:rPr>
          <w:spacing w:val="-11"/>
        </w:rPr>
        <w:t>考虑以上条件，请你们团队设计合理的搬迁规划并完成以下问题， </w:t>
      </w:r>
      <w:r>
        <w:rPr>
          <w:spacing w:val="-4"/>
        </w:rPr>
        <w:t>大力推进城市更新。</w:t>
      </w:r>
    </w:p>
    <w:p>
      <w:pPr>
        <w:pStyle w:val="BodyText"/>
        <w:spacing w:line="417" w:lineRule="auto" w:before="156"/>
        <w:ind w:right="397" w:firstLine="559"/>
        <w:jc w:val="both"/>
      </w:pPr>
      <w:r>
        <w:rPr>
          <w:b/>
          <w:spacing w:val="-9"/>
        </w:rPr>
        <w:t>【问题一：搬迁补偿建模】</w:t>
      </w:r>
      <w:r>
        <w:rPr>
          <w:spacing w:val="-8"/>
        </w:rPr>
        <w:t>请根据当前情况，充分考虑住户房屋</w:t>
      </w:r>
      <w:r>
        <w:rPr>
          <w:spacing w:val="-12"/>
        </w:rPr>
        <w:t>的朝向、面积、布局、心理价位、住宿舒适度等因素，设计合理的搬</w:t>
      </w:r>
      <w:r>
        <w:rPr>
          <w:spacing w:val="-11"/>
        </w:rPr>
        <w:t>迁补偿方案，能根据住户情况给出合理的面积补偿、采光补偿和修缮补偿范围。除了文中提及的因素外，还有哪些因素可能会影响住户是</w:t>
      </w:r>
      <w:r>
        <w:rPr>
          <w:spacing w:val="-1"/>
        </w:rPr>
        <w:t>否同意搬迁？作为规划局</w:t>
      </w:r>
      <w:r>
        <w:rPr>
          <w:rFonts w:ascii="Times New Roman" w:eastAsia="Times New Roman"/>
        </w:rPr>
        <w:t>/</w:t>
      </w:r>
      <w:r>
        <w:rPr/>
        <w:t>开发商，应如何应对？请详细列出并定性</w:t>
      </w:r>
      <w:r>
        <w:rPr>
          <w:rFonts w:ascii="Times New Roman" w:eastAsia="Times New Roman"/>
        </w:rPr>
        <w:t>/ </w:t>
      </w:r>
      <w:r>
        <w:rPr>
          <w:spacing w:val="-14"/>
        </w:rPr>
        <w:t>定量探讨</w:t>
      </w:r>
      <w:r>
        <w:rPr/>
        <w:t>（</w:t>
      </w:r>
      <w:r>
        <w:rPr>
          <w:spacing w:val="-7"/>
        </w:rPr>
        <w:t>比如迁入迁出地块离街道的距离，地块周边的房屋密集程</w:t>
      </w:r>
      <w:r>
        <w:rPr>
          <w:spacing w:val="-5"/>
        </w:rPr>
        <w:t>度等</w:t>
      </w:r>
      <w:r>
        <w:rPr>
          <w:spacing w:val="-140"/>
        </w:rPr>
        <w:t>）</w:t>
      </w:r>
      <w:r>
        <w:rPr/>
        <w:t>。</w:t>
      </w:r>
    </w:p>
    <w:p>
      <w:pPr>
        <w:pStyle w:val="BodyText"/>
        <w:spacing w:line="417" w:lineRule="auto" w:before="154"/>
        <w:ind w:right="258" w:firstLine="559"/>
      </w:pPr>
      <w:r>
        <w:rPr>
          <w:b/>
          <w:spacing w:val="-9"/>
        </w:rPr>
        <w:t>【问题二：整院面积最大】</w:t>
      </w:r>
      <w:r>
        <w:rPr>
          <w:spacing w:val="-7"/>
        </w:rPr>
        <w:t>利用问题一的结果，设计针对每户住</w:t>
      </w:r>
      <w:r>
        <w:rPr>
          <w:spacing w:val="-11"/>
        </w:rPr>
        <w:t>户的搬迁决策，使得最终搬迁后空出的完整院落最多，在此基础上完</w:t>
      </w:r>
      <w:r>
        <w:rPr>
          <w:spacing w:val="-12"/>
        </w:rPr>
        <w:t>整院落尽可能相互毗邻，且总面积最大。这个过程中要注意搬迁住户</w:t>
      </w:r>
      <w:r>
        <w:rPr>
          <w:spacing w:val="-17"/>
        </w:rPr>
        <w:t>数应尽量少。请通过计算回答：应该如何搬迁？搬了哪些院子的居民， </w:t>
      </w:r>
      <w:r>
        <w:rPr>
          <w:spacing w:val="-11"/>
        </w:rPr>
        <w:t>从哪个地块搬到哪个地块，搬迁腾出的整院是哪些，并结算共投入多</w:t>
      </w:r>
      <w:r>
        <w:rPr>
          <w:spacing w:val="-12"/>
        </w:rPr>
        <w:t>少成本，最终的整院面积和最终的收入及盈利</w:t>
      </w:r>
      <w:r>
        <w:rPr/>
        <w:t>（</w:t>
      </w:r>
      <w:r>
        <w:rPr>
          <w:spacing w:val="-3"/>
        </w:rPr>
        <w:t>请注意尽量在保底规划成本内完成，如果实在不满足再使用备用金</w:t>
      </w:r>
      <w:r>
        <w:rPr>
          <w:spacing w:val="-140"/>
        </w:rPr>
        <w:t>）</w:t>
      </w:r>
      <w:r>
        <w:rPr/>
        <w:t>。</w:t>
      </w:r>
    </w:p>
    <w:p>
      <w:pPr>
        <w:spacing w:line="417" w:lineRule="auto" w:before="155"/>
        <w:ind w:left="120" w:right="397" w:firstLine="559"/>
        <w:jc w:val="left"/>
        <w:rPr>
          <w:sz w:val="28"/>
        </w:rPr>
      </w:pPr>
      <w:r>
        <w:rPr>
          <w:b/>
          <w:spacing w:val="-11"/>
          <w:sz w:val="28"/>
        </w:rPr>
        <w:t>【问题三：性价增益的搬迁拐点计算】</w:t>
      </w:r>
      <w:r>
        <w:rPr>
          <w:spacing w:val="-3"/>
          <w:sz w:val="28"/>
        </w:rPr>
        <w:t>在不考虑保底规划成本约</w:t>
      </w:r>
      <w:r>
        <w:rPr>
          <w:spacing w:val="-11"/>
          <w:sz w:val="28"/>
        </w:rPr>
        <w:t>束时，计算投资回报率：开发商往往希望以十年为期限，使搬迁十年</w:t>
      </w:r>
    </w:p>
    <w:p>
      <w:pPr>
        <w:spacing w:after="0" w:line="417" w:lineRule="auto"/>
        <w:jc w:val="left"/>
        <w:rPr>
          <w:sz w:val="28"/>
        </w:rPr>
        <w:sectPr>
          <w:pgSz w:w="11910" w:h="16840"/>
          <w:pgMar w:top="1520" w:bottom="280" w:left="1680" w:right="1400"/>
        </w:sectPr>
      </w:pPr>
    </w:p>
    <w:p>
      <w:pPr>
        <w:pStyle w:val="BodyText"/>
        <w:spacing w:line="417" w:lineRule="auto" w:before="55"/>
        <w:ind w:right="303"/>
      </w:pPr>
      <w:r>
        <w:rPr/>
        <w:t>的租金收益相比于不搬迁的增量</w:t>
      </w:r>
      <w:r>
        <w:rPr>
          <w:rFonts w:ascii="Times New Roman" w:eastAsia="Times New Roman"/>
          <w:spacing w:val="3"/>
        </w:rPr>
        <w:t>/</w:t>
      </w:r>
      <w:r>
        <w:rPr/>
        <w:t>实际搬迁投入（</w:t>
      </w:r>
      <w:r>
        <w:rPr>
          <w:spacing w:val="-7"/>
        </w:rPr>
        <w:t>称为性价比 </w:t>
      </w:r>
      <w:r>
        <w:rPr>
          <w:rFonts w:ascii="Times New Roman" w:eastAsia="Times New Roman"/>
          <w:spacing w:val="3"/>
        </w:rPr>
        <w:t>m</w:t>
      </w:r>
      <w:r>
        <w:rPr>
          <w:spacing w:val="3"/>
        </w:rPr>
        <w:t>）</w:t>
      </w:r>
      <w:r>
        <w:rPr/>
        <w:t>大</w:t>
      </w:r>
      <w:r>
        <w:rPr>
          <w:spacing w:val="-11"/>
        </w:rPr>
        <w:t>于等于 </w:t>
      </w:r>
      <w:r>
        <w:rPr>
          <w:rFonts w:ascii="Times New Roman" w:eastAsia="Times New Roman"/>
        </w:rPr>
        <w:t>20</w:t>
      </w:r>
      <w:r>
        <w:rPr/>
        <w:t>。假定十年内租金没有明显变化，那么在搬迁进程中，是</w:t>
      </w:r>
      <w:r>
        <w:rPr>
          <w:spacing w:val="-7"/>
        </w:rPr>
        <w:t>否存在性价增益的拐点？即达到某个搬迁的平稳状态，再搬迁带来的</w:t>
      </w:r>
      <w:r>
        <w:rPr>
          <w:spacing w:val="-9"/>
        </w:rPr>
        <w:t>性价比开始变低了？如有，请计算出该拐点是何种情况：搬了哪些院</w:t>
      </w:r>
      <w:r>
        <w:rPr>
          <w:spacing w:val="-11"/>
        </w:rPr>
        <w:t>子的居民，从哪个地块搬到哪个地块，搬迁腾出的整院是哪些，并结</w:t>
      </w:r>
      <w:r>
        <w:rPr>
          <w:spacing w:val="-3"/>
        </w:rPr>
        <w:t>算共投入多少成本，最终的整院面积和最终的收入及盈利。如没有， </w:t>
      </w:r>
      <w:r>
        <w:rPr>
          <w:spacing w:val="9"/>
        </w:rPr>
        <w:t>请讨论性价比</w:t>
      </w:r>
      <w:r>
        <w:rPr>
          <w:rFonts w:ascii="Times New Roman" w:eastAsia="Times New Roman"/>
        </w:rPr>
        <w:t>m </w:t>
      </w:r>
      <w:r>
        <w:rPr>
          <w:spacing w:val="-3"/>
        </w:rPr>
        <w:t>降低到至少多少就能存在拐点？</w:t>
      </w:r>
    </w:p>
    <w:p>
      <w:pPr>
        <w:pStyle w:val="BodyText"/>
        <w:spacing w:line="417" w:lineRule="auto" w:before="155"/>
        <w:ind w:right="397" w:firstLine="559"/>
        <w:jc w:val="both"/>
      </w:pPr>
      <w:r>
        <w:rPr>
          <w:b/>
          <w:spacing w:val="-11"/>
        </w:rPr>
        <w:t>【问题四：老城区平移置换决策软件设计】</w:t>
      </w:r>
      <w:r>
        <w:rPr>
          <w:spacing w:val="-3"/>
        </w:rPr>
        <w:t>规划局希望这个案例</w:t>
      </w:r>
      <w:r>
        <w:rPr>
          <w:spacing w:val="-10"/>
        </w:rPr>
        <w:t>能起到示范作用，推广到全国的老旧街区更新搬迁中，请你们设计一</w:t>
      </w:r>
      <w:r>
        <w:rPr>
          <w:spacing w:val="-11"/>
        </w:rPr>
        <w:t>个软件框架，能够智能计算老城区平移置换决策，指出该软件应该设</w:t>
      </w:r>
      <w:r>
        <w:rPr>
          <w:spacing w:val="-10"/>
        </w:rPr>
        <w:t>定哪些人工输入的参数，通过怎样的计算步骤，可以融合你们的模型</w:t>
      </w:r>
      <w:r>
        <w:rPr>
          <w:spacing w:val="-4"/>
        </w:rPr>
        <w:t>设计，自动计算出问题二和问题三的答案。</w:t>
      </w:r>
    </w:p>
    <w:sectPr>
      <w:pgSz w:w="11910" w:h="16840"/>
      <w:pgMar w:top="1500" w:bottom="280" w:left="1680" w:right="14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仿宋">
    <w:altName w:val="仿宋"/>
    <w:charset w:val="86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03" w:hanging="284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42" w:hanging="28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85" w:hanging="28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27" w:hanging="28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70" w:hanging="28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613" w:hanging="28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455" w:hanging="28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298" w:hanging="28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140" w:hanging="284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仿宋" w:hAnsi="仿宋" w:eastAsia="仿宋" w:cs="仿宋"/>
      <w:lang w:val="zh-CN" w:eastAsia="zh-CN" w:bidi="zh-CN"/>
    </w:rPr>
  </w:style>
  <w:style w:styleId="BodyText" w:type="paragraph">
    <w:name w:val="Body Text"/>
    <w:basedOn w:val="Normal"/>
    <w:uiPriority w:val="1"/>
    <w:qFormat/>
    <w:pPr>
      <w:ind w:left="120"/>
    </w:pPr>
    <w:rPr>
      <w:rFonts w:ascii="仿宋" w:hAnsi="仿宋" w:eastAsia="仿宋" w:cs="仿宋"/>
      <w:sz w:val="28"/>
      <w:szCs w:val="28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54" w:right="331"/>
      <w:jc w:val="center"/>
      <w:outlineLvl w:val="1"/>
    </w:pPr>
    <w:rPr>
      <w:rFonts w:ascii="微软雅黑" w:hAnsi="微软雅黑" w:eastAsia="微软雅黑" w:cs="微软雅黑"/>
      <w:sz w:val="36"/>
      <w:szCs w:val="36"/>
      <w:lang w:val="zh-CN" w:eastAsia="zh-CN" w:bidi="zh-CN"/>
    </w:rPr>
  </w:style>
  <w:style w:styleId="Heading2" w:type="paragraph">
    <w:name w:val="Heading 2"/>
    <w:basedOn w:val="Normal"/>
    <w:uiPriority w:val="1"/>
    <w:qFormat/>
    <w:pPr>
      <w:spacing w:before="1"/>
      <w:ind w:left="120"/>
      <w:outlineLvl w:val="2"/>
    </w:pPr>
    <w:rPr>
      <w:rFonts w:ascii="仿宋" w:hAnsi="仿宋" w:eastAsia="仿宋" w:cs="仿宋"/>
      <w:b/>
      <w:bCs/>
      <w:sz w:val="28"/>
      <w:szCs w:val="28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403" w:right="397" w:hanging="284"/>
      <w:jc w:val="both"/>
    </w:pPr>
    <w:rPr>
      <w:rFonts w:ascii="仿宋" w:hAnsi="仿宋" w:eastAsia="仿宋" w:cs="仿宋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 Yu</dc:creator>
  <dcterms:created xsi:type="dcterms:W3CDTF">2025-04-18T00:33:41Z</dcterms:created>
  <dcterms:modified xsi:type="dcterms:W3CDTF">2025-04-18T00:33:41Z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2025-04-18T00:00:00Z</vt:filetime>
  </property>
</Properties>
</file>