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CCFC01" w14:textId="77777777" w:rsidR="004771D9" w:rsidRDefault="004771D9" w:rsidP="007D5266">
      <w:pPr>
        <w:spacing w:line="480" w:lineRule="auto"/>
        <w:jc w:val="center"/>
      </w:pPr>
      <w:r>
        <w:t>Executive Summary</w:t>
      </w:r>
    </w:p>
    <w:p w14:paraId="5BEC6EFB" w14:textId="67485C4D" w:rsidR="004771D9" w:rsidRDefault="008240AB" w:rsidP="00F16EB0">
      <w:pPr>
        <w:spacing w:line="480" w:lineRule="auto"/>
        <w:ind w:firstLine="720"/>
      </w:pPr>
      <w:r>
        <w:t xml:space="preserve">The University of Virginia (UVA) has a meaningful foundation of international financial support, but the data indicate that substantial opportunities remain to broaden and strengthen its foreign-giving relationship. </w:t>
      </w:r>
      <w:r w:rsidR="00405A84">
        <w:t xml:space="preserve">Across the 2014 through June 2020 dataset period, </w:t>
      </w:r>
      <w:r>
        <w:t>UVA received approximately $22.19 million across 98</w:t>
      </w:r>
      <w:r w:rsidR="008F5D0B">
        <w:t xml:space="preserve"> </w:t>
      </w:r>
      <w:r>
        <w:t>foreign</w:t>
      </w:r>
      <w:r w:rsidR="008F5D0B">
        <w:t>-</w:t>
      </w:r>
      <w:r>
        <w:t>giving</w:t>
      </w:r>
      <w:r w:rsidR="008F5D0B">
        <w:t xml:space="preserve"> records and ranked 101</w:t>
      </w:r>
      <w:r w:rsidR="008F5D0B" w:rsidRPr="008F5D0B">
        <w:rPr>
          <w:vertAlign w:val="superscript"/>
        </w:rPr>
        <w:t>st</w:t>
      </w:r>
      <w:r w:rsidR="008F5D0B">
        <w:t xml:space="preserve"> out of 318 institutions, placing it above the overall institutional median of approximately $6.49 million but below the mean of approximately $52.20 million. This position is important because UVA also recorded fewer foreign-giving relationships than each of the selected peer institutions, even though its average transaction of approximately $226,000 exceeded that of UNC-Chapel Hill, suggesting that UVA’s relative gap is not solely a matter of transaction size but also of the breadth of its international relationships. Accordingly, UVA should pursue a two-part strategy of expanding established relationships in markets such as England, Bangladesh, and Sweden while investigating underdeveloped markets where peer institutions demonstrate substantially greater activity, particularly France, China, Canada, Germany, and Japan. Because the dataset includes contracts, monetary gifts, and real-estate transactions, these findings should be treated as evidence for prospect identification and further development research rather than as proof that every recorded dollar represents traditional philanthropic giving. </w:t>
      </w:r>
    </w:p>
    <w:p w14:paraId="186A6B01" w14:textId="77777777" w:rsidR="004771D9" w:rsidRDefault="0021742A" w:rsidP="007D5266">
      <w:pPr>
        <w:spacing w:line="480" w:lineRule="auto"/>
      </w:pPr>
      <w:r>
        <w:t>Summary</w:t>
      </w:r>
    </w:p>
    <w:p w14:paraId="4597B458" w14:textId="77777777" w:rsidR="0021742A" w:rsidRDefault="00E204A1" w:rsidP="007D5266">
      <w:pPr>
        <w:spacing w:line="480" w:lineRule="auto"/>
      </w:pPr>
      <w:r>
        <w:tab/>
      </w:r>
      <w:r w:rsidR="005418F5">
        <w:t xml:space="preserve">Foreign financial activity involving United States (U.S.) academic institutions is highly concentrated, and the dataset shows that different measures of activity produce different market leaders. The data </w:t>
      </w:r>
      <w:r w:rsidR="00222C2F">
        <w:rPr>
          <w:kern w:val="0"/>
          <w14:ligatures w14:val="none"/>
        </w:rPr>
        <w:t>include three classes of foreign support: 17,274 contracts, 10,936 monetary gifts, and only 11 real-estate transactions, showing that the dataset captures several forms of foreign financial engagement beyond traditional philanthropy.</w:t>
      </w:r>
      <w:r w:rsidR="005418F5">
        <w:t xml:space="preserve"> At the country level, Qatar accounts for the largest total amount at approximately $2.71 billion, while England has the greatest number of records at 3,655, and Bermuda has the largest average transaction at approximately $7.68 million. Similar concentration appears among recipient institutions: Carnegie Mellon University received approximately $1.48 billion, the largest total in the dataset, while UCLA recorded the greatest number of transactions at 3,916. The largest single country-to-institution flow was approximately </w:t>
      </w:r>
      <w:r w:rsidR="005418F5">
        <w:lastRenderedPageBreak/>
        <w:t xml:space="preserve">$1.02 billion from Qatar to Cornell University, and the leading named </w:t>
      </w:r>
      <w:proofErr w:type="spellStart"/>
      <w:r w:rsidR="005418F5">
        <w:t>giftors</w:t>
      </w:r>
      <w:proofErr w:type="spellEnd"/>
      <w:r w:rsidR="005418F5">
        <w:t xml:space="preserve"> included Qatar Foundation at approximately $1.17 billion, Qatar Foundation/Qatar National Res. at approximately $796.2 million, and Qatar Foundation for Education at approximately $373.9 million. These</w:t>
      </w:r>
      <w:r w:rsidR="00434106">
        <w:t xml:space="preserve"> </w:t>
      </w:r>
      <w:r w:rsidR="005418F5">
        <w:t>differences matter because total dollar</w:t>
      </w:r>
      <w:r w:rsidR="004D6C71">
        <w:t>s</w:t>
      </w:r>
      <w:r w:rsidR="005418F5">
        <w:t xml:space="preserve">, record frequency, and average transaction size describe different characteristics of foreign activity. A country may account for the greatest total value without producing the greatest number of transactions, while another may exhibit fewer but substantially larger transactions. </w:t>
      </w:r>
      <w:r w:rsidR="00236B09">
        <w:t>Therefore</w:t>
      </w:r>
      <w:r w:rsidR="005418F5">
        <w:t xml:space="preserve">, no single ranking fully describes the foreign-giving market. </w:t>
      </w:r>
      <w:r w:rsidR="00222C2F">
        <w:t xml:space="preserve">This distinction also has a statutory basis: Section 117 of the Higher Education Act, 20 U.S.C. (United States Code) § 1011f, separately addresses qualifying foreign gifts and contracts, reinforcing that the dataset represents reportable foreign relationships rather than charitable giving alone. </w:t>
      </w:r>
    </w:p>
    <w:p w14:paraId="67EE6989" w14:textId="77777777" w:rsidR="005418F5" w:rsidRDefault="005418F5" w:rsidP="007D5266">
      <w:pPr>
        <w:spacing w:line="480" w:lineRule="auto"/>
      </w:pPr>
      <w:r>
        <w:tab/>
        <w:t>Foreign financial support is also distributed very unevenly across U.S. academic institutions, with a small number of institutions accounting for exceptionally large totals. The mean amount received per institution is approximately $52.20 million, whereas the median is only approximately $6.49 million. The substantial difference between those two measures</w:t>
      </w:r>
      <w:r w:rsidR="00912C2C">
        <w:t xml:space="preserve">, together with the strongly right-skewed distribution shown in the histogram, indicates that a relatively small number of institutions with exceptionally large totals pull the overall average upward. This pattern is visible among the highest-funded institutions: Carnegie Mellon received approximately $1.48 billion, Cornell approximately $1.29 billion, Harvard approximately $954.8 million, MIT approximately $859.1 million, and Yale approximately $613.4 million. Because these extreme values substantially influence the mean, neither the mean nor the median alone provides a complete benchmark for evaluating an institution such as UVA. UVA’s positions below the $52.20 million mean should therefore not automatically be interpreted as poor performance, just as exceeding the $6.49 million median does not by itself establish strong performance. The disparity instead demonstrates why UVA’s results need to be examined both within the overall distribution and relative to institutions that provide more meaningful points of comparison. </w:t>
      </w:r>
    </w:p>
    <w:p w14:paraId="4053973E" w14:textId="77777777" w:rsidR="00E204A1" w:rsidRDefault="00912C2C" w:rsidP="007D5266">
      <w:pPr>
        <w:spacing w:line="480" w:lineRule="auto"/>
      </w:pPr>
      <w:r>
        <w:tab/>
      </w:r>
      <w:r w:rsidR="005C4226">
        <w:t xml:space="preserve">Within the uneven national market, UVA demonstrates meaningful foreign financial activity but remains well below several selected peer institutions in both total value and recorded activity. UVA has 98 </w:t>
      </w:r>
      <w:r w:rsidR="005C4226">
        <w:lastRenderedPageBreak/>
        <w:t>foreign-funding records totaling approximately $22.19 million, with an average transaction of approximately $226,421, and ranks 101</w:t>
      </w:r>
      <w:r w:rsidR="005C4226" w:rsidRPr="005C4226">
        <w:rPr>
          <w:vertAlign w:val="superscript"/>
        </w:rPr>
        <w:t>st</w:t>
      </w:r>
      <w:r w:rsidR="005C4226">
        <w:t xml:space="preserve"> among 318 institutions by total foreign giving. This places UVA substantially above the overall institutional median of approximately $6.49 million but below the approximately $52.20 million mean. UVA’s foreign activity is also distributed differently across countries. Bangladesh represents the largest to</w:t>
      </w:r>
      <w:r w:rsidR="00EE2451">
        <w:t>t</w:t>
      </w:r>
      <w:r w:rsidR="005C4226">
        <w:t xml:space="preserve">al at approximately $4.23 million, while England accounts for the greatest frequency of recorded activity with 31 records; Israel follows with 12, and Bangladesh and Sweden each have 10. </w:t>
      </w:r>
      <w:r w:rsidR="00434106">
        <w:t>T</w:t>
      </w:r>
      <w:r w:rsidR="005C4226">
        <w:t xml:space="preserve">his distinction </w:t>
      </w:r>
      <w:r w:rsidR="00434106">
        <w:t>matters</w:t>
      </w:r>
      <w:r w:rsidR="005C4226">
        <w:t xml:space="preserve"> because UVA’s leading country by total value is not the same as its leading country by transaction frequency. Bangladesh and Sweden therefore represent relatively high-value concentrations in the data, whereas England reflects substantially more frequent recorded activity but a lower aggregate dollar amount than either Bangladesh or Sweden. When UVA is compared with the selected peers, the difference becomes more pronounced: Duke received approximately $343.7 million, UC Berkel</w:t>
      </w:r>
      <w:r w:rsidR="00EE2451">
        <w:t>e</w:t>
      </w:r>
      <w:r w:rsidR="005C4226">
        <w:t>y approximately $294.5 million, Michigan approximately $287.3 million, and UNC-Chapel Hill approximately $41.3 million, compared with UVA’s $22.19 million. UVA also had the fewest records amon</w:t>
      </w:r>
      <w:r w:rsidR="00EE2451">
        <w:t>g</w:t>
      </w:r>
      <w:r w:rsidR="005C4226">
        <w:t xml:space="preserve"> these ins</w:t>
      </w:r>
      <w:r w:rsidR="00EE2451">
        <w:t>t</w:t>
      </w:r>
      <w:r w:rsidR="005C4226">
        <w:t xml:space="preserve">itutions, although its average transaction exceeded UNC-Chapel Hill’s. Taken together, these results show that UVA’s comparative position cannot be explained simply by the size of individual transactions; its lower aggregate total occurs alongside a substantially smaller volume of recorded foreign activity. </w:t>
      </w:r>
      <w:r w:rsidR="005400E6">
        <w:t>These comparisons</w:t>
      </w:r>
      <w:r w:rsidR="00D63513">
        <w:t>,</w:t>
      </w:r>
      <w:r w:rsidR="005400E6">
        <w:t xml:space="preserve"> however, are not fully standardized: universities differ in enrollment, research activity, and financial scale; countries differ in population, economic output, income, and industry composition; and inflation and foreign-exchange movements can affect nominal dollar comparisons across time and countries. The figures should therefore be interpreted as indicators of relative patterns rather than exact measures of institutional performance or country-level financial potential. </w:t>
      </w:r>
    </w:p>
    <w:p w14:paraId="61DE03A2" w14:textId="77777777" w:rsidR="0021742A" w:rsidRDefault="0021742A" w:rsidP="007D5266">
      <w:pPr>
        <w:spacing w:line="480" w:lineRule="auto"/>
      </w:pPr>
      <w:r>
        <w:t>Strategy</w:t>
      </w:r>
    </w:p>
    <w:p w14:paraId="1D3E3D16" w14:textId="77777777" w:rsidR="009A3033" w:rsidRDefault="009A3033" w:rsidP="007D5266">
      <w:pPr>
        <w:spacing w:line="480" w:lineRule="auto"/>
      </w:pPr>
      <w:r>
        <w:tab/>
        <w:t xml:space="preserve">UVA should begin by using both its existing foreign activity and the performance of comparable universities to determine where additional international opportunities are most likely to exist. UVA’s current activity shows different forms of engagement across England, Bangladesh, and Sweden: England accounts for the greatest frequency with 31 records totaling approximately $1.95 million, while Bangladesh represents </w:t>
      </w:r>
      <w:r>
        <w:lastRenderedPageBreak/>
        <w:t>UVA’s largest to</w:t>
      </w:r>
      <w:r w:rsidR="005056D2">
        <w:t>t</w:t>
      </w:r>
      <w:r>
        <w:t>al source at approximately $4.23 million across 10 records</w:t>
      </w:r>
      <w:r w:rsidR="005056D2">
        <w:t xml:space="preserve">, and Sweden follows closely at approximately $4.01 million across 10 records. These markets are significant because UVA has already demonstrated financial success with them, although the patterns differ: England reflects more frequent activity, while Bangladesh and Sweden generate greater aggregate value from fewer records. At the same time, UVA’s selected peers provide an important benchmark because UVA recorded approximately $22.19 million across only 98 records, compared with approximately $343.7 million across 145 records at Duke, $294.5 million across 394 records at UC Berkeley, $287.3 million across 715 records at Michigan, and $41.3 million across 286 records at UNC-Chapel Hill. UVA’s average transaction nevertheless exceeds UNC’s, indicating that its comparative weakness cannot be explained simply by individual transactions being too small. Rather, the combination of fewer records and lower aggregate funding suggests that UVA may have a narrower and less diversified international funding base, making both existing-market expansion and the identification of additional sources relevant to future growth. </w:t>
      </w:r>
    </w:p>
    <w:p w14:paraId="77BA49A8" w14:textId="77777777" w:rsidR="000A1664" w:rsidRDefault="000A1664" w:rsidP="007D5266">
      <w:pPr>
        <w:spacing w:line="480" w:lineRule="auto"/>
      </w:pPr>
      <w:r>
        <w:tab/>
        <w:t>The peer comparison further identifies specific countries that merit closer investigation because comparable un</w:t>
      </w:r>
      <w:r w:rsidR="00D93CF6">
        <w:t xml:space="preserve">iversities demonstrate substantially greater financial activity there than UVA. </w:t>
      </w:r>
      <w:r w:rsidR="00FA0CD8">
        <w:t>France represents the largest disparity, with approximately $163.4 million recorded among the selected peers compared with only about $250,000 at UVA. Other major gaps include England at approximately $92.4 million among peers compared with $1.95 million at UVA, Sweden at approximately $78.7 million compared with $4.01 million, China at approximately $70.9 million compared with no recorded UVA activity, Switzerland at approximately $56.6 million compared with $2.0 million, Japan at approximately $49.9 million compared with roughly $270,000, and Canada at approximately $43.7 million compared with no recorded UVA activity.</w:t>
      </w:r>
      <w:r w:rsidR="006507D3">
        <w:t xml:space="preserve"> T</w:t>
      </w:r>
      <w:r w:rsidR="00FA0CD8">
        <w:t>hese</w:t>
      </w:r>
      <w:r w:rsidR="006507D3">
        <w:t xml:space="preserve"> </w:t>
      </w:r>
      <w:r w:rsidR="00FA0CD8">
        <w:t>differences matter because they provide evidence that organizations in these countries already maintain significant financial relations with U.S. institutions comparable to UVA, making them more defensible areas for prospect research than markets selected merely because of economic size or perceived wealth. The distinction</w:t>
      </w:r>
      <w:r w:rsidR="00E5076B">
        <w:t>s</w:t>
      </w:r>
      <w:r w:rsidR="00FA0CD8">
        <w:t xml:space="preserve"> among the countries are also important: China and Canada may represent new-market opportunities because the dataset records substantial peer activity but no UVA activity, whereas England and </w:t>
      </w:r>
      <w:r w:rsidR="00FA0CD8">
        <w:lastRenderedPageBreak/>
        <w:t xml:space="preserve">Sweden should be viewed as areas in which UVA already has engagement that could potentially be studied and expanded. France is particularly notable because of the size of the peer-UVA disparity, but the approximately $163 million gap should not be interpreted as unrealized philanthropy; it may include contracts, specialized research relationships, one-time transactions, and circumstances unique to individual institutions. These figures therefore identify markets worthy of further investigation rather than amounts UVA should expect to reproduce. </w:t>
      </w:r>
    </w:p>
    <w:p w14:paraId="40A8BBF9" w14:textId="77777777" w:rsidR="00FA0CD8" w:rsidRDefault="00FA0CD8" w:rsidP="007D5266">
      <w:pPr>
        <w:spacing w:line="480" w:lineRule="auto"/>
      </w:pPr>
      <w:r>
        <w:tab/>
      </w:r>
      <w:r w:rsidR="00002614">
        <w:t xml:space="preserve">Once promising countries are identified, UVA should narrow the analysis to the specific organizations and sectors responsible for peer activity rather than treating entire countries as fundraising targets. </w:t>
      </w:r>
      <w:r w:rsidR="00455439">
        <w:t>The donor-level analysis demonstrates how that process can become more precise: French activity includes Sanofi</w:t>
      </w:r>
      <w:r w:rsidR="00EC68F0">
        <w:t>-</w:t>
      </w:r>
      <w:r w:rsidR="00455439">
        <w:t>Aventis</w:t>
      </w:r>
      <w:r w:rsidR="00EC68F0">
        <w:t xml:space="preserve"> </w:t>
      </w:r>
      <w:r w:rsidR="00455439">
        <w:t xml:space="preserve">related entities and Airbus; German activity includes BASF and Bayer Healthcare; Canadian examples include the Li Ka Shing (Canada) Foundation, Sinai Health System, and the </w:t>
      </w:r>
      <w:proofErr w:type="spellStart"/>
      <w:r w:rsidR="00455439">
        <w:t>Philomathia</w:t>
      </w:r>
      <w:proofErr w:type="spellEnd"/>
      <w:r w:rsidR="00455439">
        <w:t xml:space="preserve"> Foundation; Chinese records include organizations connected with technology, investment, healthcare, and academic partnerships, including </w:t>
      </w:r>
      <w:proofErr w:type="spellStart"/>
      <w:r w:rsidR="00455439">
        <w:t>Frontt</w:t>
      </w:r>
      <w:proofErr w:type="spellEnd"/>
      <w:r w:rsidR="00455439">
        <w:t xml:space="preserve"> Capital Management, Duke Kunshan University, and Beijing </w:t>
      </w:r>
      <w:proofErr w:type="spellStart"/>
      <w:r w:rsidR="00455439">
        <w:t>AutoBrain</w:t>
      </w:r>
      <w:proofErr w:type="spellEnd"/>
      <w:r w:rsidR="00455439">
        <w:t xml:space="preserve"> Technology; and Japanese activity includes Toyota and Honda. These examples are important because countries themselves are not donors- </w:t>
      </w:r>
      <w:r w:rsidR="00FC0D16">
        <w:t>financial</w:t>
      </w:r>
      <w:r w:rsidR="00455439">
        <w:t xml:space="preserve"> </w:t>
      </w:r>
      <w:r w:rsidR="00FC0D16">
        <w:t>relationships aris</w:t>
      </w:r>
      <w:r w:rsidR="00455439">
        <w:t>e through corporations, foundations, research ins</w:t>
      </w:r>
      <w:r w:rsidR="00FC0D16">
        <w:t>tit</w:t>
      </w:r>
      <w:r w:rsidR="00455439">
        <w:t xml:space="preserve">utions, and other organizations with particular interests in healthcare, pharmaceuticals, engineering, technology, research, academic collaboration, or related areas. </w:t>
      </w:r>
      <w:r w:rsidR="00236B09">
        <w:t>Thus</w:t>
      </w:r>
      <w:r w:rsidR="00455439">
        <w:t xml:space="preserve">, UVA can use the data as a prospecting process that moves from country to sector to organization to demonstrated peer relationship to potential UVA alignment to prospect qualification. </w:t>
      </w:r>
      <w:r w:rsidR="003E150B">
        <w:t xml:space="preserve">This approach turns the quantitative analysis into an actionable development strategy by allowing UVA to examine whether organizations already supporting comparable universities have interests that correspond with UVA Health, engineering, artificial intelligence, research, or other institutional strengths, while also broadening the number and diversity of potential international sources rather than focusing exclusively on securing larger individual transactions. </w:t>
      </w:r>
    </w:p>
    <w:p w14:paraId="244028BC" w14:textId="77777777" w:rsidR="00F16EB0" w:rsidRDefault="00F16EB0" w:rsidP="007D5266">
      <w:pPr>
        <w:spacing w:line="480" w:lineRule="auto"/>
      </w:pPr>
    </w:p>
    <w:p w14:paraId="4C676FA4" w14:textId="77777777" w:rsidR="00F16EB0" w:rsidRDefault="00F16EB0" w:rsidP="007D5266">
      <w:pPr>
        <w:spacing w:line="480" w:lineRule="auto"/>
      </w:pPr>
    </w:p>
    <w:p w14:paraId="3732BB06" w14:textId="77777777" w:rsidR="0021742A" w:rsidRDefault="0021742A" w:rsidP="007D5266">
      <w:pPr>
        <w:spacing w:line="480" w:lineRule="auto"/>
      </w:pPr>
      <w:r>
        <w:lastRenderedPageBreak/>
        <w:t>Conclusion</w:t>
      </w:r>
    </w:p>
    <w:p w14:paraId="303DA3DB" w14:textId="77777777" w:rsidR="004771D9" w:rsidRDefault="00F443CE" w:rsidP="007D5266">
      <w:pPr>
        <w:spacing w:line="480" w:lineRule="auto"/>
      </w:pPr>
      <w:r>
        <w:tab/>
      </w:r>
      <w:r w:rsidR="00144AC8">
        <w:t>UVA has credible prospects for increasing foreign financial support because it already possesses an established international base while remaining substantially below several comparable institutions in both aggregate value and recorded activity. UVA has approximately $22.19 million across 98 records and ranks 101</w:t>
      </w:r>
      <w:r w:rsidR="00144AC8" w:rsidRPr="00144AC8">
        <w:rPr>
          <w:vertAlign w:val="superscript"/>
        </w:rPr>
        <w:t>st</w:t>
      </w:r>
      <w:r w:rsidR="00144AC8">
        <w:t xml:space="preserve"> among 318 institutions, placing it above the overall median of approximately $6.49 million but below the mean of approximately $52.20 million. The significance of these findings is strengthened by three levels of evidence: the national analysis identifies where for</w:t>
      </w:r>
      <w:r w:rsidR="004F0F6D">
        <w:t xml:space="preserve">eign financial activity is concentrated across U.S. universities; the peer analysis identifies markets in which comparable institutions substantially outperform UVA; and the donor-level analysis identifies organizations and sectors associated with those relationships. Together, these findings show that UVA is neither starting from zero nor limited to speculative opportunities, but instead has an existing foundation that can be evaluated alongside identifiable areas of comparative underrepresentation. The results should nevertheless be interpreted cautiously because the dataset contains contracts, monetary gifts, and real-estate transactions, includes some inconsistent donor naming, and reflects historical activity rather than future donor intent. </w:t>
      </w:r>
      <w:r w:rsidR="00A32697">
        <w:t>Hence</w:t>
      </w:r>
      <w:r w:rsidR="004F0F6D">
        <w:t xml:space="preserve">, the analysis is strongest as a tool for prioritizing additional prospect research and evaluating where UVA may have realistic opportunities to expand its international financial relationships. </w:t>
      </w:r>
    </w:p>
    <w:p w14:paraId="47C3D7C2" w14:textId="77777777" w:rsidR="008F5D0B" w:rsidRDefault="008F5D0B" w:rsidP="007D5266">
      <w:pPr>
        <w:spacing w:line="480" w:lineRule="auto"/>
      </w:pPr>
      <w:r>
        <w:tab/>
      </w:r>
    </w:p>
    <w:sectPr w:rsidR="008F5D0B" w:rsidSect="007D526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0AB"/>
    <w:rsid w:val="00002614"/>
    <w:rsid w:val="000A1664"/>
    <w:rsid w:val="00144AC8"/>
    <w:rsid w:val="0021742A"/>
    <w:rsid w:val="00222C2F"/>
    <w:rsid w:val="00236B09"/>
    <w:rsid w:val="002C375F"/>
    <w:rsid w:val="003864A0"/>
    <w:rsid w:val="003E150B"/>
    <w:rsid w:val="00405A84"/>
    <w:rsid w:val="00434106"/>
    <w:rsid w:val="00455439"/>
    <w:rsid w:val="004771D9"/>
    <w:rsid w:val="004C702F"/>
    <w:rsid w:val="004D6C71"/>
    <w:rsid w:val="004E21E9"/>
    <w:rsid w:val="004F0F6D"/>
    <w:rsid w:val="005056D2"/>
    <w:rsid w:val="00505D7E"/>
    <w:rsid w:val="005400E6"/>
    <w:rsid w:val="005418F5"/>
    <w:rsid w:val="00574146"/>
    <w:rsid w:val="005C4226"/>
    <w:rsid w:val="00631258"/>
    <w:rsid w:val="006507D3"/>
    <w:rsid w:val="007D5266"/>
    <w:rsid w:val="008240AB"/>
    <w:rsid w:val="008F5D0B"/>
    <w:rsid w:val="00912C2C"/>
    <w:rsid w:val="009A3033"/>
    <w:rsid w:val="009B0031"/>
    <w:rsid w:val="00A01A0E"/>
    <w:rsid w:val="00A32697"/>
    <w:rsid w:val="00D4571A"/>
    <w:rsid w:val="00D60310"/>
    <w:rsid w:val="00D63513"/>
    <w:rsid w:val="00D93CF6"/>
    <w:rsid w:val="00DB11E7"/>
    <w:rsid w:val="00E204A1"/>
    <w:rsid w:val="00E5076B"/>
    <w:rsid w:val="00EC68F0"/>
    <w:rsid w:val="00ED5FF1"/>
    <w:rsid w:val="00EE2451"/>
    <w:rsid w:val="00F16EB0"/>
    <w:rsid w:val="00F443CE"/>
    <w:rsid w:val="00FA0CD8"/>
    <w:rsid w:val="00FC0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626E45"/>
  <w15:chartTrackingRefBased/>
  <w15:docId w15:val="{0E66085E-CA7A-A24E-B22F-58A1D8609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2095</Words>
  <Characters>11942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June</dc:creator>
  <cp:keywords/>
  <dc:description/>
  <cp:lastModifiedBy>Shawn June</cp:lastModifiedBy>
  <cp:revision>11</cp:revision>
  <dcterms:created xsi:type="dcterms:W3CDTF">2026-09-03T22:53:00Z</dcterms:created>
  <dcterms:modified xsi:type="dcterms:W3CDTF">2026-09-04T00:20:00Z</dcterms:modified>
</cp:coreProperties>
</file>