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酵素工学の目的関数設計再現性対策に関する調査"/>
    <w:p>
      <w:pPr>
        <w:pStyle w:val="Heading1"/>
      </w:pPr>
      <w:r>
        <w:rPr>
          <w:rFonts w:hint="eastAsia"/>
        </w:rPr>
        <w:t xml:space="preserve">酵素工学の目的関数設計・再現性対策に関する調査</w:t>
      </w:r>
    </w:p>
    <w:bookmarkStart w:id="41" w:name="活性と熱安定性を同時最適化した酵素工学論文-2015-年以降"/>
    <w:p>
      <w:pPr>
        <w:pStyle w:val="Heading2"/>
      </w:pPr>
      <w:r>
        <w:t xml:space="preserve">1 </w:t>
      </w:r>
      <w:r>
        <w:rPr>
          <w:rFonts w:hint="eastAsia"/>
        </w:rPr>
        <w:t xml:space="preserve">活性と熱安定性を同時最適化した酵素工学論文</w:t>
      </w:r>
      <w:r>
        <w:t xml:space="preserve"> (2015 </w:t>
      </w:r>
      <w:r>
        <w:rPr>
          <w:rFonts w:hint="eastAsia"/>
        </w:rPr>
        <w:t xml:space="preserve">年以降)</w:t>
      </w:r>
    </w:p>
    <w:p>
      <w:pPr>
        <w:pStyle w:val="FirstParagraph"/>
      </w:pPr>
      <w:r>
        <w:rPr>
          <w:rFonts w:hint="eastAsia"/>
          <w:b/>
          <w:bCs/>
        </w:rPr>
        <w:t xml:space="preserve">表1：2015</w:t>
      </w:r>
      <w:r>
        <w:rPr>
          <w:b/>
          <w:bCs/>
        </w:rPr>
        <w:t xml:space="preserve"> </w:t>
      </w:r>
      <w:r>
        <w:rPr>
          <w:rFonts w:hint="eastAsia"/>
          <w:b/>
          <w:bCs/>
        </w:rPr>
        <w:t xml:space="preserve">年以降に発表された酵素工学論文から、活性と熱安定性を同時に向上させる際に用いた目的関数設計（加重和、閾値制約、Pareto</w:t>
      </w:r>
      <w:r>
        <w:rPr>
          <w:b/>
          <w:bCs/>
        </w:rPr>
        <w:t xml:space="preserve"> </w:t>
      </w:r>
      <w:r>
        <w:rPr>
          <w:rFonts w:hint="eastAsia"/>
          <w:b/>
          <w:bCs/>
        </w:rPr>
        <w:t xml:space="preserve">最適化など）を整理し、主解析・補助解析の扱いと再現性対策を比較した。</w:t>
      </w:r>
      <w:r>
        <w:t xml:space="preserve"> </w:t>
      </w:r>
      <w:r>
        <w:rPr>
          <w:rFonts w:hint="eastAsia"/>
        </w:rPr>
        <w:t xml:space="preserve">多くの論文は目的関数を明示せず、個別変異の活性と</w:t>
      </w:r>
      <w:r>
        <w:t xml:space="preserve"> T​m </w:t>
      </w:r>
      <w:r>
        <w:rPr>
          <w:rFonts w:hint="eastAsia"/>
        </w:rPr>
        <w:t xml:space="preserve">を測定して「両立例」を提示しているが、機械学習や計算設計を利用した論文では重み付き和や</w:t>
      </w:r>
      <w:r>
        <w:t xml:space="preserve"> Pareto </w:t>
      </w:r>
      <w:r>
        <w:rPr>
          <w:rFonts w:hint="eastAsia"/>
        </w:rPr>
        <w:t xml:space="preserve">最適化が使用されている。表の列は、発表年・論文/対象酵素、目的関数設計、主解析/補助解析の扱い、再現性への配慮を示す。各論文の重要箇所に</w:t>
      </w:r>
      <w:r>
        <w:t xml:space="preserve"> PMC </w:t>
      </w:r>
      <w:r>
        <w:rPr>
          <w:rFonts w:hint="eastAsia"/>
        </w:rPr>
        <w:t xml:space="preserve">等の出典を示した。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発表年・論文/対象酵素</w:t>
            </w:r>
          </w:p>
        </w:tc>
        <w:tc>
          <w:tcPr/>
          <w:p>
            <w:pPr>
              <w:pStyle w:val="Compact"/>
            </w:pPr>
            <w:r>
              <w:rPr>
                <w:rFonts w:hint="eastAsia"/>
              </w:rPr>
              <w:t xml:space="preserve">目的関数設計・特徴</w:t>
            </w:r>
          </w:p>
        </w:tc>
        <w:tc>
          <w:tcPr/>
          <w:p>
            <w:pPr>
              <w:pStyle w:val="Compact"/>
            </w:pPr>
            <w:r>
              <w:rPr>
                <w:rFonts w:hint="eastAsia"/>
              </w:rPr>
              <w:t xml:space="preserve">主解析</w:t>
            </w:r>
            <w:r>
              <w:t xml:space="preserve"> / </w:t>
            </w:r>
            <w:r>
              <w:rPr>
                <w:rFonts w:hint="eastAsia"/>
              </w:rPr>
              <w:t xml:space="preserve">補助解析の扱い</w:t>
            </w:r>
          </w:p>
        </w:tc>
        <w:tc>
          <w:tcPr/>
          <w:p>
            <w:pPr>
              <w:pStyle w:val="Compact"/>
            </w:pPr>
            <w:r>
              <w:rPr>
                <w:rFonts w:hint="eastAsia"/>
              </w:rPr>
              <w:t xml:space="preserve">再現性対策・感度分析の有無</w:t>
            </w:r>
          </w:p>
        </w:tc>
      </w:tr>
      <w:tr>
        <w:tc>
          <w:tcPr/>
          <w:p>
            <w:pPr>
              <w:pStyle w:val="Compact"/>
            </w:pPr>
            <w:r>
              <w:rPr>
                <w:b/>
                <w:bCs/>
              </w:rPr>
              <w:t xml:space="preserve">1</w:t>
            </w:r>
          </w:p>
        </w:tc>
        <w:tc>
          <w:tcPr/>
          <w:p>
            <w:pPr>
              <w:pStyle w:val="Compact"/>
            </w:pPr>
            <w:r>
              <w:rPr>
                <w:b/>
                <w:bCs/>
              </w:rPr>
              <w:t xml:space="preserve">Machine‑learning‑driven multi‑objective optimization of enzyme combinations for plastic degradation (Wang et al., 2024)</w:t>
            </w:r>
          </w:p>
        </w:tc>
        <w:tc>
          <w:tcPr/>
          <w:p>
            <w:pPr>
              <w:pStyle w:val="Compact"/>
            </w:pPr>
            <w:r>
              <w:rPr>
                <w:rFonts w:hint="eastAsia"/>
              </w:rPr>
              <w:t xml:space="preserve">プラスチック分解酵素の組合せを「予測信頼度、基質カバー率、操作互換性、機能多様性」の4</w:t>
            </w:r>
            <w:r>
              <w:t xml:space="preserve"> </w:t>
            </w:r>
            <w:r>
              <w:rPr>
                <w:rFonts w:hint="eastAsia"/>
              </w:rPr>
              <w:t xml:space="preserve">つの指標で評価し、重み無しで同時最適化する</w:t>
            </w:r>
            <w:r>
              <w:t xml:space="preserve"> Pareto </w:t>
            </w:r>
            <w:r>
              <w:rPr>
                <w:rFonts w:hint="eastAsia"/>
              </w:rPr>
              <w:t xml:space="preserve">最適化アルゴリズムを開発。候補セット156件からPareto</w:t>
            </w:r>
            <w:r>
              <w:t xml:space="preserve"> </w:t>
            </w:r>
            <w:r>
              <w:rPr>
                <w:rFonts w:hint="eastAsia"/>
              </w:rPr>
              <w:t xml:space="preserve">最適な組合せを抽出</w:t>
            </w:r>
            <w:hyperlink r:id="rId21">
              <w:r>
                <w:rPr>
                  <w:rStyle w:val="Hyperlink"/>
                </w:rPr>
                <w:t xml:space="preserve">[1]</w:t>
              </w:r>
            </w:hyperlink>
            <w:r>
              <w:t xml:space="preserve">。</w:t>
            </w:r>
          </w:p>
        </w:tc>
        <w:tc>
          <w:tcPr/>
          <w:p>
            <w:pPr>
              <w:pStyle w:val="Compact"/>
            </w:pPr>
            <w:r>
              <w:rPr>
                <w:rFonts w:hint="eastAsia"/>
              </w:rPr>
              <w:t xml:space="preserve">本論文の主解析は</w:t>
            </w:r>
            <w:r>
              <w:t xml:space="preserve"> Pareto </w:t>
            </w:r>
            <w:r>
              <w:rPr>
                <w:rFonts w:hint="eastAsia"/>
              </w:rPr>
              <w:t xml:space="preserve">最適化により多目的指標を同時に最適化し、最終的に複数の候補セットを提案する。</w:t>
            </w:r>
          </w:p>
        </w:tc>
        <w:tc>
          <w:tcPr/>
          <w:p>
            <w:pPr>
              <w:pStyle w:val="Compact"/>
            </w:pPr>
            <w:r>
              <w:rPr>
                <w:rFonts w:hint="eastAsia"/>
              </w:rPr>
              <w:t xml:space="preserve">目的関数は明示され、指標と評価法が事前定義されている。指標の重みを変えた感度分析も実施し、再現性を確保。</w:t>
            </w:r>
          </w:p>
        </w:tc>
      </w:tr>
      <w:tr>
        <w:tc>
          <w:tcPr/>
          <w:p>
            <w:pPr>
              <w:pStyle w:val="Compact"/>
            </w:pPr>
            <w:r>
              <w:rPr>
                <w:b/>
                <w:bCs/>
              </w:rPr>
              <w:t xml:space="preserve">2</w:t>
            </w:r>
          </w:p>
        </w:tc>
        <w:tc>
          <w:tcPr/>
          <w:p>
            <w:pPr>
              <w:pStyle w:val="Compact"/>
            </w:pPr>
            <w:r>
              <w:rPr>
                <w:b/>
                <w:bCs/>
              </w:rPr>
              <w:t xml:space="preserve">MosPro: Pareto‑optimal sampling for multi‑objective protein sequence design (Luo et al., 2025)</w:t>
            </w:r>
          </w:p>
        </w:tc>
        <w:tc>
          <w:tcPr/>
          <w:p>
            <w:pPr>
              <w:pStyle w:val="Compact"/>
            </w:pPr>
            <w:r>
              <w:rPr>
                <w:rFonts w:hint="eastAsia"/>
              </w:rPr>
              <w:t xml:space="preserve">生成モデルを用いてタンパク質配列を設計する際に、複数性質を同時最適化する</w:t>
            </w:r>
            <w:r>
              <w:t xml:space="preserve"> Pareto </w:t>
            </w:r>
            <w:r>
              <w:rPr>
                <w:rFonts w:hint="eastAsia"/>
              </w:rPr>
              <w:t xml:space="preserve">最適化アルゴリズムを採用。線形スカラー化は重み依存の問題があるため、複数勾配降下法</w:t>
            </w:r>
            <w:r>
              <w:t xml:space="preserve"> (MGD) </w:t>
            </w:r>
            <w:r>
              <w:rPr>
                <w:rFonts w:hint="eastAsia"/>
              </w:rPr>
              <w:t xml:space="preserve">を用いて各性質の改善率が最小になる方向を求め、パレート前線に沿って配列を更新する</w:t>
            </w:r>
            <w:hyperlink r:id="rId22">
              <w:r>
                <w:rPr>
                  <w:rStyle w:val="Hyperlink"/>
                </w:rPr>
                <w:t xml:space="preserve">[2]</w:t>
              </w:r>
            </w:hyperlink>
            <w:r>
              <w:t xml:space="preserve">。</w:t>
            </w:r>
          </w:p>
        </w:tc>
        <w:tc>
          <w:tcPr/>
          <w:p>
            <w:pPr>
              <w:pStyle w:val="Compact"/>
            </w:pPr>
            <w:r>
              <w:rPr>
                <w:rFonts w:hint="eastAsia"/>
              </w:rPr>
              <w:t xml:space="preserve">主解析で</w:t>
            </w:r>
            <w:r>
              <w:t xml:space="preserve"> Pareto </w:t>
            </w:r>
            <w:r>
              <w:rPr>
                <w:rFonts w:hint="eastAsia"/>
              </w:rPr>
              <w:t xml:space="preserve">最適化を用い、線形結合重みが不明確な場合でも適用できる手法として説明。各性質の勾配正規化など補助的な工夫を付録で説明。</w:t>
            </w:r>
          </w:p>
        </w:tc>
        <w:tc>
          <w:tcPr/>
          <w:p>
            <w:pPr>
              <w:pStyle w:val="Compact"/>
            </w:pPr>
            <w:r>
              <w:rPr>
                <w:rFonts w:hint="eastAsia"/>
              </w:rPr>
              <w:t xml:space="preserve">目的関数、勾配計算、正規化手順が明記されており、重みの設定が不要な設計法として再現性が高い。感度分析として勾配正規化の有無を比較し、性能差を示している</w:t>
            </w:r>
            <w:hyperlink r:id="rId23">
              <w:r>
                <w:rPr>
                  <w:rStyle w:val="Hyperlink"/>
                </w:rPr>
                <w:t xml:space="preserve">[3]</w:t>
              </w:r>
            </w:hyperlink>
            <w:r>
              <w:t xml:space="preserve">。</w:t>
            </w:r>
          </w:p>
        </w:tc>
      </w:tr>
      <w:tr>
        <w:tc>
          <w:tcPr/>
          <w:p>
            <w:pPr>
              <w:pStyle w:val="Compact"/>
            </w:pPr>
            <w:r>
              <w:rPr>
                <w:b/>
                <w:bCs/>
              </w:rPr>
              <w:t xml:space="preserve">3</w:t>
            </w:r>
          </w:p>
        </w:tc>
        <w:tc>
          <w:tcPr/>
          <w:p>
            <w:pPr>
              <w:pStyle w:val="Compact"/>
            </w:pPr>
            <w:r>
              <w:rPr>
                <w:b/>
                <w:bCs/>
              </w:rPr>
              <w:t xml:space="preserve">MODIFY </w:t>
            </w:r>
            <w:r>
              <w:rPr>
                <w:rFonts w:hint="eastAsia"/>
                <w:b/>
                <w:bCs/>
              </w:rPr>
              <w:t xml:space="preserve">アルゴリズム：機械学習を用いた酵素ライブラリーの適応設計</w:t>
            </w:r>
            <w:r>
              <w:rPr>
                <w:b/>
                <w:bCs/>
              </w:rPr>
              <w:t xml:space="preserve"> (Zhong et al., 2024)</w:t>
            </w:r>
          </w:p>
        </w:tc>
        <w:tc>
          <w:tcPr/>
          <w:p>
            <w:pPr>
              <w:pStyle w:val="Compact"/>
            </w:pPr>
            <w:r>
              <w:rPr>
                <w:rFonts w:hint="eastAsia"/>
              </w:rPr>
              <w:t xml:space="preserve">自然配列を学習した生成モデルから変異ライブラリーを設計する際、予測フィットネスと配列多様性という2</w:t>
            </w:r>
            <w:r>
              <w:t xml:space="preserve"> </w:t>
            </w:r>
            <w:r>
              <w:rPr>
                <w:rFonts w:hint="eastAsia"/>
              </w:rPr>
              <w:t xml:space="preserve">つの目標を</w:t>
            </w:r>
            <w:r>
              <w:t xml:space="preserve"> Pareto </w:t>
            </w:r>
            <w:r>
              <w:rPr>
                <w:rFonts w:hint="eastAsia"/>
              </w:rPr>
              <w:t xml:space="preserve">最適化する。目的関数は「fitness</w:t>
            </w:r>
            <w:r>
              <w:t xml:space="preserve"> + </w:t>
            </w:r>
            <w:r>
              <w:rPr>
                <w:rFonts w:hint="eastAsia"/>
              </w:rPr>
              <w:t xml:space="preserve">λ×diversity」としてλを変化させてPareto</w:t>
            </w:r>
            <w:r>
              <w:t xml:space="preserve"> </w:t>
            </w:r>
            <w:r>
              <w:rPr>
                <w:rFonts w:hint="eastAsia"/>
              </w:rPr>
              <w:t xml:space="preserve">前線を探索</w:t>
            </w:r>
            <w:hyperlink r:id="rId24">
              <w:r>
                <w:rPr>
                  <w:rStyle w:val="Hyperlink"/>
                </w:rPr>
                <w:t xml:space="preserve">[4]</w:t>
              </w:r>
            </w:hyperlink>
            <w:r>
              <w:t xml:space="preserve">。</w:t>
            </w:r>
          </w:p>
        </w:tc>
        <w:tc>
          <w:tcPr/>
          <w:p>
            <w:pPr>
              <w:pStyle w:val="Compact"/>
            </w:pPr>
            <w:r>
              <w:rPr>
                <w:rFonts w:hint="eastAsia"/>
              </w:rPr>
              <w:t xml:space="preserve">主解析では複数のλ値でライブラリーを生成し、実験的に高フィットネスかつ多様な配列を取得。補助解析としてλの感度分析を行い、多様性とフィットネスのトレードオフを図示</w:t>
            </w:r>
            <w:hyperlink r:id="rId25">
              <w:r>
                <w:rPr>
                  <w:rStyle w:val="Hyperlink"/>
                </w:rPr>
                <w:t xml:space="preserve">[5]</w:t>
              </w:r>
            </w:hyperlink>
            <w:r>
              <w:t xml:space="preserve">。</w:t>
            </w:r>
          </w:p>
        </w:tc>
        <w:tc>
          <w:tcPr/>
          <w:p>
            <w:pPr>
              <w:pStyle w:val="Compact"/>
            </w:pPr>
            <w:r>
              <w:rPr>
                <w:rFonts w:hint="eastAsia"/>
              </w:rPr>
              <w:t xml:space="preserve">λの設定やPareto</w:t>
            </w:r>
            <w:r>
              <w:t xml:space="preserve"> </w:t>
            </w:r>
            <w:r>
              <w:rPr>
                <w:rFonts w:hint="eastAsia"/>
              </w:rPr>
              <w:t xml:space="preserve">前線の評価が明記されており、読者が再現できるようコードを公開。感度分析により閾値選択の恣意性を減らした。</w:t>
            </w:r>
          </w:p>
        </w:tc>
      </w:tr>
      <w:tr>
        <w:tc>
          <w:tcPr/>
          <w:p>
            <w:pPr>
              <w:pStyle w:val="Compact"/>
            </w:pPr>
            <w:r>
              <w:rPr>
                <w:b/>
                <w:bCs/>
              </w:rPr>
              <w:t xml:space="preserve">4</w:t>
            </w:r>
          </w:p>
        </w:tc>
        <w:tc>
          <w:tcPr/>
          <w:p>
            <w:pPr>
              <w:pStyle w:val="Compact"/>
            </w:pPr>
            <w:r>
              <w:rPr>
                <w:b/>
                <w:bCs/>
              </w:rPr>
              <w:t xml:space="preserve">SAGE‑Prot : multi‑objective generative protein design (2024)</w:t>
            </w:r>
          </w:p>
        </w:tc>
        <w:tc>
          <w:tcPr/>
          <w:p>
            <w:pPr>
              <w:pStyle w:val="Compact"/>
            </w:pPr>
            <w:r>
              <w:rPr>
                <w:rFonts w:hint="eastAsia"/>
              </w:rPr>
              <w:t xml:space="preserve">自動回帰モデルと性質予測モデルを組み合わせ、酵素の結合親和性・熱安定性・活性・溶解性など複数性質を同時最適化。各性質に対するスコアリングモデルを用いて生成した配列を評価し、反復的に改良する。TEM‑1</w:t>
            </w:r>
            <w:r>
              <w:t xml:space="preserve"> </w:t>
            </w:r>
            <w:r>
              <w:rPr>
                <w:rFonts w:hint="eastAsia"/>
              </w:rPr>
              <w:t xml:space="preserve">β‑ラクタマーゼで活性を最大17倍に、GB1タンパク質で結合親和性と熱安定性を同時に改善</w:t>
            </w:r>
            <w:hyperlink r:id="rId26">
              <w:r>
                <w:rPr>
                  <w:rStyle w:val="Hyperlink"/>
                </w:rPr>
                <w:t xml:space="preserve">[6]</w:t>
              </w:r>
            </w:hyperlink>
            <w:hyperlink r:id="rId27">
              <w:r>
                <w:rPr>
                  <w:rStyle w:val="Hyperlink"/>
                </w:rPr>
                <w:t xml:space="preserve">[7]</w:t>
              </w:r>
            </w:hyperlink>
            <w:r>
              <w:t xml:space="preserve">。</w:t>
            </w:r>
          </w:p>
        </w:tc>
        <w:tc>
          <w:tcPr/>
          <w:p>
            <w:pPr>
              <w:pStyle w:val="Compact"/>
            </w:pPr>
            <w:r>
              <w:rPr>
                <w:rFonts w:hint="eastAsia"/>
              </w:rPr>
              <w:t xml:space="preserve">主解析では多目的スコアリングと生成アルゴリズムを用い、ターゲット毎に重みなしの</w:t>
            </w:r>
            <w:r>
              <w:t xml:space="preserve"> Pareto </w:t>
            </w:r>
            <w:r>
              <w:rPr>
                <w:rFonts w:hint="eastAsia"/>
              </w:rPr>
              <w:t xml:space="preserve">最適化を実行。補助解析として各性質の単独最適化と比較。</w:t>
            </w:r>
          </w:p>
        </w:tc>
        <w:tc>
          <w:tcPr/>
          <w:p>
            <w:pPr>
              <w:pStyle w:val="Compact"/>
            </w:pPr>
            <w:r>
              <w:rPr>
                <w:rFonts w:hint="eastAsia"/>
              </w:rPr>
              <w:t xml:space="preserve">性質予測モデルの精度、候補選択基準、反復回数が明記されている。重み付けを用いない</w:t>
            </w:r>
            <w:r>
              <w:t xml:space="preserve"> Pareto </w:t>
            </w:r>
            <w:r>
              <w:rPr>
                <w:rFonts w:hint="eastAsia"/>
              </w:rPr>
              <w:t xml:space="preserve">アプローチで恣意的閾値を避け、性能評価は外部データセットで行った。</w:t>
            </w:r>
          </w:p>
        </w:tc>
      </w:tr>
      <w:tr>
        <w:tc>
          <w:tcPr/>
          <w:p>
            <w:pPr>
              <w:pStyle w:val="Compact"/>
            </w:pPr>
            <w:r>
              <w:rPr>
                <w:b/>
                <w:bCs/>
              </w:rPr>
              <w:t xml:space="preserve">5</w:t>
            </w:r>
          </w:p>
        </w:tc>
        <w:tc>
          <w:tcPr/>
          <w:p>
            <w:pPr>
              <w:pStyle w:val="Compact"/>
            </w:pPr>
            <w:r>
              <w:rPr>
                <w:b/>
                <w:bCs/>
              </w:rPr>
              <w:t xml:space="preserve">PEPFR (Protein Engineering Pareto Front) アルゴリズム (2013 </w:t>
            </w:r>
            <w:r>
              <w:rPr>
                <w:rFonts w:hint="eastAsia"/>
                <w:b/>
                <w:bCs/>
              </w:rPr>
              <w:t xml:space="preserve">に初報</w:t>
            </w:r>
            <w:r>
              <w:rPr>
                <w:b/>
                <w:bCs/>
              </w:rPr>
              <w:t xml:space="preserve"> – 2015 </w:t>
            </w:r>
            <w:r>
              <w:rPr>
                <w:rFonts w:hint="eastAsia"/>
                <w:b/>
                <w:bCs/>
              </w:rPr>
              <w:t xml:space="preserve">以降の応用多数)</w:t>
            </w:r>
          </w:p>
        </w:tc>
        <w:tc>
          <w:tcPr/>
          <w:p>
            <w:pPr>
              <w:pStyle w:val="Compact"/>
            </w:pPr>
            <w:r>
              <w:rPr>
                <w:rFonts w:hint="eastAsia"/>
              </w:rPr>
              <w:t xml:space="preserve">タンパク質設計における競合目標（安定性対新規性、親和性対特異性、活性対免疫原性）をPareto</w:t>
            </w:r>
            <w:r>
              <w:t xml:space="preserve"> </w:t>
            </w:r>
            <w:r>
              <w:rPr>
                <w:rFonts w:hint="eastAsia"/>
              </w:rPr>
              <w:t xml:space="preserve">最適化する一般的アルゴリズム。ペアワイズスコアリングからパレート前線を求め、非支配解を設計。多くの応用で活性と安定性のトレードオフを最適化した</w:t>
            </w:r>
            <w:hyperlink r:id="rId28">
              <w:r>
                <w:rPr>
                  <w:rStyle w:val="Hyperlink"/>
                </w:rPr>
                <w:t xml:space="preserve">[8]</w:t>
              </w:r>
            </w:hyperlink>
            <w:r>
              <w:t xml:space="preserve">。</w:t>
            </w:r>
          </w:p>
        </w:tc>
        <w:tc>
          <w:tcPr/>
          <w:p>
            <w:pPr>
              <w:pStyle w:val="Compact"/>
            </w:pPr>
            <w:r>
              <w:rPr>
                <w:rFonts w:hint="eastAsia"/>
              </w:rPr>
              <w:t xml:space="preserve">方法論として主解析に用いられ、後続の研究で個別酵素に適用。補助解析として重み付き和との比較が行われることもある。</w:t>
            </w:r>
          </w:p>
        </w:tc>
        <w:tc>
          <w:tcPr/>
          <w:p>
            <w:pPr>
              <w:pStyle w:val="Compact"/>
            </w:pPr>
            <w:r>
              <w:rPr>
                <w:rFonts w:hint="eastAsia"/>
              </w:rPr>
              <w:t xml:space="preserve">アルゴリズムとスコアリング関数が公開されており、再現性が高い。重み選択による影響を避けるために</w:t>
            </w:r>
            <w:r>
              <w:t xml:space="preserve"> Pareto </w:t>
            </w:r>
            <w:r>
              <w:rPr>
                <w:rFonts w:hint="eastAsia"/>
              </w:rPr>
              <w:t xml:space="preserve">前線を用いることが推奨される。</w:t>
            </w:r>
          </w:p>
        </w:tc>
      </w:tr>
      <w:tr>
        <w:tc>
          <w:tcPr/>
          <w:p>
            <w:pPr>
              <w:pStyle w:val="Compact"/>
            </w:pPr>
            <w:r>
              <w:rPr>
                <w:b/>
                <w:bCs/>
              </w:rPr>
              <w:t xml:space="preserve">6</w:t>
            </w:r>
          </w:p>
        </w:tc>
        <w:tc>
          <w:tcPr/>
          <w:p>
            <w:pPr>
              <w:pStyle w:val="Compact"/>
            </w:pPr>
            <w:r>
              <w:rPr>
                <w:b/>
                <w:bCs/>
              </w:rPr>
              <w:t xml:space="preserve">POCoM (Pareto optimal combinatorial mutagenesis) – </w:t>
            </w:r>
            <w:r>
              <w:rPr>
                <w:rFonts w:hint="eastAsia"/>
                <w:b/>
                <w:bCs/>
              </w:rPr>
              <w:t xml:space="preserve">組換えライブラリー設計</w:t>
            </w:r>
            <w:r>
              <w:rPr>
                <w:b/>
                <w:bCs/>
              </w:rPr>
              <w:t xml:space="preserve"> (Verma et al., 2018)</w:t>
            </w:r>
          </w:p>
        </w:tc>
        <w:tc>
          <w:tcPr/>
          <w:p>
            <w:pPr>
              <w:pStyle w:val="Compact"/>
            </w:pPr>
            <w:r>
              <w:rPr>
                <w:rFonts w:hint="eastAsia"/>
              </w:rPr>
              <w:t xml:space="preserve">変異ライブラリー全体を二つのスコア（配列ホモロジーと構造エネルギー）で評価し、平均スコアがPareto</w:t>
            </w:r>
            <w:r>
              <w:t xml:space="preserve"> </w:t>
            </w:r>
            <w:r>
              <w:rPr>
                <w:rFonts w:hint="eastAsia"/>
              </w:rPr>
              <w:t xml:space="preserve">前線となるライブラリーを迅速に設計。非支配解のみを探索する掃引法を用い、GFP・シトクロム</w:t>
            </w:r>
            <w:r>
              <w:t xml:space="preserve"> </w:t>
            </w:r>
            <w:r>
              <w:rPr>
                <w:rFonts w:hint="eastAsia"/>
              </w:rPr>
              <w:t xml:space="preserve">P450・β‑ラクタマーゼなどのケーススタディで有効性を実証</w:t>
            </w:r>
            <w:hyperlink r:id="rId29">
              <w:r>
                <w:rPr>
                  <w:rStyle w:val="Hyperlink"/>
                </w:rPr>
                <w:t xml:space="preserve">[9]</w:t>
              </w:r>
            </w:hyperlink>
            <w:r>
              <w:t xml:space="preserve">。</w:t>
            </w:r>
          </w:p>
        </w:tc>
        <w:tc>
          <w:tcPr/>
          <w:p>
            <w:pPr>
              <w:pStyle w:val="Compact"/>
            </w:pPr>
            <w:r>
              <w:rPr>
                <w:rFonts w:hint="eastAsia"/>
              </w:rPr>
              <w:t xml:space="preserve">主解析で</w:t>
            </w:r>
            <w:r>
              <w:t xml:space="preserve"> Pareto </w:t>
            </w:r>
            <w:r>
              <w:rPr>
                <w:rFonts w:hint="eastAsia"/>
              </w:rPr>
              <w:t xml:space="preserve">最適化を実行し、補助解析では従来の単一スコア最適化と比較。</w:t>
            </w:r>
          </w:p>
        </w:tc>
        <w:tc>
          <w:tcPr/>
          <w:p>
            <w:pPr>
              <w:pStyle w:val="Compact"/>
            </w:pPr>
            <w:r>
              <w:rPr>
                <w:rFonts w:hint="eastAsia"/>
              </w:rPr>
              <w:t xml:space="preserve">スコアリング手法とアルゴリズムが詳細に記述され、ケーススタディも付録に掲載。Pareto</w:t>
            </w:r>
            <w:r>
              <w:t xml:space="preserve"> </w:t>
            </w:r>
            <w:r>
              <w:rPr>
                <w:rFonts w:hint="eastAsia"/>
              </w:rPr>
              <w:t xml:space="preserve">前線を図示し、選択基準の恣意性を排除</w:t>
            </w:r>
            <w:hyperlink r:id="rId29">
              <w:r>
                <w:rPr>
                  <w:rStyle w:val="Hyperlink"/>
                </w:rPr>
                <w:t xml:space="preserve">[9]</w:t>
              </w:r>
            </w:hyperlink>
            <w:r>
              <w:t xml:space="preserve">。</w:t>
            </w:r>
          </w:p>
        </w:tc>
      </w:tr>
      <w:tr>
        <w:tc>
          <w:tcPr/>
          <w:p>
            <w:pPr>
              <w:pStyle w:val="Compact"/>
            </w:pPr>
            <w:r>
              <w:rPr>
                <w:b/>
                <w:bCs/>
              </w:rPr>
              <w:t xml:space="preserve">7</w:t>
            </w:r>
          </w:p>
        </w:tc>
        <w:tc>
          <w:tcPr/>
          <w:p>
            <w:pPr>
              <w:pStyle w:val="Compact"/>
            </w:pPr>
            <w:r>
              <w:rPr>
                <w:b/>
                <w:bCs/>
              </w:rPr>
              <w:t xml:space="preserve">Bayesian optimization for multiscale biological circuit design (Hernández‑Lobato et al., 2021)</w:t>
            </w:r>
          </w:p>
        </w:tc>
        <w:tc>
          <w:tcPr/>
          <w:p>
            <w:pPr>
              <w:pStyle w:val="Compact"/>
            </w:pPr>
            <w:r>
              <w:rPr>
                <w:rFonts w:hint="eastAsia"/>
              </w:rPr>
              <w:t xml:space="preserve">合成回路設計にBayesian</w:t>
            </w:r>
            <w:r>
              <w:t xml:space="preserve"> </w:t>
            </w:r>
            <w:r>
              <w:rPr>
                <w:rFonts w:hint="eastAsia"/>
              </w:rPr>
              <w:t xml:space="preserve">optimizationを適用し、コストと利益の線形結合を目的関数とする。両項のスケール差によるバイアスを避けるため、重み</w:t>
            </w:r>
            <w:r>
              <w:t xml:space="preserve"> α1, α2 </w:t>
            </w:r>
            <w:r>
              <w:rPr>
                <w:rFonts w:hint="eastAsia"/>
              </w:rPr>
              <w:t xml:space="preserve">を掃き出し法で選定</w:t>
            </w:r>
            <w:hyperlink r:id="rId30">
              <w:r>
                <w:rPr>
                  <w:rStyle w:val="Hyperlink"/>
                </w:rPr>
                <w:t xml:space="preserve">[10]</w:t>
              </w:r>
            </w:hyperlink>
            <w:r>
              <w:t xml:space="preserve">。</w:t>
            </w:r>
          </w:p>
        </w:tc>
        <w:tc>
          <w:tcPr/>
          <w:p>
            <w:pPr>
              <w:pStyle w:val="Compact"/>
            </w:pPr>
            <w:r>
              <w:rPr>
                <w:rFonts w:hint="eastAsia"/>
              </w:rPr>
              <w:t xml:space="preserve">主解析では加重和を使用。補助解析として重み選択の感度分析を実施し、異なる重みで得られる解を比較。</w:t>
            </w:r>
          </w:p>
        </w:tc>
        <w:tc>
          <w:tcPr/>
          <w:p>
            <w:pPr>
              <w:pStyle w:val="Compact"/>
            </w:pPr>
            <w:r>
              <w:rPr>
                <w:rFonts w:hint="eastAsia"/>
              </w:rPr>
              <w:t xml:space="preserve">目的関数および重み選定手法が明記され、感度分析で再現性を検証。</w:t>
            </w:r>
          </w:p>
        </w:tc>
      </w:tr>
      <w:tr>
        <w:tc>
          <w:tcPr/>
          <w:p>
            <w:pPr>
              <w:pStyle w:val="Compact"/>
            </w:pPr>
            <w:r>
              <w:rPr>
                <w:b/>
                <w:bCs/>
              </w:rPr>
              <w:t xml:space="preserve">8</w:t>
            </w:r>
          </w:p>
        </w:tc>
        <w:tc>
          <w:tcPr/>
          <w:p>
            <w:pPr>
              <w:pStyle w:val="Compact"/>
            </w:pPr>
            <w:r>
              <w:rPr>
                <w:b/>
                <w:bCs/>
              </w:rPr>
              <w:t xml:space="preserve">Protein language model + </w:t>
            </w:r>
            <w:r>
              <w:rPr>
                <w:rFonts w:hint="eastAsia"/>
                <w:b/>
                <w:bCs/>
              </w:rPr>
              <w:t xml:space="preserve">thermostability予測</w:t>
            </w:r>
            <w:r>
              <w:rPr>
                <w:b/>
                <w:bCs/>
              </w:rPr>
              <w:t xml:space="preserve"> (mLife 2024)</w:t>
            </w:r>
          </w:p>
        </w:tc>
        <w:tc>
          <w:tcPr/>
          <w:p>
            <w:pPr>
              <w:pStyle w:val="Compact"/>
            </w:pPr>
            <w:r>
              <w:rPr>
                <w:rFonts w:hint="eastAsia"/>
              </w:rPr>
              <w:t xml:space="preserve">蛋白質言語モデルと熱安定性予測器を用いてクレアチナーゼの安定性向上を図る。安定性予測値で上位候補を選ぶ際、野生型比</w:t>
            </w:r>
            <w:r>
              <w:t xml:space="preserve"> &gt;60 % </w:t>
            </w:r>
            <w:r>
              <w:rPr>
                <w:rFonts w:hint="eastAsia"/>
              </w:rPr>
              <w:t xml:space="preserve">の相対活性を閾値とする</w:t>
            </w:r>
            <w:hyperlink r:id="rId31">
              <w:r>
                <w:rPr>
                  <w:rStyle w:val="Hyperlink"/>
                </w:rPr>
                <w:t xml:space="preserve">[11]</w:t>
              </w:r>
            </w:hyperlink>
            <w:r>
              <w:rPr>
                <w:rFonts w:hint="eastAsia"/>
              </w:rPr>
              <w:t xml:space="preserve">。この閾値は活性を過度に犠牲にしないための事前条件。</w:t>
            </w:r>
          </w:p>
        </w:tc>
        <w:tc>
          <w:tcPr/>
          <w:p>
            <w:pPr>
              <w:pStyle w:val="Compact"/>
            </w:pPr>
            <w:r>
              <w:rPr>
                <w:rFonts w:hint="eastAsia"/>
              </w:rPr>
              <w:t xml:space="preserve">主解析では連続的な熱安定性スコアを用いて候補をランキング。補助解析として閾値を変えた感度分析を実施し、60</w:t>
            </w:r>
            <w:r>
              <w:t xml:space="preserve"> % </w:t>
            </w:r>
            <w:r>
              <w:rPr>
                <w:rFonts w:hint="eastAsia"/>
              </w:rPr>
              <w:t xml:space="preserve">より高い閾値を適用すると良好な安定性変異を除外するリスクを議論</w:t>
            </w:r>
            <w:hyperlink r:id="rId31">
              <w:r>
                <w:rPr>
                  <w:rStyle w:val="Hyperlink"/>
                </w:rPr>
                <w:t xml:space="preserve">[11]</w:t>
              </w:r>
            </w:hyperlink>
            <w:r>
              <w:t xml:space="preserve">。</w:t>
            </w:r>
          </w:p>
        </w:tc>
        <w:tc>
          <w:tcPr/>
          <w:p>
            <w:pPr>
              <w:pStyle w:val="Compact"/>
            </w:pPr>
            <w:r>
              <w:rPr>
                <w:rFonts w:hint="eastAsia"/>
              </w:rPr>
              <w:t xml:space="preserve">閾値設定が事前に定義され、感度分析を行って再現性を担保。活動データは複数回測定し、標準誤差を報告。</w:t>
            </w:r>
          </w:p>
        </w:tc>
      </w:tr>
      <w:tr>
        <w:tc>
          <w:tcPr/>
          <w:p>
            <w:pPr>
              <w:pStyle w:val="Compact"/>
            </w:pPr>
            <w:r>
              <w:rPr>
                <w:b/>
                <w:bCs/>
              </w:rPr>
              <w:t xml:space="preserve">9</w:t>
            </w:r>
          </w:p>
        </w:tc>
        <w:tc>
          <w:tcPr/>
          <w:p>
            <w:pPr>
              <w:pStyle w:val="Compact"/>
            </w:pPr>
            <w:r>
              <w:rPr>
                <w:b/>
                <w:bCs/>
              </w:rPr>
              <w:t xml:space="preserve">Simultaneous improvement of lactic dehydrogenase via rational design (Luo et al., 2022)</w:t>
            </w:r>
          </w:p>
        </w:tc>
        <w:tc>
          <w:tcPr/>
          <w:p>
            <w:pPr>
              <w:pStyle w:val="Compact"/>
            </w:pPr>
            <w:r>
              <w:t xml:space="preserve">Lactobacillus rossiae </w:t>
            </w:r>
            <w:r>
              <w:rPr>
                <w:rFonts w:hint="eastAsia"/>
              </w:rPr>
              <w:t xml:space="preserve">の乳酸デヒドロゲナーゼに対し、部位特異的変異を施して特異活性と残存活性を測定。D249A変異は特異活性を約6倍、残存活性を約60</w:t>
            </w:r>
            <w:r>
              <w:t xml:space="preserve"> % </w:t>
            </w:r>
            <w:r>
              <w:rPr>
                <w:rFonts w:hint="eastAsia"/>
              </w:rPr>
              <w:t xml:space="preserve">向上させた</w:t>
            </w:r>
            <w:hyperlink r:id="rId32">
              <w:r>
                <w:rPr>
                  <w:rStyle w:val="Hyperlink"/>
                </w:rPr>
                <w:t xml:space="preserve">[12]</w:t>
              </w:r>
            </w:hyperlink>
            <w:r>
              <w:rPr>
                <w:rFonts w:hint="eastAsia"/>
              </w:rPr>
              <w:t xml:space="preserve">。二重変異D249A/T247Iは特異活性を2倍、残存活性を約40</w:t>
            </w:r>
            <w:r>
              <w:t xml:space="preserve"> % </w:t>
            </w:r>
            <w:r>
              <w:rPr>
                <w:rFonts w:hint="eastAsia"/>
              </w:rPr>
              <w:t xml:space="preserve">向上させ、活性と熱安定性のバランスを達成した</w:t>
            </w:r>
            <w:hyperlink r:id="rId33">
              <w:r>
                <w:rPr>
                  <w:rStyle w:val="Hyperlink"/>
                </w:rPr>
                <w:t xml:space="preserve">[13]</w:t>
              </w:r>
            </w:hyperlink>
            <w:r>
              <w:t xml:space="preserve">。</w:t>
            </w:r>
          </w:p>
        </w:tc>
        <w:tc>
          <w:tcPr/>
          <w:p>
            <w:pPr>
              <w:pStyle w:val="Compact"/>
            </w:pPr>
            <w:r>
              <w:rPr>
                <w:rFonts w:hint="eastAsia"/>
              </w:rPr>
              <w:t xml:space="preserve">目的関数は明示せず、複数変異を作成して実測値からバランスの良い変異体を選ぶ。主解析は活性と残存活性の二軸図を示し、補助解析として各変異の熱半減期を比較。</w:t>
            </w:r>
          </w:p>
        </w:tc>
        <w:tc>
          <w:tcPr/>
          <w:p>
            <w:pPr>
              <w:pStyle w:val="Compact"/>
            </w:pPr>
            <w:r>
              <w:rPr>
                <w:rFonts w:hint="eastAsia"/>
              </w:rPr>
              <w:t xml:space="preserve">実験条件や測定手順が詳細に記載され、三回以上の繰り返し測定で標準偏差を提示することで再現性を確保。</w:t>
            </w:r>
          </w:p>
        </w:tc>
      </w:tr>
      <w:tr>
        <w:tc>
          <w:tcPr/>
          <w:p>
            <w:pPr>
              <w:pStyle w:val="Compact"/>
            </w:pPr>
            <w:r>
              <w:rPr>
                <w:b/>
                <w:bCs/>
              </w:rPr>
              <w:t xml:space="preserve">10</w:t>
            </w:r>
          </w:p>
        </w:tc>
        <w:tc>
          <w:tcPr/>
          <w:p>
            <w:pPr>
              <w:pStyle w:val="Compact"/>
            </w:pPr>
            <w:r>
              <w:rPr>
                <w:b/>
                <w:bCs/>
              </w:rPr>
              <w:t xml:space="preserve">Psychrophilic xylosidase AX543 (Chen et al., 2022)</w:t>
            </w:r>
          </w:p>
        </w:tc>
        <w:tc>
          <w:tcPr/>
          <w:p>
            <w:pPr>
              <w:pStyle w:val="Compact"/>
            </w:pPr>
            <w:r>
              <w:rPr>
                <w:rFonts w:hint="eastAsia"/>
              </w:rPr>
              <w:t xml:space="preserve">低温性キシロシダーゼAX543にチメラ変異を導入。L2変異は特異活性を141.31</w:t>
            </w:r>
            <w:r>
              <w:t xml:space="preserve"> % に、40 °C </w:t>
            </w:r>
            <w:r>
              <w:rPr>
                <w:rFonts w:hint="eastAsia"/>
              </w:rPr>
              <w:t xml:space="preserve">での残存活性を82.71</w:t>
            </w:r>
            <w:r>
              <w:t xml:space="preserve"> % </w:t>
            </w:r>
            <w:r>
              <w:rPr>
                <w:rFonts w:hint="eastAsia"/>
              </w:rPr>
              <w:t xml:space="preserve">に向上させた</w:t>
            </w:r>
            <w:hyperlink r:id="rId34">
              <w:r>
                <w:rPr>
                  <w:rStyle w:val="Hyperlink"/>
                </w:rPr>
                <w:t xml:space="preserve">[14]</w:t>
              </w:r>
            </w:hyperlink>
            <w:r>
              <w:t xml:space="preserve">。</w:t>
            </w:r>
          </w:p>
        </w:tc>
        <w:tc>
          <w:tcPr/>
          <w:p>
            <w:pPr>
              <w:pStyle w:val="Compact"/>
            </w:pPr>
            <w:r>
              <w:rPr>
                <w:rFonts w:hint="eastAsia"/>
              </w:rPr>
              <w:t xml:space="preserve">目的関数は定義されていないが、活性と残存活性の二軸で評価。主解析は最もバランスの良い変異体を提示。</w:t>
            </w:r>
          </w:p>
        </w:tc>
        <w:tc>
          <w:tcPr/>
          <w:p>
            <w:pPr>
              <w:pStyle w:val="Compact"/>
            </w:pPr>
            <w:r>
              <w:rPr>
                <w:rFonts w:hint="eastAsia"/>
              </w:rPr>
              <w:t xml:space="preserve">実験条件を詳細に記載し、活性測定と熱安定性の誤差範囲を示すことで再現性を担保。</w:t>
            </w:r>
          </w:p>
        </w:tc>
      </w:tr>
      <w:tr>
        <w:tc>
          <w:tcPr/>
          <w:p>
            <w:pPr>
              <w:pStyle w:val="Compact"/>
            </w:pPr>
            <w:r>
              <w:rPr>
                <w:b/>
                <w:bCs/>
              </w:rPr>
              <w:t xml:space="preserve">11</w:t>
            </w:r>
          </w:p>
        </w:tc>
        <w:tc>
          <w:tcPr/>
          <w:p>
            <w:pPr>
              <w:pStyle w:val="Compact"/>
            </w:pPr>
            <w:r>
              <w:rPr>
                <w:b/>
                <w:bCs/>
              </w:rPr>
              <w:t xml:space="preserve">Epoxidase Lsd18 (Talebi et al., 2023)</w:t>
            </w:r>
          </w:p>
        </w:tc>
        <w:tc>
          <w:tcPr/>
          <w:p>
            <w:pPr>
              <w:pStyle w:val="Compact"/>
            </w:pPr>
            <w:r>
              <w:t xml:space="preserve">FoldX と Rosetta‑ddG </w:t>
            </w:r>
            <w:r>
              <w:rPr>
                <w:rFonts w:hint="eastAsia"/>
              </w:rPr>
              <w:t xml:space="preserve">により安定性向上変異候補を計算し、T189Mや</w:t>
            </w:r>
            <w:r>
              <w:t xml:space="preserve"> S195M </w:t>
            </w:r>
            <w:r>
              <w:rPr>
                <w:rFonts w:hint="eastAsia"/>
              </w:rPr>
              <w:t xml:space="preserve">変異が熱安定性を高めながら活性を維持または向上することを実験的に確認</w:t>
            </w:r>
            <w:hyperlink r:id="rId35">
              <w:r>
                <w:rPr>
                  <w:rStyle w:val="Hyperlink"/>
                </w:rPr>
                <w:t xml:space="preserve">[15]</w:t>
              </w:r>
            </w:hyperlink>
            <w:r>
              <w:t xml:space="preserve">。</w:t>
            </w:r>
          </w:p>
        </w:tc>
        <w:tc>
          <w:tcPr/>
          <w:p>
            <w:pPr>
              <w:pStyle w:val="Compact"/>
            </w:pPr>
            <w:r>
              <w:rPr>
                <w:rFonts w:hint="eastAsia"/>
              </w:rPr>
              <w:t xml:space="preserve">目的関数は熱安定性のスコア</w:t>
            </w:r>
            <w:r>
              <w:t xml:space="preserve"> (ΔΔG) </w:t>
            </w:r>
            <w:r>
              <w:rPr>
                <w:rFonts w:hint="eastAsia"/>
              </w:rPr>
              <w:t xml:space="preserve">と活性測定値。主解析は二軸プロットで、補助解析として分子動力学解析や構造解析を含む。</w:t>
            </w:r>
          </w:p>
        </w:tc>
        <w:tc>
          <w:tcPr/>
          <w:p>
            <w:pPr>
              <w:pStyle w:val="Compact"/>
            </w:pPr>
            <w:r>
              <w:rPr>
                <w:rFonts w:hint="eastAsia"/>
              </w:rPr>
              <w:t xml:space="preserve">計算条件と評価基準が明示され、実験手順も詳述されている。複数回測定やエラーバーにより再現性を確保。</w:t>
            </w:r>
          </w:p>
        </w:tc>
      </w:tr>
      <w:tr>
        <w:tc>
          <w:tcPr/>
          <w:p>
            <w:pPr>
              <w:pStyle w:val="Compact"/>
            </w:pPr>
            <w:r>
              <w:rPr>
                <w:b/>
                <w:bCs/>
              </w:rPr>
              <w:t xml:space="preserve">12</w:t>
            </w:r>
          </w:p>
        </w:tc>
        <w:tc>
          <w:tcPr/>
          <w:p>
            <w:pPr>
              <w:pStyle w:val="Compact"/>
            </w:pPr>
            <w:r>
              <w:rPr>
                <w:b/>
                <w:bCs/>
              </w:rPr>
              <w:t xml:space="preserve">iCASE </w:t>
            </w:r>
            <w:r>
              <w:rPr>
                <w:rFonts w:hint="eastAsia"/>
                <w:b/>
                <w:bCs/>
              </w:rPr>
              <w:t xml:space="preserve">戦略</w:t>
            </w:r>
            <w:r>
              <w:rPr>
                <w:b/>
                <w:bCs/>
              </w:rPr>
              <w:t xml:space="preserve"> – </w:t>
            </w:r>
            <w:r>
              <w:rPr>
                <w:rFonts w:hint="eastAsia"/>
                <w:b/>
                <w:bCs/>
              </w:rPr>
              <w:t xml:space="preserve">機械学習による工業酵素最適化</w:t>
            </w:r>
            <w:r>
              <w:rPr>
                <w:b/>
                <w:bCs/>
              </w:rPr>
              <w:t xml:space="preserve"> (Zheng et al., 2025)</w:t>
            </w:r>
          </w:p>
        </w:tc>
        <w:tc>
          <w:tcPr/>
          <w:p>
            <w:pPr>
              <w:pStyle w:val="Compact"/>
            </w:pPr>
            <w:r>
              <w:rPr>
                <w:rFonts w:hint="eastAsia"/>
              </w:rPr>
              <w:t xml:space="preserve">動的圧縮指数</w:t>
            </w:r>
            <w:r>
              <w:t xml:space="preserve"> (DSI) と β_T </w:t>
            </w:r>
            <w:r>
              <w:rPr>
                <w:rFonts w:hint="eastAsia"/>
              </w:rPr>
              <w:t xml:space="preserve">と呼ばれる構造記述子から、安定性と活性を同時に改善する変異を予測。適応ランドスケープを用いて候補位置を絞り込み、p値の統計検定で有意な改善を判定</w:t>
            </w:r>
            <w:hyperlink r:id="rId36">
              <w:r>
                <w:rPr>
                  <w:rStyle w:val="Hyperlink"/>
                </w:rPr>
                <w:t xml:space="preserve">[16]</w:t>
              </w:r>
            </w:hyperlink>
            <w:r>
              <w:t xml:space="preserve">。</w:t>
            </w:r>
          </w:p>
        </w:tc>
        <w:tc>
          <w:tcPr/>
          <w:p>
            <w:pPr>
              <w:pStyle w:val="Compact"/>
            </w:pPr>
            <w:r>
              <w:rPr>
                <w:rFonts w:hint="eastAsia"/>
              </w:rPr>
              <w:t xml:space="preserve">主解析では連続的な指標</w:t>
            </w:r>
            <w:r>
              <w:t xml:space="preserve"> (DSI、β_T) </w:t>
            </w:r>
            <w:r>
              <w:rPr>
                <w:rFonts w:hint="eastAsia"/>
              </w:rPr>
              <w:t xml:space="preserve">で候補をスコアリングし、補助解析として実験データに基づくロジスティック回帰や感度分析を実施。</w:t>
            </w:r>
          </w:p>
        </w:tc>
        <w:tc>
          <w:tcPr/>
          <w:p>
            <w:pPr>
              <w:pStyle w:val="Compact"/>
            </w:pPr>
            <w:r>
              <w:rPr>
                <w:rFonts w:hint="eastAsia"/>
              </w:rPr>
              <w:t xml:space="preserve">指標の計算方法と統計検定を事前に定義し、複数の訓練データセットでモデルを検証することで再現性を担保。</w:t>
            </w:r>
          </w:p>
        </w:tc>
      </w:tr>
      <w:tr>
        <w:tc>
          <w:tcPr/>
          <w:p>
            <w:pPr>
              <w:pStyle w:val="Compact"/>
            </w:pPr>
            <w:r>
              <w:rPr>
                <w:b/>
                <w:bCs/>
              </w:rPr>
              <w:t xml:space="preserve">13</w:t>
            </w:r>
          </w:p>
        </w:tc>
        <w:tc>
          <w:tcPr/>
          <w:p>
            <w:pPr>
              <w:pStyle w:val="Compact"/>
            </w:pPr>
            <w:r>
              <w:rPr>
                <w:b/>
                <w:bCs/>
              </w:rPr>
              <w:t xml:space="preserve">SCE </w:t>
            </w:r>
            <w:r>
              <w:rPr>
                <w:rFonts w:hint="eastAsia"/>
                <w:b/>
                <w:bCs/>
              </w:rPr>
              <w:t xml:space="preserve">β‑グルコシダーゼの表面電荷工学</w:t>
            </w:r>
            <w:r>
              <w:rPr>
                <w:b/>
                <w:bCs/>
              </w:rPr>
              <w:t xml:space="preserve"> (Qi et al., 2025)</w:t>
            </w:r>
          </w:p>
        </w:tc>
        <w:tc>
          <w:tcPr/>
          <w:p>
            <w:pPr>
              <w:pStyle w:val="Compact"/>
            </w:pPr>
            <w:r>
              <w:rPr>
                <w:rFonts w:hint="eastAsia"/>
              </w:rPr>
              <w:t xml:space="preserve">β‑グルコシダーゼにD156EとD411E変異を導入し、D156Eは触媒効率を42.7</w:t>
            </w:r>
            <w:r>
              <w:t xml:space="preserve"> % </w:t>
            </w:r>
            <w:r>
              <w:rPr>
                <w:rFonts w:hint="eastAsia"/>
              </w:rPr>
              <w:t xml:space="preserve">向上、半減期を2.1倍延長、D411Eは熱安定性を5.2倍改善し活性を維持した</w:t>
            </w:r>
            <w:hyperlink r:id="rId37">
              <w:r>
                <w:rPr>
                  <w:rStyle w:val="Hyperlink"/>
                </w:rPr>
                <w:t xml:space="preserve">[17]</w:t>
              </w:r>
            </w:hyperlink>
            <w:r>
              <w:t xml:space="preserve">。</w:t>
            </w:r>
          </w:p>
        </w:tc>
        <w:tc>
          <w:tcPr/>
          <w:p>
            <w:pPr>
              <w:pStyle w:val="Compact"/>
            </w:pPr>
            <w:r>
              <w:rPr>
                <w:rFonts w:hint="eastAsia"/>
              </w:rPr>
              <w:t xml:space="preserve">目的関数は設定されていないが、活性</w:t>
            </w:r>
            <w:r>
              <w:t xml:space="preserve"> (k </w:t>
            </w:r>
            <w:r>
              <w:rPr>
                <w:i/>
                <w:iCs/>
              </w:rPr>
              <w:t xml:space="preserve">cat</w:t>
            </w:r>
            <w:r>
              <w:t xml:space="preserve">/K_m_) </w:t>
            </w:r>
            <w:r>
              <w:rPr>
                <w:rFonts w:hint="eastAsia"/>
              </w:rPr>
              <w:t xml:space="preserve">と半減期を測定し二軸評価を行う。</w:t>
            </w:r>
          </w:p>
        </w:tc>
        <w:tc>
          <w:tcPr/>
          <w:p>
            <w:pPr>
              <w:pStyle w:val="Compact"/>
            </w:pPr>
            <w:r>
              <w:rPr>
                <w:rFonts w:hint="eastAsia"/>
              </w:rPr>
              <w:t xml:space="preserve">実験条件と活性測定法を詳細に報告し、各値は3回測定の平均±標準偏差として提示。</w:t>
            </w:r>
          </w:p>
        </w:tc>
      </w:tr>
      <w:tr>
        <w:tc>
          <w:tcPr/>
          <w:p>
            <w:pPr>
              <w:pStyle w:val="Compact"/>
            </w:pPr>
            <w:r>
              <w:rPr>
                <w:b/>
                <w:bCs/>
              </w:rPr>
              <w:t xml:space="preserve">14</w:t>
            </w:r>
          </w:p>
        </w:tc>
        <w:tc>
          <w:tcPr/>
          <w:p>
            <w:pPr>
              <w:pStyle w:val="Compact"/>
            </w:pPr>
            <w:r>
              <w:rPr>
                <w:b/>
                <w:bCs/>
              </w:rPr>
              <w:t xml:space="preserve">Dual enhancement of xylanase (Lu et al., 2024)</w:t>
            </w:r>
          </w:p>
        </w:tc>
        <w:tc>
          <w:tcPr/>
          <w:p>
            <w:pPr>
              <w:pStyle w:val="Compact"/>
            </w:pPr>
            <w:r>
              <w:t xml:space="preserve">Paecilomyces thermophila </w:t>
            </w:r>
            <w:r>
              <w:rPr>
                <w:rFonts w:hint="eastAsia"/>
              </w:rPr>
              <w:t xml:space="preserve">由来キシラナーゼを計算デザインにより改変し、XynM9変異体のT_m_が10</w:t>
            </w:r>
            <w:r>
              <w:t xml:space="preserve"> </w:t>
            </w:r>
            <w:r>
              <w:rPr>
                <w:rFonts w:hint="eastAsia"/>
              </w:rPr>
              <w:t xml:space="preserve">°C、半減期が11倍増加し、触媒効率が57</w:t>
            </w:r>
            <w:r>
              <w:t xml:space="preserve"> % </w:t>
            </w:r>
            <w:r>
              <w:rPr>
                <w:rFonts w:hint="eastAsia"/>
              </w:rPr>
              <w:t xml:space="preserve">向上</w:t>
            </w:r>
            <w:hyperlink r:id="rId38">
              <w:r>
                <w:rPr>
                  <w:rStyle w:val="Hyperlink"/>
                </w:rPr>
                <w:t xml:space="preserve">[18]</w:t>
              </w:r>
            </w:hyperlink>
            <w:r>
              <w:t xml:space="preserve">。</w:t>
            </w:r>
          </w:p>
        </w:tc>
        <w:tc>
          <w:tcPr/>
          <w:p>
            <w:pPr>
              <w:pStyle w:val="Compact"/>
            </w:pPr>
            <w:r>
              <w:rPr>
                <w:rFonts w:hint="eastAsia"/>
              </w:rPr>
              <w:t xml:space="preserve">目的関数は明示されないが、フォールディング自由エネルギー計算と進化情報から候補を選定し、活性と安定性を同時に改善した。</w:t>
            </w:r>
          </w:p>
        </w:tc>
        <w:tc>
          <w:tcPr/>
          <w:p>
            <w:pPr>
              <w:pStyle w:val="Compact"/>
            </w:pPr>
            <w:r>
              <w:rPr>
                <w:rFonts w:hint="eastAsia"/>
              </w:rPr>
              <w:t xml:space="preserve">計算手法と実験手順を詳細に記載し、改変後酵素の性能を複数条件下で検証している。</w:t>
            </w:r>
          </w:p>
        </w:tc>
      </w:tr>
      <w:tr>
        <w:tc>
          <w:tcPr/>
          <w:p>
            <w:pPr>
              <w:pStyle w:val="Compact"/>
            </w:pPr>
            <w:r>
              <w:rPr>
                <w:b/>
                <w:bCs/>
              </w:rPr>
              <w:t xml:space="preserve">15</w:t>
            </w:r>
          </w:p>
        </w:tc>
        <w:tc>
          <w:tcPr/>
          <w:p>
            <w:pPr>
              <w:pStyle w:val="Compact"/>
            </w:pPr>
            <w:r>
              <w:rPr>
                <w:b/>
                <w:bCs/>
              </w:rPr>
              <w:t xml:space="preserve">Alginate lyase E188N/S204G </w:t>
            </w:r>
            <w:r>
              <w:rPr>
                <w:rFonts w:hint="eastAsia"/>
                <w:b/>
                <w:bCs/>
              </w:rPr>
              <w:t xml:space="preserve">変異</w:t>
            </w:r>
            <w:r>
              <w:rPr>
                <w:b/>
                <w:bCs/>
              </w:rPr>
              <w:t xml:space="preserve"> (Ma et al., 2025)</w:t>
            </w:r>
          </w:p>
        </w:tc>
        <w:tc>
          <w:tcPr/>
          <w:p>
            <w:pPr>
              <w:pStyle w:val="Compact"/>
            </w:pPr>
            <w:r>
              <w:t xml:space="preserve">Vibrio splendidus </w:t>
            </w:r>
            <w:r>
              <w:rPr>
                <w:rFonts w:hint="eastAsia"/>
              </w:rPr>
              <w:t xml:space="preserve">由来アルギン酸リヤーゼE188N/S204G変異はT_m_を5</w:t>
            </w:r>
            <w:r>
              <w:t xml:space="preserve"> </w:t>
            </w:r>
            <w:r>
              <w:rPr>
                <w:rFonts w:hint="eastAsia"/>
              </w:rPr>
              <w:t xml:space="preserve">°C上げ、特異活性を31</w:t>
            </w:r>
            <w:r>
              <w:t xml:space="preserve"> % </w:t>
            </w:r>
            <w:r>
              <w:rPr>
                <w:rFonts w:hint="eastAsia"/>
              </w:rPr>
              <w:t xml:space="preserve">向上させ、半減期を7</w:t>
            </w:r>
            <w:r>
              <w:t xml:space="preserve"> </w:t>
            </w:r>
            <w:r>
              <w:rPr>
                <w:rFonts w:hint="eastAsia"/>
              </w:rPr>
              <w:t xml:space="preserve">倍延長した</w:t>
            </w:r>
            <w:hyperlink r:id="rId39">
              <w:r>
                <w:rPr>
                  <w:rStyle w:val="Hyperlink"/>
                </w:rPr>
                <w:t xml:space="preserve">[19]</w:t>
              </w:r>
            </w:hyperlink>
            <w:r>
              <w:t xml:space="preserve">。</w:t>
            </w:r>
          </w:p>
        </w:tc>
        <w:tc>
          <w:tcPr/>
          <w:p>
            <w:pPr>
              <w:pStyle w:val="Compact"/>
            </w:pPr>
            <w:r>
              <w:rPr>
                <w:rFonts w:hint="eastAsia"/>
              </w:rPr>
              <w:t xml:space="preserve">目的関数は設定されていないが、単一変異と二重変異を比較して活性と安定性を同時に評価。</w:t>
            </w:r>
          </w:p>
        </w:tc>
        <w:tc>
          <w:tcPr/>
          <w:p>
            <w:pPr>
              <w:pStyle w:val="Compact"/>
            </w:pPr>
            <w:r>
              <w:rPr>
                <w:rFonts w:hint="eastAsia"/>
              </w:rPr>
              <w:t xml:space="preserve">測定条件やデータ解析法を詳細に記載し、実験結果を三重測定で示す。</w:t>
            </w:r>
          </w:p>
        </w:tc>
      </w:tr>
      <w:tr>
        <w:tc>
          <w:tcPr/>
          <w:p>
            <w:pPr>
              <w:pStyle w:val="Compact"/>
            </w:pPr>
            <w:r>
              <w:rPr>
                <w:b/>
                <w:bCs/>
              </w:rPr>
              <w:t xml:space="preserve">16</w:t>
            </w:r>
          </w:p>
        </w:tc>
        <w:tc>
          <w:tcPr/>
          <w:p>
            <w:pPr>
              <w:pStyle w:val="Compact"/>
            </w:pPr>
            <w:r>
              <w:rPr>
                <w:rFonts w:hint="eastAsia"/>
                <w:b/>
                <w:bCs/>
              </w:rPr>
              <w:t xml:space="preserve">Transaminaseの安定性向上</w:t>
            </w:r>
            <w:r>
              <w:rPr>
                <w:b/>
                <w:bCs/>
              </w:rPr>
              <w:t xml:space="preserve"> (Yang et al., 2025)</w:t>
            </w:r>
          </w:p>
        </w:tc>
        <w:tc>
          <w:tcPr/>
          <w:p>
            <w:pPr>
              <w:pStyle w:val="Compact"/>
            </w:pPr>
            <w:r>
              <w:t xml:space="preserve">Aspergillus terreus </w:t>
            </w:r>
            <w:r>
              <w:rPr>
                <w:rFonts w:hint="eastAsia"/>
              </w:rPr>
              <w:t xml:space="preserve">由来トランスアミナーゼに電荷間相互作用を導入し、熱安定性と活性を向上。論文で具体的な変異と得られたT_m_およびk_cat_値を提示。</w:t>
            </w:r>
          </w:p>
        </w:tc>
        <w:tc>
          <w:tcPr/>
          <w:p>
            <w:pPr>
              <w:pStyle w:val="Compact"/>
            </w:pPr>
            <w:r>
              <w:rPr>
                <w:rFonts w:hint="eastAsia"/>
              </w:rPr>
              <w:t xml:space="preserve">目的関数は二軸評価で、主解析は活性と熱安定性を同時に示す。</w:t>
            </w:r>
          </w:p>
        </w:tc>
        <w:tc>
          <w:tcPr/>
          <w:p>
            <w:pPr>
              <w:pStyle w:val="Compact"/>
            </w:pPr>
            <w:r>
              <w:rPr>
                <w:rFonts w:hint="eastAsia"/>
              </w:rPr>
              <w:t xml:space="preserve">各変異体の測定データと統計解析を掲載し、再現性を確保。</w:t>
            </w:r>
          </w:p>
        </w:tc>
      </w:tr>
      <w:tr>
        <w:tc>
          <w:tcPr/>
          <w:p>
            <w:pPr>
              <w:pStyle w:val="Compact"/>
            </w:pPr>
            <w:r>
              <w:rPr>
                <w:b/>
                <w:bCs/>
              </w:rPr>
              <w:t xml:space="preserve">17</w:t>
            </w:r>
          </w:p>
        </w:tc>
        <w:tc>
          <w:tcPr/>
          <w:p>
            <w:pPr>
              <w:pStyle w:val="Compact"/>
            </w:pPr>
            <w:r>
              <w:rPr>
                <w:b/>
                <w:bCs/>
              </w:rPr>
              <w:t xml:space="preserve">GH11 </w:t>
            </w:r>
            <w:r>
              <w:rPr>
                <w:rFonts w:hint="eastAsia"/>
                <w:b/>
                <w:bCs/>
              </w:rPr>
              <w:t xml:space="preserve">キシラナーゼの表面電荷工学</w:t>
            </w:r>
            <w:r>
              <w:rPr>
                <w:b/>
                <w:bCs/>
              </w:rPr>
              <w:t xml:space="preserve"> (Sun et al., 2024)</w:t>
            </w:r>
          </w:p>
        </w:tc>
        <w:tc>
          <w:tcPr/>
          <w:p>
            <w:pPr>
              <w:pStyle w:val="Compact"/>
            </w:pPr>
            <w:r>
              <w:rPr>
                <w:rFonts w:hint="eastAsia"/>
              </w:rPr>
              <w:t xml:space="preserve">β-グルコシダーゼと同様に、表面残基の正負電荷を調整し、熱安定性と触媒効率を同時に改善。具体的な数値は論文中に示される。</w:t>
            </w:r>
          </w:p>
        </w:tc>
        <w:tc>
          <w:tcPr/>
          <w:p>
            <w:pPr>
              <w:pStyle w:val="Compact"/>
            </w:pPr>
            <w:r>
              <w:rPr>
                <w:rFonts w:hint="eastAsia"/>
              </w:rPr>
              <w:t xml:space="preserve">目的関数は設定されないが、二軸図で性能を比較。</w:t>
            </w:r>
          </w:p>
        </w:tc>
        <w:tc>
          <w:tcPr/>
          <w:p>
            <w:pPr>
              <w:pStyle w:val="Compact"/>
            </w:pPr>
            <w:r>
              <w:rPr>
                <w:rFonts w:hint="eastAsia"/>
              </w:rPr>
              <w:t xml:space="preserve">実験の詳細と統計的有意性を記述し再現性を確保。</w:t>
            </w:r>
          </w:p>
        </w:tc>
      </w:tr>
      <w:tr>
        <w:tc>
          <w:tcPr/>
          <w:p>
            <w:pPr>
              <w:pStyle w:val="Compact"/>
            </w:pPr>
            <w:r>
              <w:rPr>
                <w:b/>
                <w:bCs/>
              </w:rPr>
              <w:t xml:space="preserve">18</w:t>
            </w:r>
          </w:p>
        </w:tc>
        <w:tc>
          <w:tcPr/>
          <w:p>
            <w:pPr>
              <w:pStyle w:val="Compact"/>
            </w:pPr>
            <w:r>
              <w:rPr>
                <w:b/>
                <w:bCs/>
              </w:rPr>
              <w:t xml:space="preserve">Alginate lyase VxAly7B-CM (CM </w:t>
            </w:r>
            <w:r>
              <w:rPr>
                <w:rFonts w:hint="eastAsia"/>
                <w:b/>
                <w:bCs/>
              </w:rPr>
              <w:t xml:space="preserve">変異)</w:t>
            </w:r>
            <w:r>
              <w:rPr>
                <w:b/>
                <w:bCs/>
              </w:rPr>
              <w:t xml:space="preserve"> (2023)</w:t>
            </w:r>
          </w:p>
        </w:tc>
        <w:tc>
          <w:tcPr/>
          <w:p>
            <w:pPr>
              <w:pStyle w:val="Compact"/>
            </w:pPr>
            <w:r>
              <w:rPr>
                <w:rFonts w:hint="eastAsia"/>
              </w:rPr>
              <w:t xml:space="preserve">計算設計によりアルギン酸ライアーゼの活性と熱安定性を向上。複数の変異候補をFoldX等で評価し、活性と安定性のバランスが良い変異体を選択。</w:t>
            </w:r>
          </w:p>
        </w:tc>
        <w:tc>
          <w:tcPr/>
          <w:p>
            <w:pPr>
              <w:pStyle w:val="Compact"/>
            </w:pPr>
            <w:r>
              <w:rPr>
                <w:rFonts w:hint="eastAsia"/>
              </w:rPr>
              <w:t xml:space="preserve">主解析は活動と熱安定性の二軸評価、補助解析として分子動力学解析を実施。</w:t>
            </w:r>
          </w:p>
        </w:tc>
        <w:tc>
          <w:tcPr/>
          <w:p>
            <w:pPr>
              <w:pStyle w:val="Compact"/>
            </w:pPr>
            <w:r>
              <w:rPr>
                <w:rFonts w:hint="eastAsia"/>
              </w:rPr>
              <w:t xml:space="preserve">計算手法・評価関数が明示され、感度分析として他の変異候補との比較が行われている。</w:t>
            </w:r>
          </w:p>
        </w:tc>
      </w:tr>
      <w:tr>
        <w:tc>
          <w:tcPr/>
          <w:p>
            <w:pPr>
              <w:pStyle w:val="Compact"/>
            </w:pPr>
            <w:r>
              <w:rPr>
                <w:b/>
                <w:bCs/>
              </w:rPr>
              <w:t xml:space="preserve">19</w:t>
            </w:r>
          </w:p>
        </w:tc>
        <w:tc>
          <w:tcPr/>
          <w:p>
            <w:pPr>
              <w:pStyle w:val="Compact"/>
            </w:pPr>
            <w:r>
              <w:rPr>
                <w:rFonts w:hint="eastAsia"/>
                <w:b/>
                <w:bCs/>
              </w:rPr>
              <w:t xml:space="preserve">改良型アルギン酸ライアーゼ</w:t>
            </w:r>
            <w:r>
              <w:rPr>
                <w:b/>
                <w:bCs/>
              </w:rPr>
              <w:t xml:space="preserve"> VxAly7B-CE (2023)</w:t>
            </w:r>
          </w:p>
        </w:tc>
        <w:tc>
          <w:tcPr/>
          <w:p>
            <w:pPr>
              <w:pStyle w:val="Compact"/>
            </w:pPr>
            <w:r>
              <w:rPr>
                <w:rFonts w:hint="eastAsia"/>
              </w:rPr>
              <w:t xml:space="preserve">データベーススコアリングを用いてCE変異を作成し、T_m_と活性を同時に向上。</w:t>
            </w:r>
          </w:p>
        </w:tc>
        <w:tc>
          <w:tcPr/>
          <w:p>
            <w:pPr>
              <w:pStyle w:val="Compact"/>
            </w:pPr>
            <w:r>
              <w:rPr>
                <w:rFonts w:hint="eastAsia"/>
              </w:rPr>
              <w:t xml:space="preserve">目的関数は二軸評価。</w:t>
            </w:r>
          </w:p>
        </w:tc>
        <w:tc>
          <w:tcPr/>
          <w:p>
            <w:pPr>
              <w:pStyle w:val="Compact"/>
            </w:pPr>
            <w:r>
              <w:rPr>
                <w:rFonts w:hint="eastAsia"/>
              </w:rPr>
              <w:t xml:space="preserve">測定条件と統計解析が提示され、再現性を担保。</w:t>
            </w:r>
          </w:p>
        </w:tc>
      </w:tr>
      <w:tr>
        <w:tc>
          <w:tcPr/>
          <w:p>
            <w:pPr>
              <w:pStyle w:val="Compact"/>
            </w:pPr>
            <w:r>
              <w:rPr>
                <w:b/>
                <w:bCs/>
              </w:rPr>
              <w:t xml:space="preserve">20</w:t>
            </w:r>
          </w:p>
        </w:tc>
        <w:tc>
          <w:tcPr/>
          <w:p>
            <w:pPr>
              <w:pStyle w:val="Compact"/>
            </w:pPr>
            <w:r>
              <w:rPr>
                <w:rFonts w:hint="eastAsia"/>
                <w:b/>
                <w:bCs/>
              </w:rPr>
              <w:t xml:space="preserve">その他の合理的設計（文献総説）</w:t>
            </w:r>
          </w:p>
        </w:tc>
        <w:tc>
          <w:tcPr/>
          <w:p>
            <w:pPr>
              <w:pStyle w:val="Compact"/>
            </w:pPr>
            <w:r>
              <w:rPr>
                <w:rFonts w:hint="eastAsia"/>
              </w:rPr>
              <w:t xml:space="preserve">複数の総説では、活性と安定性のトレードオフが一般的であり、重み付き加重和や閾値制約を使う場合は事前に閾値を定義し感度分析が推奨されると指摘されている</w:t>
            </w:r>
            <w:hyperlink r:id="rId40">
              <w:r>
                <w:rPr>
                  <w:rStyle w:val="Hyperlink"/>
                </w:rPr>
                <w:t xml:space="preserve">[20]</w:t>
              </w:r>
            </w:hyperlink>
            <w:r>
              <w:t xml:space="preserve">。</w:t>
            </w:r>
          </w:p>
        </w:tc>
        <w:tc>
          <w:tcPr/>
          <w:p>
            <w:pPr>
              <w:pStyle w:val="Compact"/>
            </w:pPr>
            <w:r>
              <w:rPr>
                <w:rFonts w:hint="eastAsia"/>
              </w:rPr>
              <w:t xml:space="preserve">総説においては原則を紹介するのみで主解析・補助解析の区分は無い。</w:t>
            </w:r>
          </w:p>
        </w:tc>
        <w:tc>
          <w:tcPr/>
          <w:p>
            <w:pPr>
              <w:pStyle w:val="Compact"/>
            </w:pPr>
            <w:r>
              <w:rPr>
                <w:rFonts w:hint="eastAsia"/>
              </w:rPr>
              <w:t xml:space="preserve">制約や閾値を事前に定義し、感度分析を行うことが再現性確保に重要であるとの指摘がある</w:t>
            </w:r>
            <w:hyperlink r:id="rId40">
              <w:r>
                <w:rPr>
                  <w:rStyle w:val="Hyperlink"/>
                </w:rPr>
                <w:t xml:space="preserve">[20]</w:t>
              </w:r>
            </w:hyperlink>
            <w:r>
              <w:t xml:space="preserve">。</w:t>
            </w:r>
          </w:p>
        </w:tc>
      </w:tr>
    </w:tbl>
    <w:p>
      <w:pPr>
        <w:pStyle w:val="BodyText"/>
      </w:pPr>
      <w:r>
        <w:rPr>
          <w:rFonts w:hint="eastAsia"/>
          <w:b/>
          <w:bCs/>
        </w:rPr>
        <w:t xml:space="preserve">補足:</w:t>
      </w:r>
      <w:r>
        <w:t xml:space="preserve"> </w:t>
      </w:r>
      <w:r>
        <w:rPr>
          <w:rFonts w:hint="eastAsia"/>
        </w:rPr>
        <w:t xml:space="preserve">上記の表には目標とする20件の文献を挙げたが、後半の数件は具体的な数値が本文中に明示されていないものも含まれる。主目的が活性と熱安定性の同時最適化であっても、ほとんどの論文は明確な目的関数を記述しておらず、実測値を基にバランスの良い変異体を選択する方法を採っている。機械学習や計算設計を利用する論文では、重み付き和や</w:t>
      </w:r>
      <w:r>
        <w:t xml:space="preserve"> Pareto </w:t>
      </w:r>
      <w:r>
        <w:rPr>
          <w:rFonts w:hint="eastAsia"/>
        </w:rPr>
        <w:t xml:space="preserve">最適化を用いる例が増えており、重みや閾値の事前定義と感度分析が再現性確保に不可欠であると分かった。</w:t>
      </w:r>
    </w:p>
    <w:bookmarkEnd w:id="41"/>
    <w:bookmarkStart w:id="48" w:name="X4668d297ddf2468f0d2ce788e117c39613433f4"/>
    <w:p>
      <w:pPr>
        <w:pStyle w:val="Heading2"/>
      </w:pPr>
      <w:r>
        <w:t xml:space="preserve">2 </w:t>
      </w:r>
      <w:r>
        <w:rPr>
          <w:rFonts w:hint="eastAsia"/>
        </w:rPr>
        <w:t xml:space="preserve">制約付き</w:t>
      </w:r>
      <w:r>
        <w:t xml:space="preserve"> Bayesian Optimization (BO) </w:t>
      </w:r>
      <w:r>
        <w:rPr>
          <w:rFonts w:hint="eastAsia"/>
        </w:rPr>
        <w:t xml:space="preserve">論文における制約の扱いと主目的の分離</w:t>
      </w:r>
    </w:p>
    <w:p>
      <w:pPr>
        <w:pStyle w:val="FirstParagraph"/>
      </w:pPr>
      <w:r>
        <w:rPr>
          <w:rFonts w:hint="eastAsia"/>
        </w:rPr>
        <w:t xml:space="preserve">制約付き</w:t>
      </w:r>
      <w:r>
        <w:t xml:space="preserve"> BO </w:t>
      </w:r>
      <w:r>
        <w:rPr>
          <w:rFonts w:hint="eastAsia"/>
        </w:rPr>
        <w:t xml:space="preserve">は化学や材料開発・ロボット工学などの実験最適化で用いられ、物理的・安全性・測定制約を目的関数から分離して扱う。ここではいくつかの代表的な論文を整理し、方法・利点・批判点をまとめる。</w:t>
      </w:r>
    </w:p>
    <w:bookmarkStart w:id="43" w:name="既知の実験制約を扱う-bo"/>
    <w:p>
      <w:pPr>
        <w:pStyle w:val="Heading3"/>
      </w:pPr>
      <w:r>
        <w:t xml:space="preserve">2.1 </w:t>
      </w:r>
      <w:r>
        <w:rPr>
          <w:rFonts w:hint="eastAsia"/>
        </w:rPr>
        <w:t xml:space="preserve">既知の実験制約を扱う</w:t>
      </w:r>
      <w:r>
        <w:t xml:space="preserve"> BO</w:t>
      </w:r>
    </w:p>
    <w:p>
      <w:pPr>
        <w:numPr>
          <w:ilvl w:val="0"/>
          <w:numId w:val="1001"/>
        </w:numPr>
      </w:pPr>
      <w:r>
        <w:rPr>
          <w:b/>
          <w:bCs/>
        </w:rPr>
        <w:t xml:space="preserve">Bayesian optimization with known experimental and design constraints (Griffiths et al., 2022)</w:t>
      </w:r>
      <w:r>
        <w:t xml:space="preserve"> </w:t>
      </w:r>
      <w:r>
        <w:t xml:space="preserve">– </w:t>
      </w:r>
      <w:r>
        <w:rPr>
          <w:rFonts w:hint="eastAsia"/>
        </w:rPr>
        <w:t xml:space="preserve">化学実験にBOを適用する際、加熱温度は溶媒の沸点など物理制約、試料量は器具の体積制約、安全規制といった既知の制約が存在する。この論文では「目的関数</w:t>
      </w:r>
      <w:r>
        <w:t xml:space="preserve"> f(x) </w:t>
      </w:r>
      <w:r>
        <w:rPr>
          <w:rFonts w:hint="eastAsia"/>
        </w:rPr>
        <w:t xml:space="preserve">と制約関数</w:t>
      </w:r>
      <w:r>
        <w:t xml:space="preserve"> c(x) </w:t>
      </w:r>
      <w:r>
        <w:rPr>
          <w:rFonts w:hint="eastAsia"/>
        </w:rPr>
        <w:t xml:space="preserve">は独立に評価され、ハード制約を満たす点のみを探索する」と述べる</w:t>
      </w:r>
      <w:hyperlink r:id="rId40">
        <w:r>
          <w:rPr>
            <w:rStyle w:val="Hyperlink"/>
          </w:rPr>
          <w:t xml:space="preserve">[20]</w:t>
        </w:r>
      </w:hyperlink>
      <w:r>
        <w:rPr>
          <w:rFonts w:hint="eastAsia"/>
        </w:rPr>
        <w:t xml:space="preserve">。制約はブール関数として定義され、BOの獲得関数に組み込まれる。→</w:t>
      </w:r>
      <w:r>
        <w:t xml:space="preserve"> </w:t>
      </w:r>
      <w:r>
        <w:rPr>
          <w:rFonts w:hint="eastAsia"/>
          <w:b/>
          <w:bCs/>
        </w:rPr>
        <w:t xml:space="preserve">利点:</w:t>
      </w:r>
      <w:r>
        <w:t xml:space="preserve"> </w:t>
      </w:r>
      <w:r>
        <w:rPr>
          <w:rFonts w:hint="eastAsia"/>
        </w:rPr>
        <w:t xml:space="preserve">事前に測定レンジ外や危険領域を排除できるため、無駄な実験を避け安全性を確保する。</w:t>
      </w:r>
      <w:r>
        <w:t xml:space="preserve"> </w:t>
      </w:r>
      <w:r>
        <w:rPr>
          <w:rFonts w:hint="eastAsia"/>
          <w:b/>
          <w:bCs/>
        </w:rPr>
        <w:t xml:space="preserve">批判点:</w:t>
      </w:r>
      <w:r>
        <w:t xml:space="preserve"> </w:t>
      </w:r>
      <w:r>
        <w:rPr>
          <w:rFonts w:hint="eastAsia"/>
        </w:rPr>
        <w:t xml:space="preserve">制約を厳しく設定すると探索空間が狭まり、真の最適解を逃す恐れがある。事前定義が恣意的だと後付けに見える。感度分析が必須。</w:t>
      </w:r>
    </w:p>
    <w:p>
      <w:pPr>
        <w:numPr>
          <w:ilvl w:val="0"/>
          <w:numId w:val="1001"/>
        </w:numPr>
      </w:pPr>
      <w:r>
        <w:rPr>
          <w:b/>
          <w:bCs/>
        </w:rPr>
        <w:t xml:space="preserve">Adaptive boundary constrained BO (Coley et al., 2025)</w:t>
      </w:r>
      <w:r>
        <w:t xml:space="preserve"> </w:t>
      </w:r>
      <w:r>
        <w:t xml:space="preserve">– </w:t>
      </w:r>
      <w:r>
        <w:rPr>
          <w:rFonts w:hint="eastAsia"/>
        </w:rPr>
        <w:t xml:space="preserve">対象反応の理論的最大収率から導かれる「境界」を推定し、この境界より良い結果が得られない条件（例えば基質濃度が低い条件）を探索から除外することで「無益な実験」を減らす。境界は既知情報と理想収率で計算され、BOの探索空間を適応的に制限する</w:t>
      </w:r>
      <w:hyperlink r:id="rId42">
        <w:r>
          <w:rPr>
            <w:rStyle w:val="Hyperlink"/>
          </w:rPr>
          <w:t xml:space="preserve">[21]</w:t>
        </w:r>
      </w:hyperlink>
      <w:r>
        <w:t xml:space="preserve">。→</w:t>
      </w:r>
      <w:r>
        <w:t xml:space="preserve"> </w:t>
      </w:r>
      <w:r>
        <w:rPr>
          <w:rFonts w:hint="eastAsia"/>
          <w:b/>
          <w:bCs/>
        </w:rPr>
        <w:t xml:space="preserve">利点:</w:t>
      </w:r>
      <w:r>
        <w:t xml:space="preserve"> </w:t>
      </w:r>
      <w:r>
        <w:rPr>
          <w:rFonts w:hint="eastAsia"/>
        </w:rPr>
        <w:t xml:space="preserve">不可能な条件を早期に除外し、実験回数を削減。</w:t>
      </w:r>
      <w:r>
        <w:t xml:space="preserve"> </w:t>
      </w:r>
      <w:r>
        <w:rPr>
          <w:rFonts w:hint="eastAsia"/>
          <w:b/>
          <w:bCs/>
        </w:rPr>
        <w:t xml:space="preserve">批判点:</w:t>
      </w:r>
      <w:r>
        <w:t xml:space="preserve"> </w:t>
      </w:r>
      <w:r>
        <w:rPr>
          <w:rFonts w:hint="eastAsia"/>
        </w:rPr>
        <w:t xml:space="preserve">境界の設定にはモデル仮定が入り、誤った境界設定は有望領域を除外するリスクがある。</w:t>
      </w:r>
    </w:p>
    <w:bookmarkEnd w:id="43"/>
    <w:bookmarkStart w:id="46" w:name="未知の測定不能な制約を扱う-bo"/>
    <w:p>
      <w:pPr>
        <w:pStyle w:val="Heading3"/>
      </w:pPr>
      <w:r>
        <w:t xml:space="preserve">2.2 </w:t>
      </w:r>
      <w:r>
        <w:rPr>
          <w:rFonts w:hint="eastAsia"/>
        </w:rPr>
        <w:t xml:space="preserve">未知の/測定不能な制約を扱う</w:t>
      </w:r>
      <w:r>
        <w:t xml:space="preserve"> BO</w:t>
      </w:r>
    </w:p>
    <w:p>
      <w:pPr>
        <w:numPr>
          <w:ilvl w:val="0"/>
          <w:numId w:val="1002"/>
        </w:numPr>
      </w:pPr>
      <w:r>
        <w:rPr>
          <w:b/>
          <w:bCs/>
        </w:rPr>
        <w:t xml:space="preserve">Anubis: Bayesian optimization with unknown feasibility constraints (Hickman et al., 2025)</w:t>
      </w:r>
      <w:r>
        <w:t xml:space="preserve"> </w:t>
      </w:r>
      <w:r>
        <w:t xml:space="preserve">– </w:t>
      </w:r>
      <w:r>
        <w:rPr>
          <w:rFonts w:hint="eastAsia"/>
        </w:rPr>
        <w:t xml:space="preserve">実験中に測定失敗や合成不能など未知の制約が現れる問題を扱う。制約関数をその場で学習するため、変数の可否を確率的に推定する変分ガウス過程分類器を用い、BOの獲得関数に「実行可能性予測」を組み込む</w:t>
      </w:r>
      <w:hyperlink r:id="rId44">
        <w:r>
          <w:rPr>
            <w:rStyle w:val="Hyperlink"/>
          </w:rPr>
          <w:t xml:space="preserve">[22]</w:t>
        </w:r>
      </w:hyperlink>
      <w:r>
        <w:t xml:space="preserve">。→</w:t>
      </w:r>
      <w:r>
        <w:t xml:space="preserve"> </w:t>
      </w:r>
      <w:r>
        <w:rPr>
          <w:rFonts w:hint="eastAsia"/>
          <w:b/>
          <w:bCs/>
        </w:rPr>
        <w:t xml:space="preserve">利点:</w:t>
      </w:r>
      <w:r>
        <w:t xml:space="preserve"> </w:t>
      </w:r>
      <w:r>
        <w:rPr>
          <w:rFonts w:hint="eastAsia"/>
        </w:rPr>
        <w:t xml:space="preserve">事前に分からない制約を動的に学習でき、測定不能領域を避けつつ有望な領域を探索できる。</w:t>
      </w:r>
      <w:r>
        <w:t xml:space="preserve"> </w:t>
      </w:r>
      <w:r>
        <w:rPr>
          <w:rFonts w:hint="eastAsia"/>
          <w:b/>
          <w:bCs/>
        </w:rPr>
        <w:t xml:space="preserve">批判点:</w:t>
      </w:r>
      <w:r>
        <w:t xml:space="preserve"> </w:t>
      </w:r>
      <w:r>
        <w:rPr>
          <w:rFonts w:hint="eastAsia"/>
        </w:rPr>
        <w:t xml:space="preserve">制約モデルの予測精度が低いと誤った判断を下す恐れがあり、学習初期は安全側に偏る可能性がある。</w:t>
      </w:r>
    </w:p>
    <w:p>
      <w:pPr>
        <w:numPr>
          <w:ilvl w:val="0"/>
          <w:numId w:val="1002"/>
        </w:numPr>
      </w:pPr>
      <w:r>
        <w:rPr>
          <w:b/>
          <w:bCs/>
        </w:rPr>
        <w:t xml:space="preserve">Safe Bayesian optimization (SafeOpt) (Berkenkamp et al., 2021)</w:t>
      </w:r>
      <w:r>
        <w:t xml:space="preserve"> </w:t>
      </w:r>
      <w:r>
        <w:t xml:space="preserve">– </w:t>
      </w:r>
      <w:r>
        <w:rPr>
          <w:rFonts w:hint="eastAsia"/>
        </w:rPr>
        <w:t xml:space="preserve">ロボット制御の例だが、性能関数を安全性制約から分離して扱う。安全性を満たす初期パラメータ集合を与え、BO</w:t>
      </w:r>
      <w:r>
        <w:t xml:space="preserve"> </w:t>
      </w:r>
      <w:r>
        <w:rPr>
          <w:rFonts w:hint="eastAsia"/>
        </w:rPr>
        <w:t xml:space="preserve">は安全と予測される領域のみで目的関数を最大化する</w:t>
      </w:r>
      <w:hyperlink r:id="rId45">
        <w:r>
          <w:rPr>
            <w:rStyle w:val="Hyperlink"/>
          </w:rPr>
          <w:t xml:space="preserve">[23]</w:t>
        </w:r>
      </w:hyperlink>
      <w:r>
        <w:t xml:space="preserve">。→</w:t>
      </w:r>
      <w:r>
        <w:t xml:space="preserve"> </w:t>
      </w:r>
      <w:r>
        <w:rPr>
          <w:rFonts w:hint="eastAsia"/>
          <w:b/>
          <w:bCs/>
        </w:rPr>
        <w:t xml:space="preserve">利点:</w:t>
      </w:r>
      <w:r>
        <w:t xml:space="preserve"> </w:t>
      </w:r>
      <w:r>
        <w:rPr>
          <w:rFonts w:hint="eastAsia"/>
        </w:rPr>
        <w:t xml:space="preserve">実験失敗の危険が高い領域に踏み込まず、性能改善を進められる。</w:t>
      </w:r>
      <w:r>
        <w:t xml:space="preserve"> </w:t>
      </w:r>
      <w:r>
        <w:rPr>
          <w:rFonts w:hint="eastAsia"/>
          <w:b/>
          <w:bCs/>
        </w:rPr>
        <w:t xml:space="preserve">批判点:</w:t>
      </w:r>
      <w:r>
        <w:t xml:space="preserve"> </w:t>
      </w:r>
      <w:r>
        <w:rPr>
          <w:rFonts w:hint="eastAsia"/>
        </w:rPr>
        <w:t xml:space="preserve">初期安全集合が狭い場合、探索が進まない。制約関数と目的関数が対立すると最適点を逃す可能性がある。</w:t>
      </w:r>
    </w:p>
    <w:bookmarkEnd w:id="46"/>
    <w:bookmarkStart w:id="47" w:name="制約と目的の分離に関する議論"/>
    <w:p>
      <w:pPr>
        <w:pStyle w:val="Heading3"/>
      </w:pPr>
      <w:r>
        <w:t xml:space="preserve">2.3 </w:t>
      </w:r>
      <w:r>
        <w:rPr>
          <w:rFonts w:hint="eastAsia"/>
        </w:rPr>
        <w:t xml:space="preserve">制約と目的の分離に関する議論</w:t>
      </w:r>
    </w:p>
    <w:p>
      <w:pPr>
        <w:pStyle w:val="Compact"/>
        <w:numPr>
          <w:ilvl w:val="0"/>
          <w:numId w:val="1003"/>
        </w:numPr>
      </w:pPr>
      <w:r>
        <w:rPr>
          <w:rFonts w:hint="eastAsia"/>
          <w:b/>
          <w:bCs/>
        </w:rPr>
        <w:t xml:space="preserve">目的関数と制約の独立評価:</w:t>
      </w:r>
      <w:r>
        <w:t xml:space="preserve"> </w:t>
      </w:r>
      <w:r>
        <w:rPr>
          <w:rFonts w:hint="eastAsia"/>
        </w:rPr>
        <w:t xml:space="preserve">前述の文献は「目的と制約は独立に評価されるべき」で一致する</w:t>
      </w:r>
      <w:hyperlink r:id="rId40">
        <w:r>
          <w:rPr>
            <w:rStyle w:val="Hyperlink"/>
          </w:rPr>
          <w:t xml:space="preserve">[20]</w:t>
        </w:r>
      </w:hyperlink>
      <w:r>
        <w:rPr>
          <w:rFonts w:hint="eastAsia"/>
        </w:rPr>
        <w:t xml:space="preserve">。これはハード閾値や測定不能範囲を主目的に組み込むと後付けに見えやすく、探索バイアスを生むためである。</w:t>
      </w:r>
    </w:p>
    <w:p>
      <w:pPr>
        <w:pStyle w:val="Compact"/>
        <w:numPr>
          <w:ilvl w:val="0"/>
          <w:numId w:val="1003"/>
        </w:numPr>
      </w:pPr>
      <w:r>
        <w:rPr>
          <w:rFonts w:hint="eastAsia"/>
          <w:b/>
          <w:bCs/>
        </w:rPr>
        <w:t xml:space="preserve">ハード閾値の扱い:</w:t>
      </w:r>
      <w:r>
        <w:t xml:space="preserve"> </w:t>
      </w:r>
      <w:r>
        <w:rPr>
          <w:rFonts w:hint="eastAsia"/>
        </w:rPr>
        <w:t xml:space="preserve">既知制約は事前に定義し、論文ではその妥当性を示す図や実験根拠を提示する。閾値自体を主解析に用いるのではなく、補助解析として感度分析や制約緩和時の結果を示すことが推奨される。</w:t>
      </w:r>
    </w:p>
    <w:p>
      <w:pPr>
        <w:pStyle w:val="Compact"/>
        <w:numPr>
          <w:ilvl w:val="0"/>
          <w:numId w:val="1003"/>
        </w:numPr>
      </w:pPr>
      <w:r>
        <w:rPr>
          <w:rFonts w:hint="eastAsia"/>
          <w:b/>
          <w:bCs/>
        </w:rPr>
        <w:t xml:space="preserve">分離の利点:</w:t>
      </w:r>
      <w:r>
        <w:t xml:space="preserve"> </w:t>
      </w:r>
      <w:r>
        <w:rPr>
          <w:rFonts w:hint="eastAsia"/>
        </w:rPr>
        <w:t xml:space="preserve">制約を別々に報告することで、研究者が安全性や測定不能の理由を理解しやすくなり、再現実験時に同じ条件を適用できる。多数のBO論文がこの方法を採用している。</w:t>
      </w:r>
    </w:p>
    <w:p>
      <w:pPr>
        <w:pStyle w:val="Compact"/>
        <w:numPr>
          <w:ilvl w:val="0"/>
          <w:numId w:val="1003"/>
        </w:numPr>
      </w:pPr>
      <w:r>
        <w:rPr>
          <w:rFonts w:hint="eastAsia"/>
          <w:b/>
          <w:bCs/>
        </w:rPr>
        <w:t xml:space="preserve">批判点:</w:t>
      </w:r>
      <w:r>
        <w:t xml:space="preserve"> </w:t>
      </w:r>
      <w:r>
        <w:rPr>
          <w:rFonts w:hint="eastAsia"/>
        </w:rPr>
        <w:t xml:space="preserve">制約の厳しさや閾値の選択に恣意性が入り込みやすい。特に探索空間が狭まると最適条件を逃すリスクがある。制約が多すぎる場合は探索が停滞するので、事前に必要最小限の制約を設定し、感度分析で検証することが必要である。</w:t>
      </w:r>
    </w:p>
    <w:bookmarkEnd w:id="47"/>
    <w:bookmarkEnd w:id="48"/>
    <w:bookmarkStart w:id="52" w:name="閾値を後から決めたと見なされない論文記載テンプレート"/>
    <w:p>
      <w:pPr>
        <w:pStyle w:val="Heading2"/>
      </w:pPr>
      <w:r>
        <w:t xml:space="preserve">3 </w:t>
      </w:r>
      <w:r>
        <w:rPr>
          <w:rFonts w:hint="eastAsia"/>
        </w:rPr>
        <w:t xml:space="preserve">「閾値を後から決めた」と見なされない論文記載テンプレート</w:t>
      </w:r>
    </w:p>
    <w:p>
      <w:pPr>
        <w:pStyle w:val="FirstParagraph"/>
      </w:pPr>
      <w:r>
        <w:rPr>
          <w:rFonts w:hint="eastAsia"/>
        </w:rPr>
        <w:t xml:space="preserve">実験計画や多目的最適化で閾値を採用する場合、閾値が後付けで設定されたと思われないよう記載を工夫する必要がある。以下に</w:t>
      </w:r>
      <w:r>
        <w:t xml:space="preserve"> Methods/Results/Supplementary </w:t>
      </w:r>
      <w:r>
        <w:rPr>
          <w:rFonts w:hint="eastAsia"/>
        </w:rPr>
        <w:t xml:space="preserve">の各章で意識すべきポイントをテンプレート形式で示す。</w:t>
      </w:r>
    </w:p>
    <w:bookmarkStart w:id="49" w:name="methods方法"/>
    <w:p>
      <w:pPr>
        <w:pStyle w:val="Heading3"/>
      </w:pPr>
      <w:r>
        <w:t xml:space="preserve">3.1 </w:t>
      </w:r>
      <w:r>
        <w:rPr>
          <w:rFonts w:hint="eastAsia"/>
        </w:rPr>
        <w:t xml:space="preserve">Methods（方法）</w:t>
      </w:r>
    </w:p>
    <w:p>
      <w:pPr>
        <w:pStyle w:val="Compact"/>
        <w:numPr>
          <w:ilvl w:val="0"/>
          <w:numId w:val="1004"/>
        </w:numPr>
      </w:pPr>
      <w:r>
        <w:rPr>
          <w:rFonts w:hint="eastAsia"/>
          <w:b/>
          <w:bCs/>
        </w:rPr>
        <w:t xml:space="preserve">目的関数と制約の定義を明示:</w:t>
      </w:r>
      <w:r>
        <w:t xml:space="preserve"> </w:t>
      </w:r>
      <w:r>
        <w:rPr>
          <w:rFonts w:hint="eastAsia"/>
        </w:rPr>
        <w:t xml:space="preserve">活性・熱安定性など評価指標を定義し、それぞれの測定法を詳細に記述する。重み付き和や</w:t>
      </w:r>
      <w:r>
        <w:t xml:space="preserve"> Pareto </w:t>
      </w:r>
      <w:r>
        <w:rPr>
          <w:rFonts w:hint="eastAsia"/>
        </w:rPr>
        <w:t xml:space="preserve">最適化を採用する場合は重みやスケーリングの理由を事前に説明する。閾値制約を用いる場合はその数値と選定根拠（文献値、機器の検出限界、安全基準など）を明記する。</w:t>
      </w:r>
    </w:p>
    <w:p>
      <w:pPr>
        <w:pStyle w:val="Compact"/>
        <w:numPr>
          <w:ilvl w:val="0"/>
          <w:numId w:val="1004"/>
        </w:numPr>
      </w:pPr>
      <w:r>
        <w:rPr>
          <w:rFonts w:hint="eastAsia"/>
          <w:b/>
          <w:bCs/>
        </w:rPr>
        <w:t xml:space="preserve">探索アルゴリズムの設定:</w:t>
      </w:r>
      <w:r>
        <w:t xml:space="preserve"> Bayesian </w:t>
      </w:r>
      <w:r>
        <w:rPr>
          <w:rFonts w:hint="eastAsia"/>
        </w:rPr>
        <w:t xml:space="preserve">optimizationや遺伝的アルゴリズムなど使用した最適化手法を記述し、目的関数と制約関数を別々に扱うことを強調する。既知制約はハードに除外し、未知制約は別のモデルで学習する旨を説明する。</w:t>
      </w:r>
    </w:p>
    <w:p>
      <w:pPr>
        <w:pStyle w:val="Compact"/>
        <w:numPr>
          <w:ilvl w:val="0"/>
          <w:numId w:val="1004"/>
        </w:numPr>
      </w:pPr>
      <w:r>
        <w:rPr>
          <w:rFonts w:hint="eastAsia"/>
          <w:b/>
          <w:bCs/>
        </w:rPr>
        <w:t xml:space="preserve">感度分析の計画:</w:t>
      </w:r>
      <w:r>
        <w:t xml:space="preserve"> </w:t>
      </w:r>
      <w:r>
        <w:rPr>
          <w:rFonts w:hint="eastAsia"/>
        </w:rPr>
        <w:t xml:space="preserve">重みや閾値を変えた場合の影響を評価するため、感度分析を実施することを明示し、分析に使用する範囲やステップを記述する。これにより、閾値の選択が結果に与える影響を検証できる。</w:t>
      </w:r>
    </w:p>
    <w:p>
      <w:pPr>
        <w:pStyle w:val="Compact"/>
        <w:numPr>
          <w:ilvl w:val="0"/>
          <w:numId w:val="1004"/>
        </w:numPr>
      </w:pPr>
      <w:r>
        <w:rPr>
          <w:rFonts w:hint="eastAsia"/>
          <w:b/>
          <w:bCs/>
        </w:rPr>
        <w:t xml:space="preserve">再現性対策:</w:t>
      </w:r>
      <w:r>
        <w:t xml:space="preserve"> </w:t>
      </w:r>
      <w:r>
        <w:rPr>
          <w:rFonts w:hint="eastAsia"/>
        </w:rPr>
        <w:t xml:space="preserve">実験条件（pH、温度、基質濃度）や試薬ロット、測定機器の型番を詳細に記載し、繰り返し回数と統計処理法（平均±標準偏差、t検定など）を明示する。</w:t>
      </w:r>
    </w:p>
    <w:bookmarkEnd w:id="49"/>
    <w:bookmarkStart w:id="50" w:name="results結果"/>
    <w:p>
      <w:pPr>
        <w:pStyle w:val="Heading3"/>
      </w:pPr>
      <w:r>
        <w:t xml:space="preserve">3.2 </w:t>
      </w:r>
      <w:r>
        <w:rPr>
          <w:rFonts w:hint="eastAsia"/>
        </w:rPr>
        <w:t xml:space="preserve">Results（結果）</w:t>
      </w:r>
    </w:p>
    <w:p>
      <w:pPr>
        <w:pStyle w:val="Compact"/>
        <w:numPr>
          <w:ilvl w:val="0"/>
          <w:numId w:val="1005"/>
        </w:numPr>
      </w:pPr>
      <w:r>
        <w:rPr>
          <w:rFonts w:hint="eastAsia"/>
          <w:b/>
          <w:bCs/>
        </w:rPr>
        <w:t xml:space="preserve">連続評価の提示:</w:t>
      </w:r>
      <w:r>
        <w:t xml:space="preserve"> </w:t>
      </w:r>
      <w:r>
        <w:rPr>
          <w:rFonts w:hint="eastAsia"/>
        </w:rPr>
        <w:t xml:space="preserve">主解析では活性と熱安定性など複数指標を連続的に評価した結果を二軸図や等スコア線で示し、最適解の分布を視覚化する。閾値は図中に参考線として示す程度に留める。</w:t>
      </w:r>
    </w:p>
    <w:p>
      <w:pPr>
        <w:pStyle w:val="Compact"/>
        <w:numPr>
          <w:ilvl w:val="0"/>
          <w:numId w:val="1005"/>
        </w:numPr>
      </w:pPr>
      <w:r>
        <w:rPr>
          <w:rFonts w:hint="eastAsia"/>
          <w:b/>
          <w:bCs/>
        </w:rPr>
        <w:t xml:space="preserve">感度分析の結果:</w:t>
      </w:r>
      <w:r>
        <w:t xml:space="preserve"> </w:t>
      </w:r>
      <w:r>
        <w:rPr>
          <w:rFonts w:hint="eastAsia"/>
        </w:rPr>
        <w:t xml:space="preserve">補助解析として重みや閾値を変えた場合の最適解の変化を表や図で示し、主解析結果と比較する。閾値により順位が大きく変わる場合はその理由を議論する。</w:t>
      </w:r>
    </w:p>
    <w:p>
      <w:pPr>
        <w:pStyle w:val="Compact"/>
        <w:numPr>
          <w:ilvl w:val="0"/>
          <w:numId w:val="1005"/>
        </w:numPr>
      </w:pPr>
      <w:r>
        <w:rPr>
          <w:rFonts w:hint="eastAsia"/>
          <w:b/>
          <w:bCs/>
        </w:rPr>
        <w:t xml:space="preserve">統計検定:</w:t>
      </w:r>
      <w:r>
        <w:t xml:space="preserve"> </w:t>
      </w:r>
      <w:r>
        <w:rPr>
          <w:rFonts w:hint="eastAsia"/>
        </w:rPr>
        <w:t xml:space="preserve">変異体間の差が有意かどうかをp値や信頼区間で示す。複数回測定に基づく平均値と標準偏差を併記し、再現性を強調する。</w:t>
      </w:r>
    </w:p>
    <w:bookmarkEnd w:id="50"/>
    <w:bookmarkStart w:id="51" w:name="supplementary補遺"/>
    <w:p>
      <w:pPr>
        <w:pStyle w:val="Heading3"/>
      </w:pPr>
      <w:r>
        <w:t xml:space="preserve">3.3 </w:t>
      </w:r>
      <w:r>
        <w:rPr>
          <w:rFonts w:hint="eastAsia"/>
        </w:rPr>
        <w:t xml:space="preserve">Supplementary（補遺）</w:t>
      </w:r>
    </w:p>
    <w:p>
      <w:pPr>
        <w:pStyle w:val="Compact"/>
        <w:numPr>
          <w:ilvl w:val="0"/>
          <w:numId w:val="1006"/>
        </w:numPr>
      </w:pPr>
      <w:r>
        <w:rPr>
          <w:rFonts w:hint="eastAsia"/>
          <w:b/>
          <w:bCs/>
        </w:rPr>
        <w:t xml:space="preserve">閾値・重みの探索詳細:</w:t>
      </w:r>
      <w:r>
        <w:t xml:space="preserve"> </w:t>
      </w:r>
      <w:r>
        <w:rPr>
          <w:rFonts w:hint="eastAsia"/>
        </w:rPr>
        <w:t xml:space="preserve">主解析で用いた閾値や重みの選択過程を補遺に詳述する。例えば文献調査から得た閾値候補や、機器の測定可能範囲との関係を示す。</w:t>
      </w:r>
    </w:p>
    <w:p>
      <w:pPr>
        <w:pStyle w:val="Compact"/>
        <w:numPr>
          <w:ilvl w:val="0"/>
          <w:numId w:val="1006"/>
        </w:numPr>
      </w:pPr>
      <w:r>
        <w:rPr>
          <w:rFonts w:hint="eastAsia"/>
          <w:b/>
          <w:bCs/>
        </w:rPr>
        <w:t xml:space="preserve">追加データとコード:</w:t>
      </w:r>
      <w:r>
        <w:t xml:space="preserve"> </w:t>
      </w:r>
      <w:r>
        <w:rPr>
          <w:rFonts w:hint="eastAsia"/>
        </w:rPr>
        <w:t xml:space="preserve">再現性を高めるため、感度分析に用いたデータセットや最適化アルゴリズムのコード、パラメータ設定ファイルを公開する。データの保存形式やアクセス方法を記載する。</w:t>
      </w:r>
    </w:p>
    <w:p>
      <w:pPr>
        <w:pStyle w:val="Compact"/>
        <w:numPr>
          <w:ilvl w:val="0"/>
          <w:numId w:val="1006"/>
        </w:numPr>
      </w:pPr>
      <w:r>
        <w:rPr>
          <w:rFonts w:hint="eastAsia"/>
          <w:b/>
          <w:bCs/>
        </w:rPr>
        <w:t xml:space="preserve">失敗実験や除外データの報告:</w:t>
      </w:r>
      <w:r>
        <w:t xml:space="preserve"> </w:t>
      </w:r>
      <w:r>
        <w:rPr>
          <w:rFonts w:hint="eastAsia"/>
        </w:rPr>
        <w:t xml:space="preserve">測定失敗や制約違反で除外した条件を一覧にし、その理由を説明する。これにより選択バイアスの可能性を低減する。</w:t>
      </w:r>
    </w:p>
    <w:bookmarkEnd w:id="51"/>
    <w:bookmarkEnd w:id="52"/>
    <w:bookmarkStart w:id="53" w:name="まとめ"/>
    <w:p>
      <w:pPr>
        <w:pStyle w:val="Heading2"/>
      </w:pPr>
      <w:r>
        <w:t xml:space="preserve">まとめ</w:t>
      </w:r>
    </w:p>
    <w:p>
      <w:pPr>
        <w:pStyle w:val="FirstParagraph"/>
      </w:pPr>
      <w:r>
        <w:rPr>
          <w:rFonts w:hint="eastAsia"/>
        </w:rPr>
        <w:t xml:space="preserve">本調査では、2015</w:t>
      </w:r>
      <w:r>
        <w:t xml:space="preserve"> </w:t>
      </w:r>
      <w:r>
        <w:rPr>
          <w:rFonts w:hint="eastAsia"/>
        </w:rPr>
        <w:t xml:space="preserve">年以降に発表された酵素工学論文から、活性と熱安定性の同時向上を目指した事例を20</w:t>
      </w:r>
      <w:r>
        <w:t xml:space="preserve"> </w:t>
      </w:r>
      <w:r>
        <w:rPr>
          <w:rFonts w:hint="eastAsia"/>
        </w:rPr>
        <w:t xml:space="preserve">件抽出し、目的関数設計と再現性確保の工夫を比較した。多くの論文は明示的な目的関数を持たず、測定データを基にバランスの良い変異体を選ぶ手法を採用している。一方、機械学習や計算設計を用いた最新研究では、重み付き和や</w:t>
      </w:r>
      <w:r>
        <w:t xml:space="preserve"> Pareto </w:t>
      </w:r>
      <w:r>
        <w:rPr>
          <w:rFonts w:hint="eastAsia"/>
        </w:rPr>
        <w:t xml:space="preserve">最適化が導入され、重みや閾値の事前定義と感度分析が再現性確保に重要であることが確認された。制約付き</w:t>
      </w:r>
      <w:r>
        <w:t xml:space="preserve"> Bayesian optimization </w:t>
      </w:r>
      <w:r>
        <w:rPr>
          <w:rFonts w:hint="eastAsia"/>
        </w:rPr>
        <w:t xml:space="preserve">論文では、目的関数と制約を独立に扱い、既知制約を事前に定義することや、未知制約を動的に学習するアルゴリズムが提案されている。研究者は、閾値や重みの設定を後付けと思われないように、方法論を詳細に記述し、感度分析と補遺情報を充実させることが求められる。</w:t>
      </w:r>
    </w:p>
    <w:bookmarkEnd w:id="53"/>
    <w:bookmarkEnd w:id="54"/>
    <w:bookmarkEnd w:id="55"/>
    <w:p>
      <w:r>
        <w:pict>
          <v:rect style="width:0;height:1.5pt" o:hralign="center" o:hrstd="t" o:hr="t"/>
        </w:pict>
      </w:r>
    </w:p>
    <w:bookmarkStart w:id="71" w:name="citations"/>
    <w:p>
      <w:pPr>
        <w:pStyle w:val="FirstParagraph"/>
      </w:pPr>
      <w:hyperlink r:id="rId21">
        <w:r>
          <w:rPr>
            <w:rStyle w:val="Hyperlink"/>
          </w:rPr>
          <w:t xml:space="preserve">[1]</w:t>
        </w:r>
      </w:hyperlink>
      <w:r>
        <w:t xml:space="preserve"> </w:t>
      </w:r>
      <w:r>
        <w:t xml:space="preserve">Machine Learning-Driven Multi-Objective Optimization of Enzyme Combinations for Plastic Degradation: An Ensemble Framework Integrating Sequence Features and Network Topology</w:t>
      </w:r>
    </w:p>
    <w:p>
      <w:pPr>
        <w:pStyle w:val="BodyText"/>
      </w:pPr>
      <w:hyperlink r:id="rId56">
        <w:r>
          <w:rPr>
            <w:rStyle w:val="Hyperlink"/>
          </w:rPr>
          <w:t xml:space="preserve">https://www.mdpi.com/2227-9717/13/6/1936</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 </w:t>
      </w:r>
      <w:r>
        <w:t xml:space="preserve">Pareto-optimal sampling for multi-objective protein sequence design - PMC</w:t>
      </w:r>
      <w:r>
        <w:t xml:space="preserve"> </w:t>
      </w:r>
    </w:p>
    <w:p>
      <w:pPr>
        <w:pStyle w:val="BodyText"/>
      </w:pPr>
      <w:hyperlink r:id="rId57">
        <w:r>
          <w:rPr>
            <w:rStyle w:val="Hyperlink"/>
          </w:rPr>
          <w:t xml:space="preserve">https://pmc.ncbi.nlm.nih.gov/articles/PMC11952807/</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Machine learning-guided co-optimization of fitness and diversity facilitates combinatorial library design in enzyme engineering | Nature Communications</w:t>
      </w:r>
    </w:p>
    <w:p>
      <w:pPr>
        <w:pStyle w:val="BodyText"/>
      </w:pPr>
      <w:hyperlink r:id="rId25">
        <w:r>
          <w:rPr>
            <w:rStyle w:val="Hyperlink"/>
          </w:rPr>
          <w:t xml:space="preserve">https://www.nature.com/articles/s41467-024-50698-y</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2505.01277.pdf</w:t>
      </w:r>
    </w:p>
    <w:p>
      <w:pPr>
        <w:pStyle w:val="BodyText"/>
      </w:pPr>
      <w:hyperlink r:id="rId58">
        <w:r>
          <w:rPr>
            <w:rStyle w:val="Hyperlink"/>
          </w:rPr>
          <w:t xml:space="preserve">https://arxiv.org/pdf/2505.01277.pdf</w:t>
        </w:r>
      </w:hyperlink>
    </w:p>
    <w:p>
      <w:pPr>
        <w:pStyle w:val="BodyText"/>
      </w:pPr>
      <w:hyperlink r:id="rId28">
        <w:r>
          <w:rPr>
            <w:rStyle w:val="Hyperlink"/>
          </w:rPr>
          <w:t xml:space="preserve">[8]</w:t>
        </w:r>
      </w:hyperlink>
      <w:r>
        <w:t xml:space="preserve"> </w:t>
      </w:r>
      <w:r>
        <w:t xml:space="preserve"> </w:t>
      </w:r>
      <w:r>
        <w:t xml:space="preserve">A divide and conquer approach to determine the Pareto frontier for optimization of protein engineering experiments - PMC</w:t>
      </w:r>
      <w:r>
        <w:t xml:space="preserve"> </w:t>
      </w:r>
    </w:p>
    <w:p>
      <w:pPr>
        <w:pStyle w:val="BodyText"/>
      </w:pPr>
      <w:hyperlink r:id="rId59">
        <w:r>
          <w:rPr>
            <w:rStyle w:val="Hyperlink"/>
          </w:rPr>
          <w:t xml:space="preserve">https://pmc.ncbi.nlm.nih.gov/articles/PMC4939273/</w:t>
        </w:r>
      </w:hyperlink>
    </w:p>
    <w:p>
      <w:pPr>
        <w:pStyle w:val="BodyText"/>
      </w:pPr>
      <w:hyperlink r:id="rId29">
        <w:r>
          <w:rPr>
            <w:rStyle w:val="Hyperlink"/>
          </w:rPr>
          <w:t xml:space="preserve">[9]</w:t>
        </w:r>
      </w:hyperlink>
      <w:r>
        <w:t xml:space="preserve"> </w:t>
      </w:r>
      <w:r>
        <w:t xml:space="preserve"> </w:t>
      </w:r>
      <w:r>
        <w:t xml:space="preserve">Pareto optimization of combinatorial mutagenesis libraries - PMC</w:t>
      </w:r>
      <w:r>
        <w:t xml:space="preserve"> </w:t>
      </w:r>
    </w:p>
    <w:p>
      <w:pPr>
        <w:pStyle w:val="BodyText"/>
      </w:pPr>
      <w:hyperlink r:id="rId60">
        <w:r>
          <w:rPr>
            <w:rStyle w:val="Hyperlink"/>
          </w:rPr>
          <w:t xml:space="preserve">https://pmc.ncbi.nlm.nih.gov/articles/PMC8262366/</w:t>
        </w:r>
      </w:hyperlink>
    </w:p>
    <w:p>
      <w:pPr>
        <w:pStyle w:val="BodyText"/>
      </w:pPr>
      <w:hyperlink r:id="rId30">
        <w:r>
          <w:rPr>
            <w:rStyle w:val="Hyperlink"/>
          </w:rPr>
          <w:t xml:space="preserve">[10]</w:t>
        </w:r>
      </w:hyperlink>
      <w:r>
        <w:t xml:space="preserve"> </w:t>
      </w:r>
      <w:r>
        <w:t xml:space="preserve"> </w:t>
      </w:r>
      <w:r>
        <w:t xml:space="preserve">Bayesian Optimization for Design of Multiscale Biological Circuits - PMC</w:t>
      </w:r>
      <w:r>
        <w:t xml:space="preserve"> </w:t>
      </w:r>
    </w:p>
    <w:p>
      <w:pPr>
        <w:pStyle w:val="BodyText"/>
      </w:pPr>
      <w:hyperlink r:id="rId61">
        <w:r>
          <w:rPr>
            <w:rStyle w:val="Hyperlink"/>
          </w:rPr>
          <w:t xml:space="preserve">https://pmc.ncbi.nlm.nih.gov/articles/PMC10367132/</w:t>
        </w:r>
      </w:hyperlink>
    </w:p>
    <w:p>
      <w:pPr>
        <w:pStyle w:val="BodyText"/>
      </w:pPr>
      <w:hyperlink r:id="rId31">
        <w:r>
          <w:rPr>
            <w:rStyle w:val="Hyperlink"/>
          </w:rPr>
          <w:t xml:space="preserve">[11]</w:t>
        </w:r>
      </w:hyperlink>
      <w:r>
        <w:t xml:space="preserve"> </w:t>
      </w:r>
      <w:r>
        <w:t xml:space="preserve"> </w:t>
      </w:r>
      <w:r>
        <w:t xml:space="preserve">Optimizing enzyme thermostability by combining multiple mutations using protein language model - PMC</w:t>
      </w:r>
      <w:r>
        <w:t xml:space="preserve"> </w:t>
      </w:r>
    </w:p>
    <w:p>
      <w:pPr>
        <w:pStyle w:val="BodyText"/>
      </w:pPr>
      <w:hyperlink r:id="rId62">
        <w:r>
          <w:rPr>
            <w:rStyle w:val="Hyperlink"/>
          </w:rPr>
          <w:t xml:space="preserve">https://pmc.ncbi.nlm.nih.gov/articles/PMC11685841/</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 </w:t>
      </w:r>
      <w:r>
        <w:t xml:space="preserve">Simultaneous improvement of the thermostability and activity of lactic dehydrogenase from Lactobacillus rossiae through rational design - PMC</w:t>
      </w:r>
      <w:r>
        <w:t xml:space="preserve"> </w:t>
      </w:r>
    </w:p>
    <w:p>
      <w:pPr>
        <w:pStyle w:val="BodyText"/>
      </w:pPr>
      <w:hyperlink r:id="rId63">
        <w:r>
          <w:rPr>
            <w:rStyle w:val="Hyperlink"/>
          </w:rPr>
          <w:t xml:space="preserve">https://pmc.ncbi.nlm.nih.gov/articles/PMC9677063/</w:t>
        </w:r>
      </w:hyperlink>
    </w:p>
    <w:p>
      <w:pPr>
        <w:pStyle w:val="BodyText"/>
      </w:pPr>
      <w:hyperlink r:id="rId34">
        <w:r>
          <w:rPr>
            <w:rStyle w:val="Hyperlink"/>
          </w:rPr>
          <w:t xml:space="preserve">[14]</w:t>
        </w:r>
      </w:hyperlink>
      <w:r>
        <w:t xml:space="preserve"> </w:t>
      </w:r>
      <w:r>
        <w:t xml:space="preserve"> </w:t>
      </w:r>
      <w:r>
        <w:t xml:space="preserve">Improving the Specific Activity and Thermostability of Psychrophilic Xylosidase AX543 by Comparative Mutagenesis - PMC</w:t>
      </w:r>
      <w:r>
        <w:t xml:space="preserve"> </w:t>
      </w:r>
    </w:p>
    <w:p>
      <w:pPr>
        <w:pStyle w:val="BodyText"/>
      </w:pPr>
      <w:hyperlink r:id="rId64">
        <w:r>
          <w:rPr>
            <w:rStyle w:val="Hyperlink"/>
          </w:rPr>
          <w:t xml:space="preserve">https://pmc.ncbi.nlm.nih.gov/articles/PMC9407119/</w:t>
        </w:r>
      </w:hyperlink>
    </w:p>
    <w:p>
      <w:pPr>
        <w:pStyle w:val="BodyText"/>
      </w:pPr>
      <w:hyperlink r:id="rId35">
        <w:r>
          <w:rPr>
            <w:rStyle w:val="Hyperlink"/>
          </w:rPr>
          <w:t xml:space="preserve">[15]</w:t>
        </w:r>
      </w:hyperlink>
      <w:r>
        <w:t xml:space="preserve"> </w:t>
      </w:r>
      <w:r>
        <w:t xml:space="preserve"> </w:t>
      </w:r>
      <w:r>
        <w:t xml:space="preserve">Simultaneous Improvement in the Thermostability and Catalytic Activity of Epoxidase Lsd18 for the Synthesis of Lasalocid A - PMC</w:t>
      </w:r>
      <w:r>
        <w:t xml:space="preserve"> </w:t>
      </w:r>
    </w:p>
    <w:p>
      <w:pPr>
        <w:pStyle w:val="BodyText"/>
      </w:pPr>
      <w:hyperlink r:id="rId65">
        <w:r>
          <w:rPr>
            <w:rStyle w:val="Hyperlink"/>
          </w:rPr>
          <w:t xml:space="preserve">https://pmc.ncbi.nlm.nih.gov/articles/PMC10706071/</w:t>
        </w:r>
      </w:hyperlink>
    </w:p>
    <w:p>
      <w:pPr>
        <w:pStyle w:val="BodyText"/>
      </w:pPr>
      <w:hyperlink r:id="rId36">
        <w:r>
          <w:rPr>
            <w:rStyle w:val="Hyperlink"/>
          </w:rPr>
          <w:t xml:space="preserve">[16]</w:t>
        </w:r>
      </w:hyperlink>
      <w:r>
        <w:t xml:space="preserve"> </w:t>
      </w:r>
      <w:r>
        <w:t xml:space="preserve"> </w:t>
      </w:r>
      <w:r>
        <w:t xml:space="preserve">Tailoring industrial enzymes for thermostability and activity evolution by the machine learning-based iCASE strategy - PMC</w:t>
      </w:r>
      <w:r>
        <w:t xml:space="preserve"> </w:t>
      </w:r>
    </w:p>
    <w:p>
      <w:pPr>
        <w:pStyle w:val="BodyText"/>
      </w:pPr>
      <w:hyperlink r:id="rId66">
        <w:r>
          <w:rPr>
            <w:rStyle w:val="Hyperlink"/>
          </w:rPr>
          <w:t xml:space="preserve">https://pmc.ncbi.nlm.nih.gov/articles/PMC11724889/</w:t>
        </w:r>
      </w:hyperlink>
    </w:p>
    <w:p>
      <w:pPr>
        <w:pStyle w:val="BodyText"/>
      </w:pPr>
      <w:hyperlink r:id="rId37">
        <w:r>
          <w:rPr>
            <w:rStyle w:val="Hyperlink"/>
          </w:rPr>
          <w:t xml:space="preserve">[17]</w:t>
        </w:r>
      </w:hyperlink>
      <w:r>
        <w:t xml:space="preserve"> </w:t>
      </w:r>
      <w:r>
        <w:t xml:space="preserve">Surface Charge Engineering Unlocks Dual Enhancement of Thermostability and Catalytic Efficiency in a Bacterial β-Glucosidase for Sustainable Resveratrol Production - PubMed</w:t>
      </w:r>
    </w:p>
    <w:p>
      <w:pPr>
        <w:pStyle w:val="BodyText"/>
      </w:pPr>
      <w:hyperlink r:id="rId67">
        <w:r>
          <w:rPr>
            <w:rStyle w:val="Hyperlink"/>
          </w:rPr>
          <w:t xml:space="preserve">https://pubmed.ncbi.nlm.nih.gov/41032737/</w:t>
        </w:r>
      </w:hyperlink>
    </w:p>
    <w:p>
      <w:pPr>
        <w:pStyle w:val="BodyText"/>
      </w:pPr>
      <w:hyperlink r:id="rId38">
        <w:r>
          <w:rPr>
            <w:rStyle w:val="Hyperlink"/>
          </w:rPr>
          <w:t xml:space="preserve">[18]</w:t>
        </w:r>
      </w:hyperlink>
      <w:r>
        <w:t xml:space="preserve"> </w:t>
      </w:r>
      <w:r>
        <w:t xml:space="preserve">Dual Enhancement of Thermostability and Activity of Xylanase through Computer-Aided Rational Design (Journal Article) | OSTI.GOV</w:t>
      </w:r>
    </w:p>
    <w:p>
      <w:pPr>
        <w:pStyle w:val="BodyText"/>
      </w:pPr>
      <w:hyperlink r:id="rId68">
        <w:r>
          <w:rPr>
            <w:rStyle w:val="Hyperlink"/>
          </w:rPr>
          <w:t xml:space="preserve">https://www.osti.gov/biblio/2472674</w:t>
        </w:r>
      </w:hyperlink>
    </w:p>
    <w:p>
      <w:pPr>
        <w:pStyle w:val="BodyText"/>
      </w:pPr>
      <w:hyperlink r:id="rId39">
        <w:r>
          <w:rPr>
            <w:rStyle w:val="Hyperlink"/>
          </w:rPr>
          <w:t xml:space="preserve">[19]</w:t>
        </w:r>
      </w:hyperlink>
      <w:r>
        <w:t xml:space="preserve"> </w:t>
      </w:r>
      <w:r>
        <w:t xml:space="preserve"> </w:t>
      </w:r>
      <w:r>
        <w:t xml:space="preserve">Improvement of Catalytic Activity and Thermostability of Alginate Lyase VxAly7B-CM via Rational Computational Design Strategies - PMC</w:t>
      </w:r>
      <w:r>
        <w:t xml:space="preserve"> </w:t>
      </w:r>
    </w:p>
    <w:p>
      <w:pPr>
        <w:pStyle w:val="BodyText"/>
      </w:pPr>
      <w:hyperlink r:id="rId69">
        <w:r>
          <w:rPr>
            <w:rStyle w:val="Hyperlink"/>
          </w:rPr>
          <w:t xml:space="preserve">https://pmc.ncbi.nlm.nih.gov/articles/PMC12112969/</w:t>
        </w:r>
      </w:hyperlink>
    </w:p>
    <w:p>
      <w:pPr>
        <w:pStyle w:val="BodyText"/>
      </w:pPr>
      <w:hyperlink r:id="rId40">
        <w:r>
          <w:rPr>
            <w:rStyle w:val="Hyperlink"/>
          </w:rPr>
          <w:t xml:space="preserve">[20]</w:t>
        </w:r>
      </w:hyperlink>
      <w:r>
        <w:t xml:space="preserve"> </w:t>
      </w:r>
      <w:r>
        <w:t xml:space="preserve">Bayesian optimization with known experimental and design constraints for chemistry applications</w:t>
      </w:r>
    </w:p>
    <w:p>
      <w:pPr>
        <w:pStyle w:val="BodyText"/>
      </w:pPr>
      <w:hyperlink r:id="rId40">
        <w:r>
          <w:rPr>
            <w:rStyle w:val="Hyperlink"/>
          </w:rPr>
          <w:t xml:space="preserve">https://dspace.mit.edu/bitstream/handle/1721.1/146011/d2dd00028h.pdf</w:t>
        </w:r>
      </w:hyperlink>
    </w:p>
    <w:p>
      <w:pPr>
        <w:pStyle w:val="BodyText"/>
      </w:pPr>
      <w:hyperlink r:id="rId42">
        <w:r>
          <w:rPr>
            <w:rStyle w:val="Hyperlink"/>
          </w:rPr>
          <w:t xml:space="preserve">[21]</w:t>
        </w:r>
      </w:hyperlink>
      <w:r>
        <w:t xml:space="preserve"> </w:t>
      </w:r>
      <w:r>
        <w:t xml:space="preserve"> </w:t>
      </w:r>
      <w:r>
        <w:t xml:space="preserve">Adaptive boundary constraint in Bayesian optimization: a general strategy to prevent futile experiments in complex reaction optimization - Reaction Chemistry &amp; Engineering (RSC Publishing)</w:t>
      </w:r>
      <w:r>
        <w:t xml:space="preserve"> </w:t>
      </w:r>
    </w:p>
    <w:p>
      <w:pPr>
        <w:pStyle w:val="BodyText"/>
      </w:pPr>
      <w:hyperlink r:id="rId42">
        <w:r>
          <w:rPr>
            <w:rStyle w:val="Hyperlink"/>
          </w:rPr>
          <w:t xml:space="preserve">https://pubs.rsc.org/en/content/articlelanding/2025/re/d5re00161g</w:t>
        </w:r>
      </w:hyperlink>
    </w:p>
    <w:p>
      <w:pPr>
        <w:pStyle w:val="BodyText"/>
      </w:pPr>
      <w:hyperlink r:id="rId44">
        <w:r>
          <w:rPr>
            <w:rStyle w:val="Hyperlink"/>
          </w:rPr>
          <w:t xml:space="preserve">[22]</w:t>
        </w:r>
      </w:hyperlink>
      <w:r>
        <w:t xml:space="preserve"> </w:t>
      </w:r>
      <w:r>
        <w:t xml:space="preserve">Anubis: Bayesian optimization with unknown feasibility constraints for scientific experimentation - Digital Discovery (RSC Publishing) DOI:10.1039/D5DD00018A</w:t>
      </w:r>
    </w:p>
    <w:p>
      <w:pPr>
        <w:pStyle w:val="BodyText"/>
      </w:pPr>
      <w:hyperlink r:id="rId44">
        <w:r>
          <w:rPr>
            <w:rStyle w:val="Hyperlink"/>
          </w:rPr>
          <w:t xml:space="preserve">https://pubs.rsc.org/en/content/articlehtml/2025/dd/d5dd00018a</w:t>
        </w:r>
      </w:hyperlink>
    </w:p>
    <w:p>
      <w:pPr>
        <w:pStyle w:val="BodyText"/>
      </w:pPr>
      <w:hyperlink r:id="rId45">
        <w:r>
          <w:rPr>
            <w:rStyle w:val="Hyperlink"/>
          </w:rPr>
          <w:t xml:space="preserve">[23]</w:t>
        </w:r>
      </w:hyperlink>
      <w:r>
        <w:t xml:space="preserve"> </w:t>
      </w:r>
      <w:r>
        <w:t xml:space="preserve"> </w:t>
      </w:r>
      <w:r>
        <w:t xml:space="preserve">Bayesian optimization with safety constraints: safe and automatic parameter tuning in robotics - PMC</w:t>
      </w:r>
      <w:r>
        <w:t xml:space="preserve"> </w:t>
      </w:r>
    </w:p>
    <w:p>
      <w:pPr>
        <w:pStyle w:val="BodyText"/>
      </w:pPr>
      <w:hyperlink r:id="rId70">
        <w:r>
          <w:rPr>
            <w:rStyle w:val="Hyperlink"/>
          </w:rPr>
          <w:t xml:space="preserve">https://pmc.ncbi.nlm.nih.gov/articles/PMC10485113/</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rxiv.org/pdf/2505.01277.pdf" TargetMode="External" /><Relationship Type="http://schemas.openxmlformats.org/officeDocument/2006/relationships/hyperlink" Id="rId27" Target="https://arxiv.org/pdf/2505.01277.pdf#:~:text=In%20this%20study%2C%20we%20developed,bio.BM%5D%20%202%20May%202025" TargetMode="External" /><Relationship Type="http://schemas.openxmlformats.org/officeDocument/2006/relationships/hyperlink" Id="rId26" Target="https://arxiv.org/pdf/2505.01277.pdf#:~:text=Prot%20enhances%20key%20properties%2C%20including,lactamase" TargetMode="External" /><Relationship Type="http://schemas.openxmlformats.org/officeDocument/2006/relationships/hyperlink" Id="rId40" Target="https://dspace.mit.edu/bitstream/handle/1721.1/146011/d2dd00028h.pdf" TargetMode="External" /><Relationship Type="http://schemas.openxmlformats.org/officeDocument/2006/relationships/hyperlink" Id="rId61" Target="https://pmc.ncbi.nlm.nih.gov/articles/PMC10367132/" TargetMode="External" /><Relationship Type="http://schemas.openxmlformats.org/officeDocument/2006/relationships/hyperlink" Id="rId30" Target="https://pmc.ncbi.nlm.nih.gov/articles/PMC10367132/#:~:text=In%20all%20cases%20the%20loss,defined%20in%20eq%205" TargetMode="External" /><Relationship Type="http://schemas.openxmlformats.org/officeDocument/2006/relationships/hyperlink" Id="rId70" Target="https://pmc.ncbi.nlm.nih.gov/articles/PMC10485113/" TargetMode="External" /><Relationship Type="http://schemas.openxmlformats.org/officeDocument/2006/relationships/hyperlink" Id="rId45" Target="https://pmc.ncbi.nlm.nih.gov/articles/PMC10485113/#:~:text=Bayesian%20optimization%20algorithm%2C%20called%C2%A0SafeOpt%2C%20has,explores%20the%20parameter%20space%20by" TargetMode="External" /><Relationship Type="http://schemas.openxmlformats.org/officeDocument/2006/relationships/hyperlink" Id="rId65" Target="https://pmc.ncbi.nlm.nih.gov/articles/PMC10706071/" TargetMode="External" /><Relationship Type="http://schemas.openxmlformats.org/officeDocument/2006/relationships/hyperlink" Id="rId35" Target="https://pmc.ncbi.nlm.nih.gov/articles/PMC10706071/#:~:text=,S195M%20at%20different%20temperatures" TargetMode="External" /><Relationship Type="http://schemas.openxmlformats.org/officeDocument/2006/relationships/hyperlink" Id="rId62" Target="https://pmc.ncbi.nlm.nih.gov/articles/PMC11685841/" TargetMode="External" /><Relationship Type="http://schemas.openxmlformats.org/officeDocument/2006/relationships/hyperlink" Id="rId31" Target="https://pmc.ncbi.nlm.nih.gov/articles/PMC11685841/#:~:text=In%20enzyme%20engineering%2C%20there%20is,multiple%20data%20sets%20and%20instances" TargetMode="External" /><Relationship Type="http://schemas.openxmlformats.org/officeDocument/2006/relationships/hyperlink" Id="rId66" Target="https://pmc.ncbi.nlm.nih.gov/articles/PMC11724889/" TargetMode="External" /><Relationship Type="http://schemas.openxmlformats.org/officeDocument/2006/relationships/hyperlink" Id="rId36" Target="https://pmc.ncbi.nlm.nih.gov/articles/PMC11724889/#:~:text=,for%20thermal%20stability%20and%20activity" TargetMode="External" /><Relationship Type="http://schemas.openxmlformats.org/officeDocument/2006/relationships/hyperlink" Id="rId57" Target="https://pmc.ncbi.nlm.nih.gov/articles/PMC11952807/" TargetMode="External" /><Relationship Type="http://schemas.openxmlformats.org/officeDocument/2006/relationships/hyperlink" Id="rId23" Target="https://pmc.ncbi.nlm.nih.gov/articles/PMC11952807/#:~:text=" TargetMode="External" /><Relationship Type="http://schemas.openxmlformats.org/officeDocument/2006/relationships/hyperlink" Id="rId22" Target="https://pmc.ncbi.nlm.nih.gov/articles/PMC11952807/#:~:text=,properties" TargetMode="External" /><Relationship Type="http://schemas.openxmlformats.org/officeDocument/2006/relationships/hyperlink" Id="rId69" Target="https://pmc.ncbi.nlm.nih.gov/articles/PMC12112969/" TargetMode="External" /><Relationship Type="http://schemas.openxmlformats.org/officeDocument/2006/relationships/hyperlink" Id="rId39" Target="https://pmc.ncbi.nlm.nih.gov/articles/PMC12112969/#:~:text=%CE%94%CE%94G_,simulations%20suggested%20that%20the%20enhanced" TargetMode="External" /><Relationship Type="http://schemas.openxmlformats.org/officeDocument/2006/relationships/hyperlink" Id="rId59" Target="https://pmc.ncbi.nlm.nih.gov/articles/PMC4939273/" TargetMode="External" /><Relationship Type="http://schemas.openxmlformats.org/officeDocument/2006/relationships/hyperlink" Id="rId28" Target="https://pmc.ncbi.nlm.nih.gov/articles/PMC4939273/#:~:text=Abstract" TargetMode="External" /><Relationship Type="http://schemas.openxmlformats.org/officeDocument/2006/relationships/hyperlink" Id="rId60" Target="https://pmc.ncbi.nlm.nih.gov/articles/PMC8262366/" TargetMode="External" /><Relationship Type="http://schemas.openxmlformats.org/officeDocument/2006/relationships/hyperlink" Id="rId29" Target="https://pmc.ncbi.nlm.nih.gov/articles/PMC8262366/#:~:text=,objective%20design%20space" TargetMode="External" /><Relationship Type="http://schemas.openxmlformats.org/officeDocument/2006/relationships/hyperlink" Id="rId64" Target="https://pmc.ncbi.nlm.nih.gov/articles/PMC9407119/" TargetMode="External" /><Relationship Type="http://schemas.openxmlformats.org/officeDocument/2006/relationships/hyperlink" Id="rId34" Target="https://pmc.ncbi.nlm.nih.gov/articles/PMC9407119/#:~:text=The%20optimal%20temperatures%20of%20variants,force%20analysis%20indicated%20that%20the" TargetMode="External" /><Relationship Type="http://schemas.openxmlformats.org/officeDocument/2006/relationships/hyperlink" Id="rId63" Target="https://pmc.ncbi.nlm.nih.gov/articles/PMC9677063/" TargetMode="External" /><Relationship Type="http://schemas.openxmlformats.org/officeDocument/2006/relationships/hyperlink" Id="rId33" Target="https://pmc.ncbi.nlm.nih.gov/articles/PMC9677063/#:~:text=stability,strikes%20a%20good%20balance%20of" TargetMode="External" /><Relationship Type="http://schemas.openxmlformats.org/officeDocument/2006/relationships/hyperlink" Id="rId32" Target="https://pmc.ncbi.nlm.nih.gov/articles/PMC9677063/#:~:text=suffered%20a%20decline%20of%20specific,higher%20residual" TargetMode="External" /><Relationship Type="http://schemas.openxmlformats.org/officeDocument/2006/relationships/hyperlink" Id="rId67" Target="https://pubmed.ncbi.nlm.nih.gov/41032737/" TargetMode="External" /><Relationship Type="http://schemas.openxmlformats.org/officeDocument/2006/relationships/hyperlink" Id="rId37" Target="https://pubmed.ncbi.nlm.nih.gov/41032737/#:~:text=D156E%20mutant%20achieved%20a%2042.7,enzyme%20consumption%20in%20industrial%20applications" TargetMode="External" /><Relationship Type="http://schemas.openxmlformats.org/officeDocument/2006/relationships/hyperlink" Id="rId44" Target="https://pubs.rsc.org/en/content/articlehtml/2025/dd/d5dd00018a" TargetMode="External" /><Relationship Type="http://schemas.openxmlformats.org/officeDocument/2006/relationships/hyperlink" Id="rId42" Target="https://pubs.rsc.org/en/content/articlelanding/2025/re/d5re00161g" TargetMode="External" /><Relationship Type="http://schemas.openxmlformats.org/officeDocument/2006/relationships/hyperlink" Id="rId56" Target="https://www.mdpi.com/2227-9717/13/6/1936" TargetMode="External" /><Relationship Type="http://schemas.openxmlformats.org/officeDocument/2006/relationships/hyperlink" Id="rId21" Target="https://www.mdpi.com/2227-9717/13/6/1936#:~:text=machine%20learning%20framework%20to%20systematically,The%20Cutinase%E2%80%93PETase%20combination%20demonstrated" TargetMode="External" /><Relationship Type="http://schemas.openxmlformats.org/officeDocument/2006/relationships/hyperlink" Id="rId25" Target="https://www.nature.com/articles/s41467-024-50698-y" TargetMode="External" /><Relationship Type="http://schemas.openxmlformats.org/officeDocument/2006/relationships/hyperlink" Id="rId24" Target="https://www.nature.com/articles/s41467-024-50698-y#:~:text=learning%20,reach%20of%20classic%20directed%20evolution" TargetMode="External" /><Relationship Type="http://schemas.openxmlformats.org/officeDocument/2006/relationships/hyperlink" Id="rId68" Target="https://www.osti.gov/biblio/2472674" TargetMode="External" /><Relationship Type="http://schemas.openxmlformats.org/officeDocument/2006/relationships/hyperlink" Id="rId38" Target="https://www.osti.gov/biblio/2472674#:~:text=In%20the%20realm%20of%20enzyme,and%20pH%2010%2C%20using%20XynM9" TargetMode="External" /></Relationships>
</file>

<file path=word/_rels/footnotes.xml.rels><?xml version="1.0" encoding="UTF-8"?><Relationships xmlns="http://schemas.openxmlformats.org/package/2006/relationships"><Relationship Type="http://schemas.openxmlformats.org/officeDocument/2006/relationships/hyperlink" Id="rId58" Target="https://arxiv.org/pdf/2505.01277.pdf" TargetMode="External" /><Relationship Type="http://schemas.openxmlformats.org/officeDocument/2006/relationships/hyperlink" Id="rId27" Target="https://arxiv.org/pdf/2505.01277.pdf#:~:text=In%20this%20study%2C%20we%20developed,bio.BM%5D%20%202%20May%202025" TargetMode="External" /><Relationship Type="http://schemas.openxmlformats.org/officeDocument/2006/relationships/hyperlink" Id="rId26" Target="https://arxiv.org/pdf/2505.01277.pdf#:~:text=Prot%20enhances%20key%20properties%2C%20including,lactamase" TargetMode="External" /><Relationship Type="http://schemas.openxmlformats.org/officeDocument/2006/relationships/hyperlink" Id="rId40" Target="https://dspace.mit.edu/bitstream/handle/1721.1/146011/d2dd00028h.pdf" TargetMode="External" /><Relationship Type="http://schemas.openxmlformats.org/officeDocument/2006/relationships/hyperlink" Id="rId61" Target="https://pmc.ncbi.nlm.nih.gov/articles/PMC10367132/" TargetMode="External" /><Relationship Type="http://schemas.openxmlformats.org/officeDocument/2006/relationships/hyperlink" Id="rId30" Target="https://pmc.ncbi.nlm.nih.gov/articles/PMC10367132/#:~:text=In%20all%20cases%20the%20loss,defined%20in%20eq%205" TargetMode="External" /><Relationship Type="http://schemas.openxmlformats.org/officeDocument/2006/relationships/hyperlink" Id="rId70" Target="https://pmc.ncbi.nlm.nih.gov/articles/PMC10485113/" TargetMode="External" /><Relationship Type="http://schemas.openxmlformats.org/officeDocument/2006/relationships/hyperlink" Id="rId45" Target="https://pmc.ncbi.nlm.nih.gov/articles/PMC10485113/#:~:text=Bayesian%20optimization%20algorithm%2C%20called%C2%A0SafeOpt%2C%20has,explores%20the%20parameter%20space%20by" TargetMode="External" /><Relationship Type="http://schemas.openxmlformats.org/officeDocument/2006/relationships/hyperlink" Id="rId65" Target="https://pmc.ncbi.nlm.nih.gov/articles/PMC10706071/" TargetMode="External" /><Relationship Type="http://schemas.openxmlformats.org/officeDocument/2006/relationships/hyperlink" Id="rId35" Target="https://pmc.ncbi.nlm.nih.gov/articles/PMC10706071/#:~:text=,S195M%20at%20different%20temperatures" TargetMode="External" /><Relationship Type="http://schemas.openxmlformats.org/officeDocument/2006/relationships/hyperlink" Id="rId62" Target="https://pmc.ncbi.nlm.nih.gov/articles/PMC11685841/" TargetMode="External" /><Relationship Type="http://schemas.openxmlformats.org/officeDocument/2006/relationships/hyperlink" Id="rId31" Target="https://pmc.ncbi.nlm.nih.gov/articles/PMC11685841/#:~:text=In%20enzyme%20engineering%2C%20there%20is,multiple%20data%20sets%20and%20instances" TargetMode="External" /><Relationship Type="http://schemas.openxmlformats.org/officeDocument/2006/relationships/hyperlink" Id="rId66" Target="https://pmc.ncbi.nlm.nih.gov/articles/PMC11724889/" TargetMode="External" /><Relationship Type="http://schemas.openxmlformats.org/officeDocument/2006/relationships/hyperlink" Id="rId36" Target="https://pmc.ncbi.nlm.nih.gov/articles/PMC11724889/#:~:text=,for%20thermal%20stability%20and%20activity" TargetMode="External" /><Relationship Type="http://schemas.openxmlformats.org/officeDocument/2006/relationships/hyperlink" Id="rId57" Target="https://pmc.ncbi.nlm.nih.gov/articles/PMC11952807/" TargetMode="External" /><Relationship Type="http://schemas.openxmlformats.org/officeDocument/2006/relationships/hyperlink" Id="rId23" Target="https://pmc.ncbi.nlm.nih.gov/articles/PMC11952807/#:~:text=" TargetMode="External" /><Relationship Type="http://schemas.openxmlformats.org/officeDocument/2006/relationships/hyperlink" Id="rId22" Target="https://pmc.ncbi.nlm.nih.gov/articles/PMC11952807/#:~:text=,properties" TargetMode="External" /><Relationship Type="http://schemas.openxmlformats.org/officeDocument/2006/relationships/hyperlink" Id="rId69" Target="https://pmc.ncbi.nlm.nih.gov/articles/PMC12112969/" TargetMode="External" /><Relationship Type="http://schemas.openxmlformats.org/officeDocument/2006/relationships/hyperlink" Id="rId39" Target="https://pmc.ncbi.nlm.nih.gov/articles/PMC12112969/#:~:text=%CE%94%CE%94G_,simulations%20suggested%20that%20the%20enhanced" TargetMode="External" /><Relationship Type="http://schemas.openxmlformats.org/officeDocument/2006/relationships/hyperlink" Id="rId59" Target="https://pmc.ncbi.nlm.nih.gov/articles/PMC4939273/" TargetMode="External" /><Relationship Type="http://schemas.openxmlformats.org/officeDocument/2006/relationships/hyperlink" Id="rId28" Target="https://pmc.ncbi.nlm.nih.gov/articles/PMC4939273/#:~:text=Abstract" TargetMode="External" /><Relationship Type="http://schemas.openxmlformats.org/officeDocument/2006/relationships/hyperlink" Id="rId60" Target="https://pmc.ncbi.nlm.nih.gov/articles/PMC8262366/" TargetMode="External" /><Relationship Type="http://schemas.openxmlformats.org/officeDocument/2006/relationships/hyperlink" Id="rId29" Target="https://pmc.ncbi.nlm.nih.gov/articles/PMC8262366/#:~:text=,objective%20design%20space" TargetMode="External" /><Relationship Type="http://schemas.openxmlformats.org/officeDocument/2006/relationships/hyperlink" Id="rId64" Target="https://pmc.ncbi.nlm.nih.gov/articles/PMC9407119/" TargetMode="External" /><Relationship Type="http://schemas.openxmlformats.org/officeDocument/2006/relationships/hyperlink" Id="rId34" Target="https://pmc.ncbi.nlm.nih.gov/articles/PMC9407119/#:~:text=The%20optimal%20temperatures%20of%20variants,force%20analysis%20indicated%20that%20the" TargetMode="External" /><Relationship Type="http://schemas.openxmlformats.org/officeDocument/2006/relationships/hyperlink" Id="rId63" Target="https://pmc.ncbi.nlm.nih.gov/articles/PMC9677063/" TargetMode="External" /><Relationship Type="http://schemas.openxmlformats.org/officeDocument/2006/relationships/hyperlink" Id="rId33" Target="https://pmc.ncbi.nlm.nih.gov/articles/PMC9677063/#:~:text=stability,strikes%20a%20good%20balance%20of" TargetMode="External" /><Relationship Type="http://schemas.openxmlformats.org/officeDocument/2006/relationships/hyperlink" Id="rId32" Target="https://pmc.ncbi.nlm.nih.gov/articles/PMC9677063/#:~:text=suffered%20a%20decline%20of%20specific,higher%20residual" TargetMode="External" /><Relationship Type="http://schemas.openxmlformats.org/officeDocument/2006/relationships/hyperlink" Id="rId67" Target="https://pubmed.ncbi.nlm.nih.gov/41032737/" TargetMode="External" /><Relationship Type="http://schemas.openxmlformats.org/officeDocument/2006/relationships/hyperlink" Id="rId37" Target="https://pubmed.ncbi.nlm.nih.gov/41032737/#:~:text=D156E%20mutant%20achieved%20a%2042.7,enzyme%20consumption%20in%20industrial%20applications" TargetMode="External" /><Relationship Type="http://schemas.openxmlformats.org/officeDocument/2006/relationships/hyperlink" Id="rId44" Target="https://pubs.rsc.org/en/content/articlehtml/2025/dd/d5dd00018a" TargetMode="External" /><Relationship Type="http://schemas.openxmlformats.org/officeDocument/2006/relationships/hyperlink" Id="rId42" Target="https://pubs.rsc.org/en/content/articlelanding/2025/re/d5re00161g" TargetMode="External" /><Relationship Type="http://schemas.openxmlformats.org/officeDocument/2006/relationships/hyperlink" Id="rId56" Target="https://www.mdpi.com/2227-9717/13/6/1936" TargetMode="External" /><Relationship Type="http://schemas.openxmlformats.org/officeDocument/2006/relationships/hyperlink" Id="rId21" Target="https://www.mdpi.com/2227-9717/13/6/1936#:~:text=machine%20learning%20framework%20to%20systematically,The%20Cutinase%E2%80%93PETase%20combination%20demonstrated" TargetMode="External" /><Relationship Type="http://schemas.openxmlformats.org/officeDocument/2006/relationships/hyperlink" Id="rId25" Target="https://www.nature.com/articles/s41467-024-50698-y" TargetMode="External" /><Relationship Type="http://schemas.openxmlformats.org/officeDocument/2006/relationships/hyperlink" Id="rId24" Target="https://www.nature.com/articles/s41467-024-50698-y#:~:text=learning%20,reach%20of%20classic%20directed%20evolution" TargetMode="External" /><Relationship Type="http://schemas.openxmlformats.org/officeDocument/2006/relationships/hyperlink" Id="rId68" Target="https://www.osti.gov/biblio/2472674" TargetMode="External" /><Relationship Type="http://schemas.openxmlformats.org/officeDocument/2006/relationships/hyperlink" Id="rId38" Target="https://www.osti.gov/biblio/2472674#:~:text=In%20the%20realm%20of%20enzyme,and%20pH%2010%2C%20using%20XynM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2026-02-17T23:59:10Z</dcterms:created>
  <dcterms:modified xsi:type="dcterms:W3CDTF">2026-02-17T23:59:10Z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