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The Naylor Model · v13</w:t>
      </w:r>
    </w:p>
    <w:p>
      <w:pPr>
        <w:spacing w:after="200"/>
        <w:jc w:val="center"/>
      </w:pPr>
      <w:r>
        <w:rPr>
          <w:i/>
          <w:color w:val="666666"/>
          <w:sz w:val="24"/>
        </w:rPr>
        <w:t>Modelling the decision to steal — not just the outcome</w:t>
      </w:r>
    </w:p>
    <w:p>
      <w:pPr>
        <w:spacing w:after="160"/>
      </w:pPr>
      <w:r>
        <w:rPr>
          <w:b/>
          <w:color w:val="0C2340"/>
          <w:sz w:val="19"/>
        </w:rPr>
        <w:t xml:space="preserve">BOTTOM LINE  </w:t>
      </w:r>
      <w:r>
        <w:rPr>
          <w:sz w:val="20"/>
        </w:rPr>
        <w:t>Every previous version answered “was that steal safe?”, which can only be asked once a runner has already gone. v13 adds the half that was missing: of the 517,068 pitches where a runner stood on first with second base open, when did he go at all? The answer reframes the whole project — the fastest runners attempt 7× more often than the slowest, so sprint speed is spent on the decision to run, which is exactly why it looks worthless inside the success model.</w:t>
      </w:r>
    </w:p>
    <w:p>
      <w:pPr>
        <w:pStyle w:val="Heading1"/>
      </w:pPr>
      <w:r>
        <w:t>1 · The gap this fills</w:t>
      </w:r>
    </w:p>
    <w:p>
      <w:pPr>
        <w:spacing w:after="120"/>
      </w:pPr>
      <w:r>
        <w:rPr>
          <w:b w:val="0"/>
          <w:i w:val="0"/>
          <w:sz w:val="20"/>
        </w:rPr>
        <w:t>Steal+ and Burst (v11) and the per-attempt success engine (v12) all condition on an attempt having happened. That is a survivorship problem: a runner only goes when he already likes his odds, so the sample of attempts is heavily self-selected. The clearest symptom is that sprint speed on its own predicts the outcome of an attempt at AUROC 0.53 — barely better than a coin flip — which is absurd on its face for a footrace.</w:t>
      </w:r>
    </w:p>
    <w:p>
      <w:pPr>
        <w:spacing w:after="120"/>
      </w:pPr>
      <w:r>
        <w:rPr>
          <w:b w:val="0"/>
          <w:i w:val="0"/>
          <w:sz w:val="20"/>
        </w:rPr>
        <w:t>The missing piece was the denominator: the pitches where a runner could have gone and did not. It had never been collected. v13 builds it from the MLB play-by-play feed, replaying the base state pitch by pitch.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shd w:fill="0C2340"/>
          </w:tcPr>
          <w:p>
            <w:pPr>
              <w:jc w:val="center"/>
            </w:pPr>
            <w:r/>
            <w:r>
              <w:rPr>
                <w:b/>
                <w:color w:val="FFFFFF"/>
                <w:sz w:val="17"/>
              </w:rPr>
              <w:t>Dataset</w:t>
            </w:r>
          </w:p>
        </w:tc>
        <w:tc>
          <w:tcPr>
            <w:tcW w:type="dxa" w:w="2448"/>
            <w:shd w:fill="0C2340"/>
          </w:tcPr>
          <w:p>
            <w:pPr>
              <w:jc w:val="center"/>
            </w:pPr>
            <w:r/>
            <w:r>
              <w:rPr>
                <w:b/>
                <w:color w:val="FFFFFF"/>
                <w:sz w:val="17"/>
              </w:rPr>
              <w:t>Grain</w:t>
            </w:r>
          </w:p>
        </w:tc>
        <w:tc>
          <w:tcPr>
            <w:tcW w:type="dxa" w:w="1440"/>
            <w:shd w:fill="0C2340"/>
          </w:tcPr>
          <w:p>
            <w:pPr>
              <w:jc w:val="center"/>
            </w:pPr>
            <w:r/>
            <w:r>
              <w:rPr>
                <w:b/>
                <w:color w:val="FFFFFF"/>
                <w:sz w:val="17"/>
              </w:rPr>
              <w:t>Rows</w:t>
            </w:r>
          </w:p>
        </w:tc>
        <w:tc>
          <w:tcPr>
            <w:tcW w:type="dxa" w:w="3456"/>
            <w:shd w:fill="0C2340"/>
          </w:tcPr>
          <w:p>
            <w:pPr>
              <w:jc w:val="center"/>
            </w:pPr>
            <w:r/>
            <w:r>
              <w:rPr>
                <w:b/>
                <w:color w:val="FFFFFF"/>
                <w:sz w:val="17"/>
              </w:rPr>
              <w:t>What it can answer</w:t>
            </w:r>
          </w:p>
        </w:tc>
      </w:tr>
      <w:tr>
        <w:tc>
          <w:tcPr>
            <w:tcW w:type="dxa" w:w="3024"/>
          </w:tcPr>
          <w:p>
            <w:pPr>
              <w:jc w:val="left"/>
            </w:pPr>
            <w:r/>
            <w:r>
              <w:rPr>
                <w:b w:val="0"/>
                <w:sz w:val="17"/>
              </w:rPr>
              <w:t>Raw_Attempts (v11/v12)</w:t>
            </w:r>
          </w:p>
        </w:tc>
        <w:tc>
          <w:tcPr>
            <w:tcW w:type="dxa" w:w="2448"/>
          </w:tcPr>
          <w:p>
            <w:pPr>
              <w:jc w:val="center"/>
            </w:pPr>
            <w:r/>
            <w:r>
              <w:rPr>
                <w:b w:val="0"/>
                <w:sz w:val="17"/>
              </w:rPr>
              <w:t>steal attempt</w:t>
            </w:r>
          </w:p>
        </w:tc>
        <w:tc>
          <w:tcPr>
            <w:tcW w:type="dxa" w:w="1440"/>
          </w:tcPr>
          <w:p>
            <w:pPr>
              <w:jc w:val="center"/>
            </w:pPr>
            <w:r/>
            <w:r>
              <w:rPr>
                <w:b w:val="0"/>
                <w:sz w:val="17"/>
              </w:rPr>
              <w:t>10,366</w:t>
            </w:r>
          </w:p>
        </w:tc>
        <w:tc>
          <w:tcPr>
            <w:tcW w:type="dxa" w:w="3456"/>
          </w:tcPr>
          <w:p>
            <w:pPr>
              <w:jc w:val="center"/>
            </w:pPr>
            <w:r/>
            <w:r>
              <w:rPr>
                <w:b w:val="0"/>
                <w:sz w:val="17"/>
              </w:rPr>
              <w:t>Was this attempt safe?</w:t>
            </w:r>
          </w:p>
        </w:tc>
      </w:tr>
      <w:tr>
        <w:tc>
          <w:tcPr>
            <w:tcW w:type="dxa" w:w="3024"/>
          </w:tcPr>
          <w:p>
            <w:pPr>
              <w:jc w:val="left"/>
            </w:pPr>
            <w:r/>
            <w:r>
              <w:rPr>
                <w:b w:val="0"/>
                <w:sz w:val="17"/>
              </w:rPr>
              <w:t>Raw_Opportunities (v13)</w:t>
            </w:r>
          </w:p>
        </w:tc>
        <w:tc>
          <w:tcPr>
            <w:tcW w:type="dxa" w:w="2448"/>
          </w:tcPr>
          <w:p>
            <w:pPr>
              <w:jc w:val="center"/>
            </w:pPr>
            <w:r/>
            <w:r>
              <w:rPr>
                <w:b w:val="0"/>
                <w:sz w:val="17"/>
              </w:rPr>
              <w:t>pitch with runner on 1B</w:t>
            </w:r>
          </w:p>
        </w:tc>
        <w:tc>
          <w:tcPr>
            <w:tcW w:type="dxa" w:w="1440"/>
          </w:tcPr>
          <w:p>
            <w:pPr>
              <w:jc w:val="center"/>
            </w:pPr>
            <w:r/>
            <w:r>
              <w:rPr>
                <w:b w:val="0"/>
                <w:sz w:val="17"/>
              </w:rPr>
              <w:t>517,068</w:t>
            </w:r>
          </w:p>
        </w:tc>
        <w:tc>
          <w:tcPr>
            <w:tcW w:type="dxa" w:w="3456"/>
          </w:tcPr>
          <w:p>
            <w:pPr>
              <w:jc w:val="center"/>
            </w:pPr>
            <w:r/>
            <w:r>
              <w:rPr>
                <w:b w:val="0"/>
                <w:sz w:val="17"/>
              </w:rPr>
              <w:t>Did he go at all?</w:t>
            </w:r>
          </w:p>
        </w:tc>
      </w:tr>
    </w:tbl>
    <w:p>
      <w:pPr>
        <w:spacing w:after="200"/>
      </w:pPr>
      <w:r>
        <w:rPr>
          <w:b w:val="0"/>
          <w:i w:val="0"/>
          <w:sz w:val="18"/>
        </w:rPr>
        <w:t>Because labelling now comes from the play-by-play feed rather than Savant's tracked-attempt drawer, coverage widens from 499 runners to 917, and from 9,412 tracked attempts to 11,917.</w:t>
      </w:r>
    </w:p>
    <w:p>
      <w:pPr>
        <w:pStyle w:val="Heading1"/>
      </w:pPr>
      <w:r>
        <w:t>2 · The finding: runners self-select, hard</w:t>
      </w:r>
    </w:p>
    <w:p>
      <w:pPr>
        <w:spacing w:after="160"/>
      </w:pPr>
      <w:r>
        <w:rPr>
          <w:b/>
          <w:color w:val="0C2340"/>
          <w:sz w:val="19"/>
        </w:rPr>
        <w:t xml:space="preserve">BOTTOM LINE  </w:t>
      </w:r>
      <w:r>
        <w:rPr>
          <w:sz w:val="20"/>
        </w:rPr>
        <w:t>Attempt rate climbs monotonically with sprint speed, from 0.70% in the slowest bin to 4.87% in the fastest — a 7× spread across roughly six feet per second.</w:t>
      </w:r>
    </w:p>
    <w:p>
      <w:pPr>
        <w:jc w:val="center"/>
      </w:pPr>
      <w:r>
        <w:drawing>
          <wp:inline xmlns:a="http://schemas.openxmlformats.org/drawingml/2006/main" xmlns:pic="http://schemas.openxmlformats.org/drawingml/2006/picture">
            <wp:extent cx="5760720" cy="3259355"/>
            <wp:docPr id="1" name="Picture 1"/>
            <wp:cNvGraphicFramePr>
              <a:graphicFrameLocks noChangeAspect="1"/>
            </wp:cNvGraphicFramePr>
            <a:graphic>
              <a:graphicData uri="http://schemas.openxmlformats.org/drawingml/2006/picture">
                <pic:pic>
                  <pic:nvPicPr>
                    <pic:cNvPr id="0" name="Fig_v13_Attempt.png"/>
                    <pic:cNvPicPr/>
                  </pic:nvPicPr>
                  <pic:blipFill>
                    <a:blip r:embed="rId9"/>
                    <a:stretch>
                      <a:fillRect/>
                    </a:stretch>
                  </pic:blipFill>
                  <pic:spPr>
                    <a:xfrm>
                      <a:off x="0" y="0"/>
                      <a:ext cx="5760720" cy="3259355"/>
                    </a:xfrm>
                    <a:prstGeom prst="rect"/>
                  </pic:spPr>
                </pic:pic>
              </a:graphicData>
            </a:graphic>
          </wp:inline>
        </w:drawing>
      </w:r>
    </w:p>
    <w:p>
      <w:pPr>
        <w:spacing w:after="200"/>
      </w:pPr>
      <w:r>
        <w:rPr>
          <w:b w:val="0"/>
          <w:i w:val="0"/>
          <w:sz w:val="19"/>
        </w:rPr>
        <w:t>This is the selection effect, measured directly. Fast runners take the marginal chances; slow runners only go when the situation is already favourable. By the time an attempt exists in the data, speed has already done its work — which is why it adds almost nothing to a model of whether that attempt succeeded.</w:t>
      </w:r>
    </w:p>
    <w:p>
      <w:pPr>
        <w:pStyle w:val="Heading1"/>
      </w:pPr>
      <w:r>
        <w:t>3 · How the speed groups are defined</w:t>
      </w:r>
    </w:p>
    <w:p>
      <w:pPr>
        <w:spacing w:after="160"/>
      </w:pPr>
      <w:r>
        <w:rPr>
          <w:b/>
          <w:color w:val="0C2340"/>
          <w:sz w:val="19"/>
        </w:rPr>
        <w:t xml:space="preserve">BOTTOM LINE  </w:t>
      </w:r>
      <w:r>
        <w:rPr>
          <w:sz w:val="20"/>
        </w:rPr>
        <w:t>The five groups are quintiles of the OPPORTUNITY population — every pitch with a runner on first — not MLB-wide percentiles and not equal numbers of runners. Each bin therefore holds about a fifth of the 517,068 pitches, and a runner who reaches base often carries more weight.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296"/>
            <w:shd w:fill="0C2340"/>
          </w:tcPr>
          <w:p>
            <w:pPr>
              <w:jc w:val="center"/>
            </w:pPr>
            <w:r/>
            <w:r>
              <w:rPr>
                <w:b/>
                <w:color w:val="FFFFFF"/>
                <w:sz w:val="17"/>
              </w:rPr>
              <w:t>Group</w:t>
            </w:r>
          </w:p>
        </w:tc>
        <w:tc>
          <w:tcPr>
            <w:tcW w:type="dxa" w:w="2160"/>
            <w:shd w:fill="0C2340"/>
          </w:tcPr>
          <w:p>
            <w:pPr>
              <w:jc w:val="center"/>
            </w:pPr>
            <w:r/>
            <w:r>
              <w:rPr>
                <w:b/>
                <w:color w:val="FFFFFF"/>
                <w:sz w:val="17"/>
              </w:rPr>
              <w:t>Sprint speed (ft/s)</w:t>
            </w:r>
          </w:p>
        </w:tc>
        <w:tc>
          <w:tcPr>
            <w:tcW w:type="dxa" w:w="1008"/>
            <w:shd w:fill="0C2340"/>
          </w:tcPr>
          <w:p>
            <w:pPr>
              <w:jc w:val="center"/>
            </w:pPr>
            <w:r/>
            <w:r>
              <w:rPr>
                <w:b/>
                <w:color w:val="FFFFFF"/>
                <w:sz w:val="17"/>
              </w:rPr>
              <w:t>Mean</w:t>
            </w:r>
          </w:p>
        </w:tc>
        <w:tc>
          <w:tcPr>
            <w:tcW w:type="dxa" w:w="1728"/>
            <w:shd w:fill="0C2340"/>
          </w:tcPr>
          <w:p>
            <w:pPr>
              <w:jc w:val="center"/>
            </w:pPr>
            <w:r/>
            <w:r>
              <w:rPr>
                <w:b/>
                <w:color w:val="FFFFFF"/>
                <w:sz w:val="17"/>
              </w:rPr>
              <w:t>Runner-seasons</w:t>
            </w:r>
          </w:p>
        </w:tc>
        <w:tc>
          <w:tcPr>
            <w:tcW w:type="dxa" w:w="1728"/>
            <w:shd w:fill="0C2340"/>
          </w:tcPr>
          <w:p>
            <w:pPr>
              <w:jc w:val="center"/>
            </w:pPr>
            <w:r/>
            <w:r>
              <w:rPr>
                <w:b/>
                <w:color w:val="FFFFFF"/>
                <w:sz w:val="17"/>
              </w:rPr>
              <w:t>Opportunities</w:t>
            </w:r>
          </w:p>
        </w:tc>
        <w:tc>
          <w:tcPr>
            <w:tcW w:type="dxa" w:w="1584"/>
            <w:shd w:fill="0C2340"/>
          </w:tcPr>
          <w:p>
            <w:pPr>
              <w:jc w:val="center"/>
            </w:pPr>
            <w:r/>
            <w:r>
              <w:rPr>
                <w:b/>
                <w:color w:val="FFFFFF"/>
                <w:sz w:val="17"/>
              </w:rPr>
              <w:t>Share of pitches</w:t>
            </w:r>
          </w:p>
        </w:tc>
        <w:tc>
          <w:tcPr>
            <w:tcW w:type="dxa" w:w="1440"/>
            <w:shd w:fill="0C2340"/>
          </w:tcPr>
          <w:p>
            <w:pPr>
              <w:jc w:val="center"/>
            </w:pPr>
            <w:r/>
            <w:r>
              <w:rPr>
                <w:b/>
                <w:color w:val="FFFFFF"/>
                <w:sz w:val="17"/>
              </w:rPr>
              <w:t>Attempt rate</w:t>
            </w:r>
          </w:p>
        </w:tc>
      </w:tr>
      <w:tr>
        <w:tc>
          <w:tcPr>
            <w:tcW w:type="dxa" w:w="1296"/>
          </w:tcPr>
          <w:p>
            <w:pPr>
              <w:jc w:val="left"/>
            </w:pPr>
            <w:r/>
            <w:r>
              <w:rPr>
                <w:b w:val="0"/>
                <w:sz w:val="17"/>
              </w:rPr>
              <w:t>SLOWEST</w:t>
            </w:r>
          </w:p>
        </w:tc>
        <w:tc>
          <w:tcPr>
            <w:tcW w:type="dxa" w:w="2160"/>
          </w:tcPr>
          <w:p>
            <w:pPr>
              <w:jc w:val="center"/>
            </w:pPr>
            <w:r/>
            <w:r>
              <w:rPr>
                <w:b w:val="0"/>
                <w:sz w:val="17"/>
              </w:rPr>
              <w:t>22.1 – 26.1</w:t>
            </w:r>
          </w:p>
        </w:tc>
        <w:tc>
          <w:tcPr>
            <w:tcW w:type="dxa" w:w="1008"/>
          </w:tcPr>
          <w:p>
            <w:pPr>
              <w:jc w:val="center"/>
            </w:pPr>
            <w:r/>
            <w:r>
              <w:rPr>
                <w:b w:val="0"/>
                <w:sz w:val="17"/>
              </w:rPr>
              <w:t>25.40</w:t>
            </w:r>
          </w:p>
        </w:tc>
        <w:tc>
          <w:tcPr>
            <w:tcW w:type="dxa" w:w="1728"/>
          </w:tcPr>
          <w:p>
            <w:pPr>
              <w:jc w:val="center"/>
            </w:pPr>
            <w:r/>
            <w:r>
              <w:rPr>
                <w:b w:val="0"/>
                <w:sz w:val="17"/>
              </w:rPr>
              <w:t>229</w:t>
            </w:r>
          </w:p>
        </w:tc>
        <w:tc>
          <w:tcPr>
            <w:tcW w:type="dxa" w:w="1728"/>
          </w:tcPr>
          <w:p>
            <w:pPr>
              <w:jc w:val="center"/>
            </w:pPr>
            <w:r/>
            <w:r>
              <w:rPr>
                <w:b w:val="0"/>
                <w:sz w:val="17"/>
              </w:rPr>
              <w:t>111,958</w:t>
            </w:r>
          </w:p>
        </w:tc>
        <w:tc>
          <w:tcPr>
            <w:tcW w:type="dxa" w:w="1584"/>
          </w:tcPr>
          <w:p>
            <w:pPr>
              <w:jc w:val="center"/>
            </w:pPr>
            <w:r/>
            <w:r>
              <w:rPr>
                <w:b w:val="0"/>
                <w:sz w:val="17"/>
              </w:rPr>
              <w:t>20.2%</w:t>
            </w:r>
          </w:p>
        </w:tc>
        <w:tc>
          <w:tcPr>
            <w:tcW w:type="dxa" w:w="1440"/>
          </w:tcPr>
          <w:p>
            <w:pPr>
              <w:jc w:val="center"/>
            </w:pPr>
            <w:r/>
            <w:r>
              <w:rPr>
                <w:b w:val="0"/>
                <w:sz w:val="17"/>
              </w:rPr>
              <w:t>0.68%</w:t>
            </w:r>
          </w:p>
        </w:tc>
      </w:tr>
      <w:tr>
        <w:tc>
          <w:tcPr>
            <w:tcW w:type="dxa" w:w="1296"/>
          </w:tcPr>
          <w:p>
            <w:pPr>
              <w:jc w:val="left"/>
            </w:pPr>
            <w:r/>
            <w:r>
              <w:rPr>
                <w:b w:val="0"/>
                <w:sz w:val="17"/>
              </w:rPr>
              <w:t>SLOW</w:t>
            </w:r>
          </w:p>
        </w:tc>
        <w:tc>
          <w:tcPr>
            <w:tcW w:type="dxa" w:w="2160"/>
          </w:tcPr>
          <w:p>
            <w:pPr>
              <w:jc w:val="center"/>
            </w:pPr>
            <w:r/>
            <w:r>
              <w:rPr>
                <w:b w:val="0"/>
                <w:sz w:val="17"/>
              </w:rPr>
              <w:t>26.2 – 27.0</w:t>
            </w:r>
          </w:p>
        </w:tc>
        <w:tc>
          <w:tcPr>
            <w:tcW w:type="dxa" w:w="1008"/>
          </w:tcPr>
          <w:p>
            <w:pPr>
              <w:jc w:val="center"/>
            </w:pPr>
            <w:r/>
            <w:r>
              <w:rPr>
                <w:b w:val="0"/>
                <w:sz w:val="17"/>
              </w:rPr>
              <w:t>26.64</w:t>
            </w:r>
          </w:p>
        </w:tc>
        <w:tc>
          <w:tcPr>
            <w:tcW w:type="dxa" w:w="1728"/>
          </w:tcPr>
          <w:p>
            <w:pPr>
              <w:jc w:val="center"/>
            </w:pPr>
            <w:r/>
            <w:r>
              <w:rPr>
                <w:b w:val="0"/>
                <w:sz w:val="17"/>
              </w:rPr>
              <w:t>276</w:t>
            </w:r>
          </w:p>
        </w:tc>
        <w:tc>
          <w:tcPr>
            <w:tcW w:type="dxa" w:w="1728"/>
          </w:tcPr>
          <w:p>
            <w:pPr>
              <w:jc w:val="center"/>
            </w:pPr>
            <w:r/>
            <w:r>
              <w:rPr>
                <w:b w:val="0"/>
                <w:sz w:val="17"/>
              </w:rPr>
              <w:t>121,320</w:t>
            </w:r>
          </w:p>
        </w:tc>
        <w:tc>
          <w:tcPr>
            <w:tcW w:type="dxa" w:w="1584"/>
          </w:tcPr>
          <w:p>
            <w:pPr>
              <w:jc w:val="center"/>
            </w:pPr>
            <w:r/>
            <w:r>
              <w:rPr>
                <w:b w:val="0"/>
                <w:sz w:val="17"/>
              </w:rPr>
              <w:t>21.9%</w:t>
            </w:r>
          </w:p>
        </w:tc>
        <w:tc>
          <w:tcPr>
            <w:tcW w:type="dxa" w:w="1440"/>
          </w:tcPr>
          <w:p>
            <w:pPr>
              <w:jc w:val="center"/>
            </w:pPr>
            <w:r/>
            <w:r>
              <w:rPr>
                <w:b w:val="0"/>
                <w:sz w:val="17"/>
              </w:rPr>
              <w:t>1.22%</w:t>
            </w:r>
          </w:p>
        </w:tc>
      </w:tr>
      <w:tr>
        <w:tc>
          <w:tcPr>
            <w:tcW w:type="dxa" w:w="1296"/>
          </w:tcPr>
          <w:p>
            <w:pPr>
              <w:jc w:val="left"/>
            </w:pPr>
            <w:r/>
            <w:r>
              <w:rPr>
                <w:b w:val="0"/>
                <w:sz w:val="17"/>
              </w:rPr>
              <w:t>MID</w:t>
            </w:r>
          </w:p>
        </w:tc>
        <w:tc>
          <w:tcPr>
            <w:tcW w:type="dxa" w:w="2160"/>
          </w:tcPr>
          <w:p>
            <w:pPr>
              <w:jc w:val="center"/>
            </w:pPr>
            <w:r/>
            <w:r>
              <w:rPr>
                <w:b w:val="0"/>
                <w:sz w:val="17"/>
              </w:rPr>
              <w:t>27.1 – 27.7</w:t>
            </w:r>
          </w:p>
        </w:tc>
        <w:tc>
          <w:tcPr>
            <w:tcW w:type="dxa" w:w="1008"/>
          </w:tcPr>
          <w:p>
            <w:pPr>
              <w:jc w:val="center"/>
            </w:pPr>
            <w:r/>
            <w:r>
              <w:rPr>
                <w:b w:val="0"/>
                <w:sz w:val="17"/>
              </w:rPr>
              <w:t>27.39</w:t>
            </w:r>
          </w:p>
        </w:tc>
        <w:tc>
          <w:tcPr>
            <w:tcW w:type="dxa" w:w="1728"/>
          </w:tcPr>
          <w:p>
            <w:pPr>
              <w:jc w:val="center"/>
            </w:pPr>
            <w:r/>
            <w:r>
              <w:rPr>
                <w:b w:val="0"/>
                <w:sz w:val="17"/>
              </w:rPr>
              <w:t>280</w:t>
            </w:r>
          </w:p>
        </w:tc>
        <w:tc>
          <w:tcPr>
            <w:tcW w:type="dxa" w:w="1728"/>
          </w:tcPr>
          <w:p>
            <w:pPr>
              <w:jc w:val="center"/>
            </w:pPr>
            <w:r/>
            <w:r>
              <w:rPr>
                <w:b w:val="0"/>
                <w:sz w:val="17"/>
              </w:rPr>
              <w:t>104,050</w:t>
            </w:r>
          </w:p>
        </w:tc>
        <w:tc>
          <w:tcPr>
            <w:tcW w:type="dxa" w:w="1584"/>
          </w:tcPr>
          <w:p>
            <w:pPr>
              <w:jc w:val="center"/>
            </w:pPr>
            <w:r/>
            <w:r>
              <w:rPr>
                <w:b w:val="0"/>
                <w:sz w:val="17"/>
              </w:rPr>
              <w:t>18.7%</w:t>
            </w:r>
          </w:p>
        </w:tc>
        <w:tc>
          <w:tcPr>
            <w:tcW w:type="dxa" w:w="1440"/>
          </w:tcPr>
          <w:p>
            <w:pPr>
              <w:jc w:val="center"/>
            </w:pPr>
            <w:r/>
            <w:r>
              <w:rPr>
                <w:b w:val="0"/>
                <w:sz w:val="17"/>
              </w:rPr>
              <w:t>1.88%</w:t>
            </w:r>
          </w:p>
        </w:tc>
      </w:tr>
      <w:tr>
        <w:tc>
          <w:tcPr>
            <w:tcW w:type="dxa" w:w="1296"/>
          </w:tcPr>
          <w:p>
            <w:pPr>
              <w:jc w:val="left"/>
            </w:pPr>
            <w:r/>
            <w:r>
              <w:rPr>
                <w:b w:val="0"/>
                <w:sz w:val="17"/>
              </w:rPr>
              <w:t>FAST</w:t>
            </w:r>
          </w:p>
        </w:tc>
        <w:tc>
          <w:tcPr>
            <w:tcW w:type="dxa" w:w="2160"/>
          </w:tcPr>
          <w:p>
            <w:pPr>
              <w:jc w:val="center"/>
            </w:pPr>
            <w:r/>
            <w:r>
              <w:rPr>
                <w:b w:val="0"/>
                <w:sz w:val="17"/>
              </w:rPr>
              <w:t>27.8 – 28.4</w:t>
            </w:r>
          </w:p>
        </w:tc>
        <w:tc>
          <w:tcPr>
            <w:tcW w:type="dxa" w:w="1008"/>
          </w:tcPr>
          <w:p>
            <w:pPr>
              <w:jc w:val="center"/>
            </w:pPr>
            <w:r/>
            <w:r>
              <w:rPr>
                <w:b w:val="0"/>
                <w:sz w:val="17"/>
              </w:rPr>
              <w:t>28.09</w:t>
            </w:r>
          </w:p>
        </w:tc>
        <w:tc>
          <w:tcPr>
            <w:tcW w:type="dxa" w:w="1728"/>
          </w:tcPr>
          <w:p>
            <w:pPr>
              <w:jc w:val="center"/>
            </w:pPr>
            <w:r/>
            <w:r>
              <w:rPr>
                <w:b w:val="0"/>
                <w:sz w:val="17"/>
              </w:rPr>
              <w:t>277</w:t>
            </w:r>
          </w:p>
        </w:tc>
        <w:tc>
          <w:tcPr>
            <w:tcW w:type="dxa" w:w="1728"/>
          </w:tcPr>
          <w:p>
            <w:pPr>
              <w:jc w:val="center"/>
            </w:pPr>
            <w:r/>
            <w:r>
              <w:rPr>
                <w:b w:val="0"/>
                <w:sz w:val="17"/>
              </w:rPr>
              <w:t>107,506</w:t>
            </w:r>
          </w:p>
        </w:tc>
        <w:tc>
          <w:tcPr>
            <w:tcW w:type="dxa" w:w="1584"/>
          </w:tcPr>
          <w:p>
            <w:pPr>
              <w:jc w:val="center"/>
            </w:pPr>
            <w:r/>
            <w:r>
              <w:rPr>
                <w:b w:val="0"/>
                <w:sz w:val="17"/>
              </w:rPr>
              <w:t>19.4%</w:t>
            </w:r>
          </w:p>
        </w:tc>
        <w:tc>
          <w:tcPr>
            <w:tcW w:type="dxa" w:w="1440"/>
          </w:tcPr>
          <w:p>
            <w:pPr>
              <w:jc w:val="center"/>
            </w:pPr>
            <w:r/>
            <w:r>
              <w:rPr>
                <w:b w:val="0"/>
                <w:sz w:val="17"/>
              </w:rPr>
              <w:t>3.08%</w:t>
            </w:r>
          </w:p>
        </w:tc>
      </w:tr>
      <w:tr>
        <w:tc>
          <w:tcPr>
            <w:tcW w:type="dxa" w:w="1296"/>
          </w:tcPr>
          <w:p>
            <w:pPr>
              <w:jc w:val="left"/>
            </w:pPr>
            <w:r/>
            <w:r>
              <w:rPr>
                <w:b w:val="0"/>
                <w:sz w:val="17"/>
              </w:rPr>
              <w:t>FASTEST</w:t>
            </w:r>
          </w:p>
        </w:tc>
        <w:tc>
          <w:tcPr>
            <w:tcW w:type="dxa" w:w="2160"/>
          </w:tcPr>
          <w:p>
            <w:pPr>
              <w:jc w:val="center"/>
            </w:pPr>
            <w:r/>
            <w:r>
              <w:rPr>
                <w:b w:val="0"/>
                <w:sz w:val="17"/>
              </w:rPr>
              <w:t>28.5 – 30.6</w:t>
            </w:r>
          </w:p>
        </w:tc>
        <w:tc>
          <w:tcPr>
            <w:tcW w:type="dxa" w:w="1008"/>
          </w:tcPr>
          <w:p>
            <w:pPr>
              <w:jc w:val="center"/>
            </w:pPr>
            <w:r/>
            <w:r>
              <w:rPr>
                <w:b w:val="0"/>
                <w:sz w:val="17"/>
              </w:rPr>
              <w:t>29.06</w:t>
            </w:r>
          </w:p>
        </w:tc>
        <w:tc>
          <w:tcPr>
            <w:tcW w:type="dxa" w:w="1728"/>
          </w:tcPr>
          <w:p>
            <w:pPr>
              <w:jc w:val="center"/>
            </w:pPr>
            <w:r/>
            <w:r>
              <w:rPr>
                <w:b w:val="0"/>
                <w:sz w:val="17"/>
              </w:rPr>
              <w:t>236</w:t>
            </w:r>
          </w:p>
        </w:tc>
        <w:tc>
          <w:tcPr>
            <w:tcW w:type="dxa" w:w="1728"/>
          </w:tcPr>
          <w:p>
            <w:pPr>
              <w:jc w:val="center"/>
            </w:pPr>
            <w:r/>
            <w:r>
              <w:rPr>
                <w:b w:val="0"/>
                <w:sz w:val="17"/>
              </w:rPr>
              <w:t>106,989</w:t>
            </w:r>
          </w:p>
        </w:tc>
        <w:tc>
          <w:tcPr>
            <w:tcW w:type="dxa" w:w="1584"/>
          </w:tcPr>
          <w:p>
            <w:pPr>
              <w:jc w:val="center"/>
            </w:pPr>
            <w:r/>
            <w:r>
              <w:rPr>
                <w:b w:val="0"/>
                <w:sz w:val="17"/>
              </w:rPr>
              <w:t>19.3%</w:t>
            </w:r>
          </w:p>
        </w:tc>
        <w:tc>
          <w:tcPr>
            <w:tcW w:type="dxa" w:w="1440"/>
          </w:tcPr>
          <w:p>
            <w:pPr>
              <w:jc w:val="center"/>
            </w:pPr>
            <w:r/>
            <w:r>
              <w:rPr>
                <w:b w:val="0"/>
                <w:sz w:val="17"/>
              </w:rPr>
              <w:t>4.83%</w:t>
            </w:r>
          </w:p>
        </w:tc>
      </w:tr>
    </w:tbl>
    <w:p>
      <w:pPr>
        <w:spacing w:after="160"/>
      </w:pPr>
      <w:r>
        <w:rPr>
          <w:b w:val="0"/>
          <w:i w:val="0"/>
          <w:sz w:val="18"/>
        </w:rPr>
        <w:t>Read the boundaries as: slowest ≤ 26.1 ft/s, then 26.2–27.0, 27.1–27.7, 27.8–28.4, and fastest ≥ 28.5 ft/s. Runner-seasons sum to more than 917 because sprint speed is measured per season, so a player can sit in different groups in different years.</w:t>
      </w:r>
    </w:p>
    <w:p>
      <w:pPr>
        <w:spacing w:after="80"/>
      </w:pPr>
      <w:r>
        <w:rPr>
          <w:b w:val="0"/>
          <w:i w:val="0"/>
          <w:sz w:val="19"/>
        </w:rPr>
        <w:t>Where those speeds fall as percentiles of the same population:</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2160"/>
            <w:shd w:fill="0C2340"/>
          </w:tcPr>
          <w:p>
            <w:pPr>
              <w:jc w:val="center"/>
            </w:pPr>
            <w:r/>
            <w:r>
              <w:rPr>
                <w:b/>
                <w:color w:val="FFFFFF"/>
                <w:sz w:val="17"/>
              </w:rPr>
              <w:t>Percentile</w:t>
            </w:r>
          </w:p>
        </w:tc>
        <w:tc>
          <w:tcPr>
            <w:tcW w:type="dxa" w:w="893"/>
            <w:shd w:fill="0C2340"/>
          </w:tcPr>
          <w:p>
            <w:pPr>
              <w:jc w:val="center"/>
            </w:pPr>
            <w:r/>
            <w:r>
              <w:rPr>
                <w:b/>
                <w:color w:val="FFFFFF"/>
                <w:sz w:val="17"/>
              </w:rPr>
              <w:t>p0</w:t>
            </w:r>
          </w:p>
        </w:tc>
        <w:tc>
          <w:tcPr>
            <w:tcW w:type="dxa" w:w="893"/>
            <w:shd w:fill="0C2340"/>
          </w:tcPr>
          <w:p>
            <w:pPr>
              <w:jc w:val="center"/>
            </w:pPr>
            <w:r/>
            <w:r>
              <w:rPr>
                <w:b/>
                <w:color w:val="FFFFFF"/>
                <w:sz w:val="17"/>
              </w:rPr>
              <w:t>p5</w:t>
            </w:r>
          </w:p>
        </w:tc>
        <w:tc>
          <w:tcPr>
            <w:tcW w:type="dxa" w:w="893"/>
            <w:shd w:fill="0C2340"/>
          </w:tcPr>
          <w:p>
            <w:pPr>
              <w:jc w:val="center"/>
            </w:pPr>
            <w:r/>
            <w:r>
              <w:rPr>
                <w:b/>
                <w:color w:val="FFFFFF"/>
                <w:sz w:val="17"/>
              </w:rPr>
              <w:t>p10</w:t>
            </w:r>
          </w:p>
        </w:tc>
        <w:tc>
          <w:tcPr>
            <w:tcW w:type="dxa" w:w="893"/>
            <w:shd w:fill="0C2340"/>
          </w:tcPr>
          <w:p>
            <w:pPr>
              <w:jc w:val="center"/>
            </w:pPr>
            <w:r/>
            <w:r>
              <w:rPr>
                <w:b/>
                <w:color w:val="FFFFFF"/>
                <w:sz w:val="17"/>
              </w:rPr>
              <w:t>p25</w:t>
            </w:r>
          </w:p>
        </w:tc>
        <w:tc>
          <w:tcPr>
            <w:tcW w:type="dxa" w:w="893"/>
            <w:shd w:fill="0C2340"/>
          </w:tcPr>
          <w:p>
            <w:pPr>
              <w:jc w:val="center"/>
            </w:pPr>
            <w:r/>
            <w:r>
              <w:rPr>
                <w:b/>
                <w:color w:val="FFFFFF"/>
                <w:sz w:val="17"/>
              </w:rPr>
              <w:t>p50</w:t>
            </w:r>
          </w:p>
        </w:tc>
        <w:tc>
          <w:tcPr>
            <w:tcW w:type="dxa" w:w="893"/>
            <w:shd w:fill="0C2340"/>
          </w:tcPr>
          <w:p>
            <w:pPr>
              <w:jc w:val="center"/>
            </w:pPr>
            <w:r/>
            <w:r>
              <w:rPr>
                <w:b/>
                <w:color w:val="FFFFFF"/>
                <w:sz w:val="17"/>
              </w:rPr>
              <w:t>p75</w:t>
            </w:r>
          </w:p>
        </w:tc>
        <w:tc>
          <w:tcPr>
            <w:tcW w:type="dxa" w:w="893"/>
            <w:shd w:fill="0C2340"/>
          </w:tcPr>
          <w:p>
            <w:pPr>
              <w:jc w:val="center"/>
            </w:pPr>
            <w:r/>
            <w:r>
              <w:rPr>
                <w:b/>
                <w:color w:val="FFFFFF"/>
                <w:sz w:val="17"/>
              </w:rPr>
              <w:t>p90</w:t>
            </w:r>
          </w:p>
        </w:tc>
        <w:tc>
          <w:tcPr>
            <w:tcW w:type="dxa" w:w="893"/>
            <w:shd w:fill="0C2340"/>
          </w:tcPr>
          <w:p>
            <w:pPr>
              <w:jc w:val="center"/>
            </w:pPr>
            <w:r/>
            <w:r>
              <w:rPr>
                <w:b/>
                <w:color w:val="FFFFFF"/>
                <w:sz w:val="17"/>
              </w:rPr>
              <w:t>p95</w:t>
            </w:r>
          </w:p>
        </w:tc>
        <w:tc>
          <w:tcPr>
            <w:tcW w:type="dxa" w:w="893"/>
            <w:shd w:fill="0C2340"/>
          </w:tcPr>
          <w:p>
            <w:pPr>
              <w:jc w:val="center"/>
            </w:pPr>
            <w:r/>
            <w:r>
              <w:rPr>
                <w:b/>
                <w:color w:val="FFFFFF"/>
                <w:sz w:val="17"/>
              </w:rPr>
              <w:t>p100</w:t>
            </w:r>
          </w:p>
        </w:tc>
      </w:tr>
      <w:tr>
        <w:tc>
          <w:tcPr>
            <w:tcW w:type="dxa" w:w="2160"/>
          </w:tcPr>
          <w:p>
            <w:pPr>
              <w:jc w:val="left"/>
            </w:pPr>
            <w:r/>
            <w:r>
              <w:rPr>
                <w:b w:val="0"/>
                <w:sz w:val="17"/>
              </w:rPr>
              <w:t>Sprint speed (ft/s)</w:t>
            </w:r>
          </w:p>
        </w:tc>
        <w:tc>
          <w:tcPr>
            <w:tcW w:type="dxa" w:w="893"/>
          </w:tcPr>
          <w:p>
            <w:pPr>
              <w:jc w:val="center"/>
            </w:pPr>
            <w:r/>
            <w:r>
              <w:rPr>
                <w:b w:val="0"/>
                <w:sz w:val="17"/>
              </w:rPr>
              <w:t>22.1</w:t>
            </w:r>
          </w:p>
        </w:tc>
        <w:tc>
          <w:tcPr>
            <w:tcW w:type="dxa" w:w="893"/>
          </w:tcPr>
          <w:p>
            <w:pPr>
              <w:jc w:val="center"/>
            </w:pPr>
            <w:r/>
            <w:r>
              <w:rPr>
                <w:b w:val="0"/>
                <w:sz w:val="17"/>
              </w:rPr>
              <w:t>25.0</w:t>
            </w:r>
          </w:p>
        </w:tc>
        <w:tc>
          <w:tcPr>
            <w:tcW w:type="dxa" w:w="893"/>
          </w:tcPr>
          <w:p>
            <w:pPr>
              <w:jc w:val="center"/>
            </w:pPr>
            <w:r/>
            <w:r>
              <w:rPr>
                <w:b w:val="0"/>
                <w:sz w:val="17"/>
              </w:rPr>
              <w:t>25.6</w:t>
            </w:r>
          </w:p>
        </w:tc>
        <w:tc>
          <w:tcPr>
            <w:tcW w:type="dxa" w:w="893"/>
          </w:tcPr>
          <w:p>
            <w:pPr>
              <w:jc w:val="center"/>
            </w:pPr>
            <w:r/>
            <w:r>
              <w:rPr>
                <w:b w:val="0"/>
                <w:sz w:val="17"/>
              </w:rPr>
              <w:t>26.4</w:t>
            </w:r>
          </w:p>
        </w:tc>
        <w:tc>
          <w:tcPr>
            <w:tcW w:type="dxa" w:w="893"/>
          </w:tcPr>
          <w:p>
            <w:pPr>
              <w:jc w:val="center"/>
            </w:pPr>
            <w:r/>
            <w:r>
              <w:rPr>
                <w:b w:val="0"/>
                <w:sz w:val="17"/>
              </w:rPr>
              <w:t>27.3</w:t>
            </w:r>
          </w:p>
        </w:tc>
        <w:tc>
          <w:tcPr>
            <w:tcW w:type="dxa" w:w="893"/>
          </w:tcPr>
          <w:p>
            <w:pPr>
              <w:jc w:val="center"/>
            </w:pPr>
            <w:r/>
            <w:r>
              <w:rPr>
                <w:b w:val="0"/>
                <w:sz w:val="17"/>
              </w:rPr>
              <w:t>28.2</w:t>
            </w:r>
          </w:p>
        </w:tc>
        <w:tc>
          <w:tcPr>
            <w:tcW w:type="dxa" w:w="893"/>
          </w:tcPr>
          <w:p>
            <w:pPr>
              <w:jc w:val="center"/>
            </w:pPr>
            <w:r/>
            <w:r>
              <w:rPr>
                <w:b w:val="0"/>
                <w:sz w:val="17"/>
              </w:rPr>
              <w:t>28.9</w:t>
            </w:r>
          </w:p>
        </w:tc>
        <w:tc>
          <w:tcPr>
            <w:tcW w:type="dxa" w:w="893"/>
          </w:tcPr>
          <w:p>
            <w:pPr>
              <w:jc w:val="center"/>
            </w:pPr>
            <w:r/>
            <w:r>
              <w:rPr>
                <w:b w:val="0"/>
                <w:sz w:val="17"/>
              </w:rPr>
              <w:t>29.3</w:t>
            </w:r>
          </w:p>
        </w:tc>
        <w:tc>
          <w:tcPr>
            <w:tcW w:type="dxa" w:w="893"/>
          </w:tcPr>
          <w:p>
            <w:pPr>
              <w:jc w:val="center"/>
            </w:pPr>
            <w:r/>
            <w:r>
              <w:rPr>
                <w:b w:val="0"/>
                <w:sz w:val="17"/>
              </w:rPr>
              <w:t>30.6</w:t>
            </w:r>
          </w:p>
        </w:tc>
      </w:tr>
    </w:tbl>
    <w:p>
      <w:pPr>
        <w:spacing w:after="200"/>
      </w:pPr>
      <w:r>
        <w:rPr>
          <w:b w:val="0"/>
          <w:i w:val="0"/>
          <w:sz w:val="18"/>
        </w:rPr>
        <w:t>Two cautions worth stating plainly. First, this is the population of runners who reach first base, weighted by how often they are there — its median is 27.3 ft/s, close to the MLB average, but it is not the league-wide leaderboard. Second, the label “fastest” means the top fifth of this population (≥ 28.5 ft/s), not elite MLB speed; the genuinely elite burners run above 30 ft/s and sit at the far edge of that bin.</w:t>
      </w:r>
    </w:p>
    <w:p>
      <w:pPr>
        <w:pStyle w:val="Heading1"/>
      </w:pPr>
      <w:r>
        <w:t>4 · The model</w:t>
      </w:r>
    </w:p>
    <w:p>
      <w:pPr>
        <w:spacing w:after="120"/>
      </w:pPr>
      <w:r>
        <w:rPr>
          <w:b w:val="0"/>
          <w:i w:val="0"/>
          <w:sz w:val="19"/>
        </w:rPr>
        <w:t>A gradient-boosted classifier for P(attempt) on situation (count, outs, inning, score difference, pitcher handedness, batter side, pitch class) and personnel (runner sprint speed, and the runner's own attempt rate from PRIOR seasons only).</w:t>
      </w:r>
    </w:p>
    <w:p>
      <w:pPr>
        <w:spacing w:after="160"/>
      </w:pPr>
      <w:r>
        <w:rPr>
          <w:b/>
          <w:color w:val="0C2340"/>
          <w:sz w:val="19"/>
        </w:rPr>
        <w:t xml:space="preserve">BOTTOM LINE  </w:t>
      </w:r>
      <w:r>
        <w:rPr>
          <w:sz w:val="20"/>
        </w:rPr>
        <w:t>Attempts are 2.30% of opportunities — the mirror image of the success model's 81% — so AUPRC against that 0.023 floor is the honest headline, with AUROC secondary. The model lands about 3× the no-skill floor, and the three validation regimes agree.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304"/>
            <w:shd w:fill="0C2340"/>
          </w:tcPr>
          <w:p>
            <w:pPr>
              <w:jc w:val="center"/>
            </w:pPr>
            <w:r/>
            <w:r>
              <w:rPr>
                <w:b/>
                <w:color w:val="FFFFFF"/>
                <w:sz w:val="17"/>
              </w:rPr>
              <w:t>Validation split</w:t>
            </w:r>
          </w:p>
        </w:tc>
        <w:tc>
          <w:tcPr>
            <w:tcW w:type="dxa" w:w="1440"/>
            <w:shd w:fill="0C2340"/>
          </w:tcPr>
          <w:p>
            <w:pPr>
              <w:jc w:val="center"/>
            </w:pPr>
            <w:r/>
            <w:r>
              <w:rPr>
                <w:b/>
                <w:color w:val="FFFFFF"/>
                <w:sz w:val="17"/>
              </w:rPr>
              <w:t>AUPRC</w:t>
            </w:r>
          </w:p>
        </w:tc>
        <w:tc>
          <w:tcPr>
            <w:tcW w:type="dxa" w:w="1728"/>
            <w:shd w:fill="0C2340"/>
          </w:tcPr>
          <w:p>
            <w:pPr>
              <w:jc w:val="center"/>
            </w:pPr>
            <w:r/>
            <w:r>
              <w:rPr>
                <w:b/>
                <w:color w:val="FFFFFF"/>
                <w:sz w:val="17"/>
              </w:rPr>
              <w:t>No-skill floor</w:t>
            </w:r>
          </w:p>
        </w:tc>
        <w:tc>
          <w:tcPr>
            <w:tcW w:type="dxa" w:w="1440"/>
            <w:shd w:fill="0C2340"/>
          </w:tcPr>
          <w:p>
            <w:pPr>
              <w:jc w:val="center"/>
            </w:pPr>
            <w:r/>
            <w:r>
              <w:rPr>
                <w:b/>
                <w:color w:val="FFFFFF"/>
                <w:sz w:val="17"/>
              </w:rPr>
              <w:t>AUROC</w:t>
            </w:r>
          </w:p>
        </w:tc>
        <w:tc>
          <w:tcPr>
            <w:tcW w:type="dxa" w:w="1440"/>
            <w:shd w:fill="0C2340"/>
          </w:tcPr>
          <w:p>
            <w:pPr>
              <w:jc w:val="center"/>
            </w:pPr>
            <w:r/>
            <w:r>
              <w:rPr>
                <w:b/>
                <w:color w:val="FFFFFF"/>
                <w:sz w:val="17"/>
              </w:rPr>
              <w:t>Brier</w:t>
            </w:r>
          </w:p>
        </w:tc>
        <w:tc>
          <w:tcPr>
            <w:tcW w:type="dxa" w:w="1728"/>
            <w:shd w:fill="0C2340"/>
          </w:tcPr>
          <w:p>
            <w:pPr>
              <w:jc w:val="center"/>
            </w:pPr>
            <w:r/>
            <w:r>
              <w:rPr>
                <w:b/>
                <w:color w:val="FFFFFF"/>
                <w:sz w:val="17"/>
              </w:rPr>
              <w:t>Rows scored</w:t>
            </w:r>
          </w:p>
        </w:tc>
      </w:tr>
      <w:tr>
        <w:tc>
          <w:tcPr>
            <w:tcW w:type="dxa" w:w="2304"/>
          </w:tcPr>
          <w:p>
            <w:pPr>
              <w:jc w:val="left"/>
            </w:pPr>
            <w:r/>
            <w:r>
              <w:rPr>
                <w:b w:val="0"/>
                <w:sz w:val="17"/>
              </w:rPr>
              <w:t>random</w:t>
            </w:r>
          </w:p>
        </w:tc>
        <w:tc>
          <w:tcPr>
            <w:tcW w:type="dxa" w:w="1440"/>
          </w:tcPr>
          <w:p>
            <w:pPr>
              <w:jc w:val="center"/>
            </w:pPr>
            <w:r/>
            <w:r>
              <w:rPr>
                <w:b w:val="0"/>
                <w:sz w:val="17"/>
              </w:rPr>
              <w:t>0.0754</w:t>
            </w:r>
          </w:p>
        </w:tc>
        <w:tc>
          <w:tcPr>
            <w:tcW w:type="dxa" w:w="1728"/>
          </w:tcPr>
          <w:p>
            <w:pPr>
              <w:jc w:val="center"/>
            </w:pPr>
            <w:r/>
            <w:r>
              <w:rPr>
                <w:b w:val="0"/>
                <w:sz w:val="17"/>
              </w:rPr>
              <w:t>0.0230</w:t>
            </w:r>
          </w:p>
        </w:tc>
        <w:tc>
          <w:tcPr>
            <w:tcW w:type="dxa" w:w="1440"/>
          </w:tcPr>
          <w:p>
            <w:pPr>
              <w:jc w:val="center"/>
            </w:pPr>
            <w:r/>
            <w:r>
              <w:rPr>
                <w:b w:val="0"/>
                <w:sz w:val="17"/>
              </w:rPr>
              <w:t>0.7802</w:t>
            </w:r>
          </w:p>
        </w:tc>
        <w:tc>
          <w:tcPr>
            <w:tcW w:type="dxa" w:w="1440"/>
          </w:tcPr>
          <w:p>
            <w:pPr>
              <w:jc w:val="center"/>
            </w:pPr>
            <w:r/>
            <w:r>
              <w:rPr>
                <w:b w:val="0"/>
                <w:sz w:val="17"/>
              </w:rPr>
              <w:t>0.0218</w:t>
            </w:r>
          </w:p>
        </w:tc>
        <w:tc>
          <w:tcPr>
            <w:tcW w:type="dxa" w:w="1728"/>
          </w:tcPr>
          <w:p>
            <w:pPr>
              <w:jc w:val="center"/>
            </w:pPr>
            <w:r/>
            <w:r>
              <w:rPr>
                <w:b w:val="0"/>
                <w:sz w:val="17"/>
              </w:rPr>
              <w:t>555,092</w:t>
            </w:r>
          </w:p>
        </w:tc>
      </w:tr>
      <w:tr>
        <w:tc>
          <w:tcPr>
            <w:tcW w:type="dxa" w:w="2304"/>
          </w:tcPr>
          <w:p>
            <w:pPr>
              <w:jc w:val="left"/>
            </w:pPr>
            <w:r/>
            <w:r>
              <w:rPr>
                <w:b w:val="0"/>
                <w:sz w:val="17"/>
              </w:rPr>
              <w:t>group</w:t>
            </w:r>
          </w:p>
        </w:tc>
        <w:tc>
          <w:tcPr>
            <w:tcW w:type="dxa" w:w="1440"/>
          </w:tcPr>
          <w:p>
            <w:pPr>
              <w:jc w:val="center"/>
            </w:pPr>
            <w:r/>
            <w:r>
              <w:rPr>
                <w:b w:val="0"/>
                <w:sz w:val="17"/>
              </w:rPr>
              <w:t>0.0684</w:t>
            </w:r>
          </w:p>
        </w:tc>
        <w:tc>
          <w:tcPr>
            <w:tcW w:type="dxa" w:w="1728"/>
          </w:tcPr>
          <w:p>
            <w:pPr>
              <w:jc w:val="center"/>
            </w:pPr>
            <w:r/>
            <w:r>
              <w:rPr>
                <w:b w:val="0"/>
                <w:sz w:val="17"/>
              </w:rPr>
              <w:t>0.0230</w:t>
            </w:r>
          </w:p>
        </w:tc>
        <w:tc>
          <w:tcPr>
            <w:tcW w:type="dxa" w:w="1440"/>
          </w:tcPr>
          <w:p>
            <w:pPr>
              <w:jc w:val="center"/>
            </w:pPr>
            <w:r/>
            <w:r>
              <w:rPr>
                <w:b w:val="0"/>
                <w:sz w:val="17"/>
              </w:rPr>
              <w:t>0.7694</w:t>
            </w:r>
          </w:p>
        </w:tc>
        <w:tc>
          <w:tcPr>
            <w:tcW w:type="dxa" w:w="1440"/>
          </w:tcPr>
          <w:p>
            <w:pPr>
              <w:jc w:val="center"/>
            </w:pPr>
            <w:r/>
            <w:r>
              <w:rPr>
                <w:b w:val="0"/>
                <w:sz w:val="17"/>
              </w:rPr>
              <w:t>0.0219</w:t>
            </w:r>
          </w:p>
        </w:tc>
        <w:tc>
          <w:tcPr>
            <w:tcW w:type="dxa" w:w="1728"/>
          </w:tcPr>
          <w:p>
            <w:pPr>
              <w:jc w:val="center"/>
            </w:pPr>
            <w:r/>
            <w:r>
              <w:rPr>
                <w:b w:val="0"/>
                <w:sz w:val="17"/>
              </w:rPr>
              <w:t>555,092</w:t>
            </w:r>
          </w:p>
        </w:tc>
      </w:tr>
      <w:tr>
        <w:tc>
          <w:tcPr>
            <w:tcW w:type="dxa" w:w="2304"/>
            <w:shd w:fill="EAF1F7"/>
          </w:tcPr>
          <w:p>
            <w:pPr>
              <w:jc w:val="left"/>
            </w:pPr>
            <w:r/>
            <w:r>
              <w:rPr>
                <w:b/>
                <w:sz w:val="17"/>
              </w:rPr>
              <w:t>forward</w:t>
            </w:r>
          </w:p>
        </w:tc>
        <w:tc>
          <w:tcPr>
            <w:tcW w:type="dxa" w:w="1440"/>
            <w:shd w:fill="EAF1F7"/>
          </w:tcPr>
          <w:p>
            <w:pPr>
              <w:jc w:val="center"/>
            </w:pPr>
            <w:r/>
            <w:r>
              <w:rPr>
                <w:b/>
                <w:sz w:val="17"/>
              </w:rPr>
              <w:t>0.0653</w:t>
            </w:r>
          </w:p>
        </w:tc>
        <w:tc>
          <w:tcPr>
            <w:tcW w:type="dxa" w:w="1728"/>
            <w:shd w:fill="EAF1F7"/>
          </w:tcPr>
          <w:p>
            <w:pPr>
              <w:jc w:val="center"/>
            </w:pPr>
            <w:r/>
            <w:r>
              <w:rPr>
                <w:b/>
                <w:sz w:val="17"/>
              </w:rPr>
              <w:t>0.0234</w:t>
            </w:r>
          </w:p>
        </w:tc>
        <w:tc>
          <w:tcPr>
            <w:tcW w:type="dxa" w:w="1440"/>
            <w:shd w:fill="EAF1F7"/>
          </w:tcPr>
          <w:p>
            <w:pPr>
              <w:jc w:val="center"/>
            </w:pPr>
            <w:r/>
            <w:r>
              <w:rPr>
                <w:b/>
                <w:sz w:val="17"/>
              </w:rPr>
              <w:t>0.7631</w:t>
            </w:r>
          </w:p>
        </w:tc>
        <w:tc>
          <w:tcPr>
            <w:tcW w:type="dxa" w:w="1440"/>
            <w:shd w:fill="EAF1F7"/>
          </w:tcPr>
          <w:p>
            <w:pPr>
              <w:jc w:val="center"/>
            </w:pPr>
            <w:r/>
            <w:r>
              <w:rPr>
                <w:b/>
                <w:sz w:val="17"/>
              </w:rPr>
              <w:t>0.0224</w:t>
            </w:r>
          </w:p>
        </w:tc>
        <w:tc>
          <w:tcPr>
            <w:tcW w:type="dxa" w:w="1728"/>
            <w:shd w:fill="EAF1F7"/>
          </w:tcPr>
          <w:p>
            <w:pPr>
              <w:jc w:val="center"/>
            </w:pPr>
            <w:r/>
            <w:r>
              <w:rPr>
                <w:b/>
                <w:sz w:val="17"/>
              </w:rPr>
              <w:t>399,350</w:t>
            </w:r>
          </w:p>
        </w:tc>
      </w:tr>
    </w:tbl>
    <w:p>
      <w:pPr>
        <w:spacing w:after="200"/>
      </w:pPr>
      <w:r>
        <w:rPr>
          <w:b w:val="0"/>
          <w:i w:val="0"/>
          <w:sz w:val="18"/>
        </w:rPr>
        <w:t>“Forward” trains on past seasons and tests on the next one — the only regime that mirrors how the model would actually be used, and the number to quote. That the three sit within 0.011 of each other is the point: an earlier build had them 4× apart (see §5).</w:t>
      </w:r>
    </w:p>
    <w:p>
      <w:pPr>
        <w:pStyle w:val="Heading1"/>
      </w:pPr>
      <w:r>
        <w:t>5 · What went wrong on the way, and what it still cannot do</w:t>
      </w:r>
    </w:p>
    <w:p>
      <w:pPr>
        <w:spacing w:after="120"/>
      </w:pPr>
      <w:r>
        <w:rPr>
          <w:b w:val="0"/>
          <w:i w:val="0"/>
          <w:sz w:val="19"/>
        </w:rPr>
        <w:t>A leak, caught by the validation spread. The runner's own attempt rate is the natural “scouting report” prior, but computing it within the season being predicted still reads that season: random AUPRC 0.2534 against 0.0606 grouped by runner, a 4× gap. Rebuilt as an expanding prior-seasons-only rate, the gap closed and forward calibration improved from a maximum 0.171 error to 0.016. This is the third time this same self-contamination pattern has appeared in the project, after the catcher/pitcher encoding in v11 and the Burst check in v12.</w:t>
      </w:r>
    </w:p>
    <w:p>
      <w:pPr>
        <w:spacing w:after="120"/>
      </w:pPr>
      <w:r>
        <w:rPr>
          <w:b w:val="0"/>
          <w:i w:val="0"/>
          <w:sz w:val="19"/>
        </w:rPr>
        <w:t>Two build errors caught before they shipped. A stolen base is filed as its own event AFTER the pitch it occurred on, so a naive join labelled zero attempts. And the base-state replay initially held runners on base through the third out; fixing that took reconstruction accuracy from 91.2% to 99.25%, verified against MLB's own end-of-inning state across 615,967 plate appearances.</w:t>
      </w:r>
    </w:p>
    <w:p>
      <w:pPr>
        <w:spacing w:after="120"/>
      </w:pPr>
      <w:r>
        <w:rPr>
          <w:b w:val="0"/>
          <w:i w:val="0"/>
          <w:sz w:val="19"/>
        </w:rPr>
        <w:t>A limitation that cannot be engineered away. The lead distances that carry essentially all of v11 and v12's signal exist only on tracked attempts — Statcast never publishes a lead for a pitch where the runner stayed. Game-theoretically the lead IS the runner's signal of intent, so the decision model is working without the very variable that would explain it best. It sees situation and personnel only. This is a property of the public data, not a modelling choice.</w:t>
      </w:r>
    </w:p>
    <w:p>
      <w:pPr>
        <w:spacing w:after="200"/>
      </w:pPr>
      <w:r>
        <w:rPr>
          <w:b w:val="0"/>
          <w:i w:val="0"/>
          <w:sz w:val="19"/>
        </w:rPr>
        <w:t>Catcher identity is likewise absent from the opportunity feed. Rather than fill it with a league-season average — a column that would look like a feature while carrying no per-pitch information — no catcher variable is included at all.</w:t>
      </w:r>
    </w:p>
    <w:p>
      <w:pPr>
        <w:pStyle w:val="Heading1"/>
      </w:pPr>
      <w:r>
        <w:t>6 · How v13 relates to v11 and v12</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0C2340"/>
          </w:tcPr>
          <w:p>
            <w:pPr>
              <w:jc w:val="center"/>
            </w:pPr>
            <w:r/>
            <w:r>
              <w:rPr>
                <w:b/>
                <w:color w:val="FFFFFF"/>
                <w:sz w:val="17"/>
              </w:rPr>
              <w:t>Version</w:t>
            </w:r>
          </w:p>
        </w:tc>
        <w:tc>
          <w:tcPr>
            <w:tcW w:type="dxa" w:w="4032"/>
            <w:shd w:fill="0C2340"/>
          </w:tcPr>
          <w:p>
            <w:pPr>
              <w:jc w:val="center"/>
            </w:pPr>
            <w:r/>
            <w:r>
              <w:rPr>
                <w:b/>
                <w:color w:val="FFFFFF"/>
                <w:sz w:val="17"/>
              </w:rPr>
              <w:t>Question</w:t>
            </w:r>
          </w:p>
        </w:tc>
        <w:tc>
          <w:tcPr>
            <w:tcW w:type="dxa" w:w="5184"/>
            <w:shd w:fill="0C2340"/>
          </w:tcPr>
          <w:p>
            <w:pPr>
              <w:jc w:val="center"/>
            </w:pPr>
            <w:r/>
            <w:r>
              <w:rPr>
                <w:b/>
                <w:color w:val="FFFFFF"/>
                <w:sz w:val="17"/>
              </w:rPr>
              <w:t>Status</w:t>
            </w:r>
          </w:p>
        </w:tc>
      </w:tr>
      <w:tr>
        <w:tc>
          <w:tcPr>
            <w:tcW w:type="dxa" w:w="1152"/>
          </w:tcPr>
          <w:p>
            <w:pPr>
              <w:jc w:val="left"/>
            </w:pPr>
            <w:r/>
            <w:r>
              <w:rPr>
                <w:b w:val="0"/>
                <w:sz w:val="17"/>
              </w:rPr>
              <w:t>v11</w:t>
            </w:r>
          </w:p>
        </w:tc>
        <w:tc>
          <w:tcPr>
            <w:tcW w:type="dxa" w:w="4032"/>
          </w:tcPr>
          <w:p>
            <w:pPr>
              <w:jc w:val="center"/>
            </w:pPr>
            <w:r/>
            <w:r>
              <w:rPr>
                <w:b w:val="0"/>
                <w:sz w:val="17"/>
              </w:rPr>
              <w:t>Who steals well? (Steal+, Burst)</w:t>
            </w:r>
          </w:p>
        </w:tc>
        <w:tc>
          <w:tcPr>
            <w:tcW w:type="dxa" w:w="5184"/>
          </w:tcPr>
          <w:p>
            <w:pPr>
              <w:jc w:val="center"/>
            </w:pPr>
            <w:r/>
            <w:r>
              <w:rPr>
                <w:b w:val="0"/>
                <w:sz w:val="17"/>
              </w:rPr>
              <w:t>Published metrics — unchanged</w:t>
            </w:r>
          </w:p>
        </w:tc>
      </w:tr>
      <w:tr>
        <w:tc>
          <w:tcPr>
            <w:tcW w:type="dxa" w:w="1152"/>
          </w:tcPr>
          <w:p>
            <w:pPr>
              <w:jc w:val="left"/>
            </w:pPr>
            <w:r/>
            <w:r>
              <w:rPr>
                <w:b w:val="0"/>
                <w:sz w:val="17"/>
              </w:rPr>
              <w:t>v12</w:t>
            </w:r>
          </w:p>
        </w:tc>
        <w:tc>
          <w:tcPr>
            <w:tcW w:type="dxa" w:w="4032"/>
          </w:tcPr>
          <w:p>
            <w:pPr>
              <w:jc w:val="center"/>
            </w:pPr>
            <w:r/>
            <w:r>
              <w:rPr>
                <w:b w:val="0"/>
                <w:sz w:val="17"/>
              </w:rPr>
              <w:t>Was this attempt safe?</w:t>
            </w:r>
          </w:p>
        </w:tc>
        <w:tc>
          <w:tcPr>
            <w:tcW w:type="dxa" w:w="5184"/>
          </w:tcPr>
          <w:p>
            <w:pPr>
              <w:jc w:val="center"/>
            </w:pPr>
            <w:r/>
            <w:r>
              <w:rPr>
                <w:b w:val="0"/>
                <w:sz w:val="17"/>
              </w:rPr>
              <w:t>Per-attempt engine — unchanged, forward AUROC 0.770</w:t>
            </w:r>
          </w:p>
        </w:tc>
      </w:tr>
      <w:tr>
        <w:tc>
          <w:tcPr>
            <w:tcW w:type="dxa" w:w="1152"/>
          </w:tcPr>
          <w:p>
            <w:pPr>
              <w:jc w:val="left"/>
            </w:pPr>
            <w:r/>
            <w:r>
              <w:rPr>
                <w:b w:val="0"/>
                <w:sz w:val="17"/>
              </w:rPr>
              <w:t>v13</w:t>
            </w:r>
          </w:p>
        </w:tc>
        <w:tc>
          <w:tcPr>
            <w:tcW w:type="dxa" w:w="4032"/>
          </w:tcPr>
          <w:p>
            <w:pPr>
              <w:jc w:val="center"/>
            </w:pPr>
            <w:r/>
            <w:r>
              <w:rPr>
                <w:b w:val="0"/>
                <w:sz w:val="17"/>
              </w:rPr>
              <w:t>Did he go at all?</w:t>
            </w:r>
          </w:p>
        </w:tc>
        <w:tc>
          <w:tcPr>
            <w:tcW w:type="dxa" w:w="5184"/>
          </w:tcPr>
          <w:p>
            <w:pPr>
              <w:jc w:val="center"/>
            </w:pPr>
            <w:r/>
            <w:r>
              <w:rPr>
                <w:b w:val="0"/>
                <w:sz w:val="17"/>
              </w:rPr>
              <w:t>New — additive, changes nothing above it</w:t>
            </w:r>
          </w:p>
        </w:tc>
      </w:tr>
    </w:tbl>
    <w:p>
      <w:pPr>
        <w:spacing w:after="160"/>
      </w:pPr>
      <w:r>
        <w:rPr>
          <w:b w:val="0"/>
          <w:i w:val="0"/>
          <w:sz w:val="18"/>
        </w:rPr>
        <w:t>v12 was re-checked against v11 under the forward holdout before any of this was built, precisely to avoid publishing a regression: v11 baseline 0.7266 → v12 shipped 0.7704, a gain of +0.044 that is larger under the honest split than the optimistic one. Nothing was rolled back.</w:t>
      </w:r>
    </w:p>
    <w:p>
      <w:pPr>
        <w:spacing w:after="120"/>
      </w:pPr>
      <w:r>
        <w:rPr>
          <w:b w:val="0"/>
          <w:i/>
          <w:sz w:val="19"/>
        </w:rPr>
        <w:t>The natural next step, now unblocked by the denominator: convert P(attempt) and P(success) into run expectancy and ask whether the runner should have gone — the break-even question. That was deliberately deferred until the denominator existed and could be trusted.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