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62" w:rsidRDefault="00484533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4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bisection method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Root-finding 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root-finding method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applies to any </w:t>
      </w:r>
      <w:hyperlink r:id="rId6" w:tooltip="Continuou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continuous functions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which one knows two values with opposite signs. The method consists of repeatedly </w:t>
      </w:r>
      <w:hyperlink r:id="rId7" w:tooltip="Bis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bisecting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 </w:t>
      </w:r>
      <w:hyperlink r:id="rId8" w:tooltip="Interval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interval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defined by these values and then selecting the subinterval in which the function changes sign, and therefore must contain a </w:t>
      </w:r>
      <w:hyperlink r:id="rId9" w:tooltip="Root of a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root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a very simple and robust method, but it is also relatively slow. Because of this, it is often used to obtain a rough approximation to a solution which is then used as a starting point for more rapidly converging methods. The method is also called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interval halving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method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 </w:t>
      </w:r>
      <w:hyperlink r:id="rId10" w:tooltip="Binary search algorithm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binary search method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dichotomy method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t xml:space="preserve"> </w:t>
      </w:r>
    </w:p>
    <w:p w:rsidR="00484533" w:rsidRDefault="00484533"/>
    <w:p w:rsidR="00484533" w:rsidRDefault="00484533">
      <w:r w:rsidRPr="00484533">
        <w:drawing>
          <wp:inline distT="0" distB="0" distL="0" distR="0" wp14:anchorId="4B67254C" wp14:editId="1BD56651">
            <wp:extent cx="2248095" cy="3040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33" w:rsidRDefault="00484533"/>
    <w:p w:rsidR="00484533" w:rsidRDefault="00484533" w:rsidP="004845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method is applicable for numerically solving the equation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) = 0 for the </w:t>
      </w:r>
      <w:hyperlink r:id="rId12" w:tooltip="Re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</w:t>
        </w:r>
      </w:hyperlink>
      <w:r>
        <w:rPr>
          <w:rFonts w:ascii="Arial" w:hAnsi="Arial" w:cs="Arial"/>
          <w:color w:val="222222"/>
          <w:sz w:val="21"/>
          <w:szCs w:val="21"/>
        </w:rPr>
        <w:t> variable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x</w:t>
      </w:r>
      <w:r>
        <w:rPr>
          <w:rFonts w:ascii="Arial" w:hAnsi="Arial" w:cs="Arial"/>
          <w:color w:val="222222"/>
          <w:sz w:val="21"/>
          <w:szCs w:val="21"/>
        </w:rPr>
        <w:t>, where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 is a </w:t>
      </w:r>
      <w:hyperlink r:id="rId13" w:tooltip="Continuou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continuous function</w:t>
        </w:r>
      </w:hyperlink>
      <w:r>
        <w:rPr>
          <w:rFonts w:ascii="Arial" w:hAnsi="Arial" w:cs="Arial"/>
          <w:color w:val="222222"/>
          <w:sz w:val="21"/>
          <w:szCs w:val="21"/>
        </w:rPr>
        <w:t> defined on an interval [</w:t>
      </w:r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] and where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) have opposite signs. In this case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 and</w:t>
      </w:r>
      <w:proofErr w:type="gram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 are said to bracket a root since, by the </w:t>
      </w:r>
      <w:hyperlink r:id="rId14" w:tooltip="Intermediate value theor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intermediate value theorem</w:t>
        </w:r>
      </w:hyperlink>
      <w:r>
        <w:rPr>
          <w:rFonts w:ascii="Arial" w:hAnsi="Arial" w:cs="Arial"/>
          <w:color w:val="222222"/>
          <w:sz w:val="21"/>
          <w:szCs w:val="21"/>
        </w:rPr>
        <w:t>, the continuous function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 must have at least one root in the interval (</w:t>
      </w:r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).</w:t>
      </w:r>
    </w:p>
    <w:p w:rsidR="00484533" w:rsidRDefault="00484533" w:rsidP="004845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At each step the method divides the interval in two by computing the midpoint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=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+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/ 2 of the interval and the value of the function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 at that point. Unless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is itself a root (which is very unlikely, but possible) there are now only two possibilities: either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 have opposite signs and bracket a root, or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) have opposite signs and bracket a root.</w:t>
      </w:r>
      <w:hyperlink r:id="rId15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The method selects the subinterval that is guaranteed to be a bracket as the new interval to be used in the next step. In this way an interval that contains a zero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is reduced in width by 50% at each step. The process is continued until the interval is sufficiently small.</w:t>
      </w:r>
    </w:p>
    <w:p w:rsidR="00484533" w:rsidRDefault="00484533" w:rsidP="004845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Explicitly, if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 have opposite signs, then the method sets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as the new value for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, and if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 have opposite signs then the method sets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as the new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. (If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)=0 then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may be taken as the solution and the process stops.) In both cases, the new 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) have opposite signs, so the method is applicable to this smaller interval.</w:t>
      </w:r>
      <w:hyperlink r:id="rId16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</w:p>
    <w:p w:rsidR="00484533" w:rsidRDefault="00484533"/>
    <w:p w:rsidR="00484533" w:rsidRDefault="00484533"/>
    <w:p w:rsidR="00484533" w:rsidRDefault="00484533"/>
    <w:p w:rsidR="00484533" w:rsidRDefault="00484533"/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a 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gramStart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b 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c=</w:t>
      </w:r>
      <w:proofErr w:type="gramStart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c 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polynomial is"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,a,</w:t>
      </w:r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"x^2+"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,b,</w:t>
      </w:r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"x+"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91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v=</w:t>
      </w:r>
      <w:proofErr w:type="gramStart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(a*x*x)+(b*x)+c)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91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1B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#ax=</w:t>
      </w:r>
      <w:proofErr w:type="gramStart"/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 value for which f(x) is -ve "))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a,b,c,ax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count+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bint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bint&lt;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#bx=</w:t>
      </w:r>
      <w:proofErr w:type="gramStart"/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float(</w:t>
      </w:r>
      <w:proofErr w:type="gramEnd"/>
      <w:r w:rsidRPr="00E91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input("Enter value for which f(x) is +ve "))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bint=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a,b,c,bx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count+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ax+bx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a,b,c,cint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a,b,c,cint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cint</w:t>
      </w:r>
      <w:proofErr w:type="spellEnd"/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a,b,c,cint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cint</w:t>
      </w:r>
      <w:proofErr w:type="spellEnd"/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B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ax+bx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count+</w:t>
      </w:r>
      <w:r w:rsidRPr="00E91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root is="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of iteration required </w:t>
      </w:r>
      <w:proofErr w:type="spellStart"/>
      <w:r w:rsidRPr="00E91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are"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91B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E91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1B5D" w:rsidRPr="00E91B5D" w:rsidRDefault="00E91B5D" w:rsidP="00E9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1B5D" w:rsidRDefault="00E91B5D"/>
    <w:p w:rsidR="00E91B5D" w:rsidRDefault="00E91B5D">
      <w:bookmarkStart w:id="0" w:name="_GoBack"/>
      <w:bookmarkEnd w:id="0"/>
    </w:p>
    <w:p w:rsidR="00484533" w:rsidRDefault="00484533">
      <w:r w:rsidRPr="00484533">
        <w:lastRenderedPageBreak/>
        <w:drawing>
          <wp:inline distT="0" distB="0" distL="0" distR="0" wp14:anchorId="22DBAA43" wp14:editId="35274E0E">
            <wp:extent cx="5731510" cy="103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33"/>
    <w:rsid w:val="00484533"/>
    <w:rsid w:val="00795262"/>
    <w:rsid w:val="00E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7E489-AEAB-49D8-AC88-EE554274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5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val_(mathematics)" TargetMode="External"/><Relationship Id="rId13" Type="http://schemas.openxmlformats.org/officeDocument/2006/relationships/hyperlink" Target="https://en.wikipedia.org/wiki/Continuous_func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section" TargetMode="External"/><Relationship Id="rId12" Type="http://schemas.openxmlformats.org/officeDocument/2006/relationships/hyperlink" Target="https://en.wikipedia.org/wiki/Real_number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section_metho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inuous_func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Root-finding_algorithm" TargetMode="External"/><Relationship Id="rId15" Type="http://schemas.openxmlformats.org/officeDocument/2006/relationships/hyperlink" Target="https://en.wikipedia.org/wiki/Bisection_method" TargetMode="External"/><Relationship Id="rId10" Type="http://schemas.openxmlformats.org/officeDocument/2006/relationships/hyperlink" Target="https://en.wikipedia.org/wiki/Binary_search_algorith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Mathematics" TargetMode="External"/><Relationship Id="rId9" Type="http://schemas.openxmlformats.org/officeDocument/2006/relationships/hyperlink" Target="https://en.wikipedia.org/wiki/Root_of_a_function" TargetMode="External"/><Relationship Id="rId14" Type="http://schemas.openxmlformats.org/officeDocument/2006/relationships/hyperlink" Target="https://en.wikipedia.org/wiki/Intermediate_value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2020-02-13T08:55:00Z</dcterms:created>
  <dcterms:modified xsi:type="dcterms:W3CDTF">2020-02-13T09:10:00Z</dcterms:modified>
</cp:coreProperties>
</file>