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Mincho" w:cs="MS Mincho" w:eastAsia="MS Mincho" w:hAnsi="MS Mincho"/>
          <w:b w:val="0"/>
          <w:i w:val="0"/>
          <w:smallCaps w:val="0"/>
          <w:strike w:val="0"/>
          <w:color w:val="000000"/>
          <w:sz w:val="32"/>
          <w:szCs w:val="32"/>
          <w:u w:val="none"/>
          <w:shd w:fill="auto" w:val="clear"/>
          <w:vertAlign w:val="baseline"/>
        </w:rPr>
      </w:pPr>
      <w:r w:rsidDel="00000000" w:rsidR="00000000" w:rsidRPr="00000000">
        <w:rPr>
          <w:sz w:val="32"/>
          <w:szCs w:val="32"/>
          <w:rtl w:val="0"/>
        </w:rPr>
        <w:t xml:space="preserve">文章ベクトルを用いた機械学習による地価についての予測</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544"/>
          <w:tab w:val="center" w:leader="none" w:pos="6521"/>
        </w:tabs>
        <w:spacing w:after="0" w:before="100" w:line="240" w:lineRule="auto"/>
        <w:ind w:left="0" w:right="0" w:firstLine="0"/>
        <w:jc w:val="center"/>
        <w:rPr>
          <w:rFonts w:ascii="MS Mincho" w:cs="MS Mincho" w:eastAsia="MS Mincho" w:hAnsi="MS Mincho"/>
          <w:b w:val="0"/>
          <w:i w:val="0"/>
          <w:smallCaps w:val="0"/>
          <w:strike w:val="0"/>
          <w:color w:val="000000"/>
          <w:sz w:val="21"/>
          <w:szCs w:val="21"/>
          <w:u w:val="none"/>
          <w:shd w:fill="auto" w:val="clear"/>
          <w:vertAlign w:val="baseline"/>
        </w:rPr>
      </w:pP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中川 俊成</w:t>
      </w:r>
      <w:r w:rsidDel="00000000" w:rsidR="00000000" w:rsidRPr="00000000">
        <w:rPr>
          <w:rFonts w:ascii="MS Mincho" w:cs="MS Mincho" w:eastAsia="MS Mincho" w:hAnsi="MS Mincho"/>
          <w:b w:val="0"/>
          <w:i w:val="0"/>
          <w:smallCaps w:val="0"/>
          <w:strike w:val="0"/>
          <w:color w:val="000000"/>
          <w:sz w:val="21"/>
          <w:szCs w:val="21"/>
          <w:u w:val="none"/>
          <w:shd w:fill="auto" w:val="clear"/>
          <w:vertAlign w:val="superscript"/>
          <w:rtl w:val="0"/>
        </w:rPr>
        <w:t xml:space="preserve">†</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　　大槻 明</w:t>
      </w:r>
      <w:r w:rsidDel="00000000" w:rsidR="00000000" w:rsidRPr="00000000">
        <w:rPr>
          <w:rFonts w:ascii="MS Mincho" w:cs="MS Mincho" w:eastAsia="MS Mincho" w:hAnsi="MS Mincho"/>
          <w:b w:val="0"/>
          <w:i w:val="0"/>
          <w:smallCaps w:val="0"/>
          <w:strike w:val="0"/>
          <w:color w:val="000000"/>
          <w:sz w:val="21"/>
          <w:szCs w:val="21"/>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544"/>
          <w:tab w:val="center" w:leader="none" w:pos="6521"/>
        </w:tabs>
        <w:spacing w:after="0" w:before="100" w:line="24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sectPr>
          <w:headerReference r:id="rId6" w:type="default"/>
          <w:pgSz w:h="16838" w:w="11906" w:orient="portrait"/>
          <w:pgMar w:bottom="1418" w:top="1701" w:left="1134" w:right="1134" w:header="0" w:footer="0"/>
          <w:pgNumType w:start="1"/>
        </w:sectPr>
      </w:pP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日本大学経済学部</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Mincho" w:cs="MS Mincho" w:eastAsia="MS Mincho" w:hAnsi="MS Minch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i w:val="0"/>
          <w:smallCaps w:val="0"/>
          <w:strike w:val="0"/>
          <w:color w:val="000000"/>
          <w:sz w:val="21"/>
          <w:szCs w:val="21"/>
          <w:u w:val="none"/>
          <w:shd w:fill="auto" w:val="clear"/>
          <w:vertAlign w:val="baseline"/>
          <w:rtl w:val="0"/>
        </w:rPr>
        <w:t xml:space="preserve">1.はじめに</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2019年以降国土交通省の土地総合情報システム上で公示地価の鑑定評価書のダウンロードが可能になって以来、大森・熊越[1]のように鑑定評価書のテキストマイニングを地価分析に応用した研究が登場し始めている。しかし鑑定評価書の文章データを特徴量とし、数的処理を行っているものは少ない。本研究ではオルタナティブデータである文章データを、文脈を考慮するSentence-BERTを用いてベクトル化し、駅との距離や地域経済的な量的変数と組み合わせ、変動率を教師データとする人手によらないラベル付与を経て、機械学習による法則性の発見の対象とすることで、従来の構造化データのみの分析では捉えることが難しい不動産への期待形成の実際などをモデルに組み込むことを目指し、予測精度と地理的な汎化性能の向上を図る。</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1"/>
          <w:szCs w:val="21"/>
          <w:u w:val="none"/>
          <w:shd w:fill="auto" w:val="clear"/>
          <w:vertAlign w:val="baseline"/>
        </w:rPr>
      </w:pPr>
      <w:r w:rsidDel="00000000" w:rsidR="00000000" w:rsidRPr="00000000">
        <w:rPr>
          <w:b w:val="1"/>
          <w:i w:val="0"/>
          <w:smallCaps w:val="0"/>
          <w:strike w:val="0"/>
          <w:color w:val="000000"/>
          <w:sz w:val="21"/>
          <w:szCs w:val="21"/>
          <w:u w:val="none"/>
          <w:shd w:fill="auto" w:val="clear"/>
          <w:vertAlign w:val="baseline"/>
          <w:rtl w:val="0"/>
        </w:rPr>
        <w:t xml:space="preserve">2.</w:t>
      </w:r>
      <w:r w:rsidDel="00000000" w:rsidR="00000000" w:rsidRPr="00000000">
        <w:rPr>
          <w:b w:val="1"/>
          <w:rtl w:val="0"/>
        </w:rPr>
        <w:t xml:space="preserve">検証</w:t>
      </w:r>
      <w:r w:rsidDel="00000000" w:rsidR="00000000" w:rsidRPr="00000000">
        <w:rPr>
          <w:b w:val="1"/>
          <w:i w:val="0"/>
          <w:smallCaps w:val="0"/>
          <w:strike w:val="0"/>
          <w:color w:val="000000"/>
          <w:sz w:val="21"/>
          <w:szCs w:val="21"/>
          <w:u w:val="none"/>
          <w:shd w:fill="auto" w:val="clear"/>
          <w:vertAlign w:val="baseline"/>
          <w:rtl w:val="0"/>
        </w:rPr>
        <w:t xml:space="preserve">アプローチ</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図1 「地域要因の将来予測」3次元特徴量</w:t>
      </w:r>
    </w:p>
    <w:p w:rsidR="00000000" w:rsidDel="00000000" w:rsidP="00000000" w:rsidRDefault="00000000" w:rsidRPr="00000000" w14:paraId="00000009">
      <w:pPr>
        <w:rPr/>
      </w:pPr>
      <w:r w:rsidDel="00000000" w:rsidR="00000000" w:rsidRPr="00000000">
        <w:rPr>
          <w:rtl w:val="0"/>
        </w:rPr>
        <w:t xml:space="preserve">大都市圏の地価変動に焦点を当て、予測を行う。</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827020" cy="2454910"/>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27020" cy="2454910"/>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訓練・検証データは2019年1月1日時点(地価公示は毎年1月1日を基準にしている。)の東京都全域の公示地価鑑定評価書で地点数は宅地見込地、林地を除いた2555地点、鑑定評価数は5110サンプル(公示地価は1地点につき2つの鑑定評価を持つため)。検証データは20%でホールドアウト法を用いる。テストデータは、東京都のデータのままでは評価地点の地理的な要因や鑑定評価テキストが大きく変化しないため、大阪府全域の2022年1月1日時点の宅地見込地、林地を除いた1711地点、</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Mincho" w:cs="MS Mincho" w:eastAsia="MS Mincho" w:hAnsi="MS Mincho"/>
          <w:b w:val="0"/>
          <w:i w:val="0"/>
          <w:smallCaps w:val="0"/>
          <w:strike w:val="0"/>
          <w:color w:val="000000"/>
          <w:sz w:val="21"/>
          <w:szCs w:val="21"/>
          <w:u w:val="none"/>
          <w:shd w:fill="auto" w:val="clear"/>
          <w:vertAlign w:val="baseline"/>
        </w:rPr>
      </w:pPr>
      <w:r w:rsidDel="00000000" w:rsidR="00000000" w:rsidRPr="00000000">
        <w:rPr>
          <w:rtl w:val="0"/>
        </w:rPr>
        <w:t xml:space="preserve">3422サンプルの鑑定評価書を用いる。コロナの影響が強い2020年、2021年の鑑定評価書はそのイレギュラーさゆえ除外した。</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公示地価の当期から来期にかけての変動率</w:t>
      </w:r>
      <w:r w:rsidDel="00000000" w:rsidR="00000000" w:rsidRPr="00000000">
        <w:rPr>
          <w:rtl w:val="0"/>
        </w:rPr>
        <w:t xml:space="preserve">、（つまり2019年データであれば、2020年、2022年データであれば2023年にかけての変動率）</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を</w:t>
      </w:r>
      <w:r w:rsidDel="00000000" w:rsidR="00000000" w:rsidRPr="00000000">
        <w:rPr>
          <w:rtl w:val="0"/>
        </w:rPr>
        <w:t xml:space="preserve">目的</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変数とする。</w:t>
      </w:r>
      <w:r w:rsidDel="00000000" w:rsidR="00000000" w:rsidRPr="00000000">
        <w:rPr>
          <w:rtl w:val="0"/>
        </w:rPr>
        <w:t xml:space="preserve">データの入手における指針として、当期以前に入手できるデータに限った。例えば、後述する市区町村別生産年齢人口については2020年調査分データを変数としたいところだが、それが公開されるのが2022年7月であり、2022年3月の地価公示より後のため、使用しない。このように、実際的な予測のため、情報公開のラグを考慮した。</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市区町村単位</w:t>
      </w:r>
      <w:r w:rsidDel="00000000" w:rsidR="00000000" w:rsidRPr="00000000">
        <w:rPr>
          <w:rtl w:val="0"/>
        </w:rPr>
        <w:t xml:space="preserve">での説明変数は課税対象所得の変動率と市区町村別の</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1㎡あたり生産</w:t>
      </w:r>
      <w:r w:rsidDel="00000000" w:rsidR="00000000" w:rsidRPr="00000000">
        <w:rPr>
          <w:rtl w:val="0"/>
        </w:rPr>
        <w:t xml:space="preserve">年齢</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人口</w:t>
      </w:r>
      <w:r w:rsidDel="00000000" w:rsidR="00000000" w:rsidRPr="00000000">
        <w:rPr>
          <w:rtl w:val="0"/>
        </w:rPr>
        <w:t xml:space="preserve">とする。上記の指針のもと市区町村別の課税対象所得についての統計は2016～2017年、2019～2020年調査分のものを用いた。市区町村別の1㎡あたり生産年齢人口においても上記の指針のもと5年おきに行われる国勢調査の2020年分でなく2015年調査分の人口統計を用い、その市区町村の面積で除した。どちらもe-Statより取得。評価</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地点単位においては最寄り駅との距離、都道府県で最も乗降人数の多い駅との距離の二つと、本研究の特徴である、ベクトル化されたテキストも変数とする。ここでの</w:t>
      </w:r>
      <w:r w:rsidDel="00000000" w:rsidR="00000000" w:rsidRPr="00000000">
        <w:rPr>
          <w:rtl w:val="0"/>
        </w:rPr>
        <w:t xml:space="preserve">文章</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データは鑑定評価書の</w:t>
      </w:r>
      <w:r w:rsidDel="00000000" w:rsidR="00000000" w:rsidRPr="00000000">
        <w:rPr>
          <w:rtl w:val="0"/>
        </w:rPr>
        <w:t xml:space="preserve">「</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地域要因の将来予測</w:t>
      </w:r>
      <w:r w:rsidDel="00000000" w:rsidR="00000000" w:rsidRPr="00000000">
        <w:rPr>
          <w:rtl w:val="0"/>
        </w:rPr>
        <w:t xml:space="preserve">」</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w:t>
      </w:r>
      <w:r w:rsidDel="00000000" w:rsidR="00000000" w:rsidRPr="00000000">
        <w:rPr>
          <w:rtl w:val="0"/>
        </w:rPr>
        <w:t xml:space="preserve">「</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市場の特性</w:t>
      </w:r>
      <w:r w:rsidDel="00000000" w:rsidR="00000000" w:rsidRPr="00000000">
        <w:rPr>
          <w:rtl w:val="0"/>
        </w:rPr>
        <w:t xml:space="preserve">」</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w:t>
      </w:r>
      <w:r w:rsidDel="00000000" w:rsidR="00000000" w:rsidRPr="00000000">
        <w:rPr>
          <w:rtl w:val="0"/>
        </w:rPr>
        <w:t xml:space="preserve">「</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一般的要因</w:t>
      </w:r>
      <w:r w:rsidDel="00000000" w:rsidR="00000000" w:rsidRPr="00000000">
        <w:rPr>
          <w:rtl w:val="0"/>
        </w:rPr>
        <w:t xml:space="preserve">」</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w:t>
      </w:r>
      <w:r w:rsidDel="00000000" w:rsidR="00000000" w:rsidRPr="00000000">
        <w:rPr>
          <w:rtl w:val="0"/>
        </w:rPr>
        <w:t xml:space="preserve">「</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地域的要因</w:t>
      </w:r>
      <w:r w:rsidDel="00000000" w:rsidR="00000000" w:rsidRPr="00000000">
        <w:rPr>
          <w:rtl w:val="0"/>
        </w:rPr>
        <w:t xml:space="preserve">」</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の4つの欄のテキストを使用する。ベクトル化の手法については、ま</w:t>
      </w:r>
      <w:r w:rsidDel="00000000" w:rsidR="00000000" w:rsidRPr="00000000">
        <w:rPr>
          <w:rtl w:val="0"/>
        </w:rPr>
        <w:t xml:space="preserve">ず</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Sentence-BERTで</w:t>
      </w:r>
      <w:r w:rsidDel="00000000" w:rsidR="00000000" w:rsidRPr="00000000">
        <w:rPr>
          <w:rtl w:val="0"/>
        </w:rPr>
        <w:t xml:space="preserve">それぞれの</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テキストを768次元のベクトルにする。</w:t>
      </w:r>
      <w:r w:rsidDel="00000000" w:rsidR="00000000" w:rsidRPr="00000000">
        <w:rPr>
          <w:rtl w:val="0"/>
        </w:rPr>
        <w:t xml:space="preserve">園部勲氏が作成しHugging FaceとQiitaで情報公開されている</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日本語</w:t>
      </w:r>
      <w:r w:rsidDel="00000000" w:rsidR="00000000" w:rsidRPr="00000000">
        <w:rPr>
          <w:rtl w:val="0"/>
        </w:rPr>
        <w:t xml:space="preserve">用Sentence-BERT</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モデル[2</w:t>
      </w:r>
      <w:r w:rsidDel="00000000" w:rsidR="00000000" w:rsidRPr="00000000">
        <w:rPr>
          <w:rtl w:val="0"/>
        </w:rPr>
        <w:t xml:space="preserve">]</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を用いた。バッチサイズは51</w:t>
      </w:r>
      <w:r w:rsidDel="00000000" w:rsidR="00000000" w:rsidRPr="00000000">
        <w:rPr>
          <w:rtl w:val="0"/>
        </w:rPr>
        <w:t xml:space="preserve">2でベクトル化を行う</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。だがこのままでは次元数が</w:t>
      </w:r>
      <w:r w:rsidDel="00000000" w:rsidR="00000000" w:rsidRPr="00000000">
        <w:rPr>
          <w:rtl w:val="0"/>
        </w:rPr>
        <w:t xml:space="preserve">過大にな</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るため、t-SNEによって3次元に縮約する。例として「地域要因の将来予測」欄</w:t>
      </w:r>
      <w:r w:rsidDel="00000000" w:rsidR="00000000" w:rsidRPr="00000000">
        <w:rPr>
          <w:rtl w:val="0"/>
        </w:rPr>
        <w:t xml:space="preserve">のテキスト</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をプロットする(</w:t>
      </w:r>
      <w:r w:rsidDel="00000000" w:rsidR="00000000" w:rsidRPr="00000000">
        <w:rPr>
          <w:rtl w:val="0"/>
        </w:rPr>
        <w:t xml:space="preserve">図1</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)。色は、目的変数である</w:t>
      </w:r>
      <w:r w:rsidDel="00000000" w:rsidR="00000000" w:rsidRPr="00000000">
        <w:rPr>
          <w:rtl w:val="0"/>
        </w:rPr>
        <w:t xml:space="preserve">来期の</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変動率</w:t>
      </w:r>
      <w:r w:rsidDel="00000000" w:rsidR="00000000" w:rsidRPr="00000000">
        <w:rPr>
          <w:rtl w:val="0"/>
        </w:rPr>
        <w:t xml:space="preserve">を表し</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、赤くなるほど</w:t>
      </w:r>
      <w:r w:rsidDel="00000000" w:rsidR="00000000" w:rsidRPr="00000000">
        <w:rPr>
          <w:rtl w:val="0"/>
        </w:rPr>
        <w:t xml:space="preserve">来期の</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上昇率が高く、青いほど下降率が高くなる。右奥に赤い点が集中しており、左手前になるほど</w:t>
      </w:r>
      <w:r w:rsidDel="00000000" w:rsidR="00000000" w:rsidRPr="00000000">
        <w:rPr>
          <w:rtl w:val="0"/>
        </w:rPr>
        <w:t xml:space="preserve">濃い</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青</w:t>
      </w:r>
      <w:r w:rsidDel="00000000" w:rsidR="00000000" w:rsidRPr="00000000">
        <w:rPr>
          <w:rtl w:val="0"/>
        </w:rPr>
        <w:t xml:space="preserve">の</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点が多くなっている</w:t>
      </w:r>
      <w:r w:rsidDel="00000000" w:rsidR="00000000" w:rsidRPr="00000000">
        <w:rPr>
          <w:rtl w:val="0"/>
        </w:rPr>
        <w:t xml:space="preserve">などクラスターを形成していると</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見受けられる</w:t>
      </w:r>
      <w:r w:rsidDel="00000000" w:rsidR="00000000" w:rsidRPr="00000000">
        <w:rPr>
          <w:rtl w:val="0"/>
        </w:rPr>
        <w:t xml:space="preserve">が、</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右奥にある赤い点には、減少をあらわす青い点も重なっていて、</w:t>
      </w:r>
      <w:r w:rsidDel="00000000" w:rsidR="00000000" w:rsidRPr="00000000">
        <w:rPr>
          <w:rtl w:val="0"/>
        </w:rPr>
        <w:t xml:space="preserve">特徴量としての</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懸念点ともいえる。</w:t>
      </w:r>
      <w:r w:rsidDel="00000000" w:rsidR="00000000" w:rsidRPr="00000000">
        <w:rPr>
          <w:rtl w:val="0"/>
        </w:rPr>
        <w:t xml:space="preserve">文章データは</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計4</w:t>
      </w:r>
      <w:r w:rsidDel="00000000" w:rsidR="00000000" w:rsidRPr="00000000">
        <w:rPr>
          <w:rtl w:val="0"/>
        </w:rPr>
        <w:t xml:space="preserve">(欄)</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×3</w:t>
      </w:r>
      <w:r w:rsidDel="00000000" w:rsidR="00000000" w:rsidRPr="00000000">
        <w:rPr>
          <w:rtl w:val="0"/>
        </w:rPr>
        <w:t xml:space="preserve">(次元)</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で12</w:t>
      </w:r>
      <w:r w:rsidDel="00000000" w:rsidR="00000000" w:rsidRPr="00000000">
        <w:rPr>
          <w:rtl w:val="0"/>
        </w:rPr>
        <w:t xml:space="preserve">個</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の特徴量、説明変数</w:t>
      </w:r>
      <w:r w:rsidDel="00000000" w:rsidR="00000000" w:rsidRPr="00000000">
        <w:rPr>
          <w:rtl w:val="0"/>
        </w:rPr>
        <w:t xml:space="preserve">となり、上記の量的変数と合わせて16個の変数で回帰タスクを行う。</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分析手法としてはXGBoost、LightGBMといった勾配ブースティング法、またランダムフォレスト</w:t>
      </w:r>
      <w:r w:rsidDel="00000000" w:rsidR="00000000" w:rsidRPr="00000000">
        <w:rPr>
          <w:rtl w:val="0"/>
        </w:rPr>
        <w:t xml:space="preserve">法を</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用いる。それらの損失関数はRMSE、評価</w:t>
      </w:r>
      <w:r w:rsidDel="00000000" w:rsidR="00000000" w:rsidRPr="00000000">
        <w:rPr>
          <w:rtl w:val="0"/>
        </w:rPr>
        <w:t xml:space="preserve">指標</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はMAE、RMSE、</w:t>
      </w:r>
      <w:r w:rsidDel="00000000" w:rsidR="00000000" w:rsidRPr="00000000">
        <w:rPr>
          <w:rtl w:val="0"/>
        </w:rPr>
        <w:t xml:space="preserve">決定係数</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とする。</w:t>
      </w:r>
      <w:r w:rsidDel="00000000" w:rsidR="00000000" w:rsidRPr="00000000">
        <w:rPr>
          <w:rtl w:val="0"/>
        </w:rPr>
        <w:t xml:space="preserve">比較検証のためテキストデータを使用する分析（a）とテキストデータを使用しない分析(b)を実施する。</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1"/>
          <w:i w:val="0"/>
          <w:smallCaps w:val="0"/>
          <w:strike w:val="0"/>
          <w:color w:val="000000"/>
          <w:sz w:val="21"/>
          <w:szCs w:val="21"/>
          <w:u w:val="none"/>
          <w:shd w:fill="auto" w:val="clear"/>
          <w:vertAlign w:val="baseline"/>
          <w:rtl w:val="0"/>
        </w:rPr>
        <w:t xml:space="preserve">3.結果</w:t>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636</wp:posOffset>
                </wp:positionH>
                <wp:positionV relativeFrom="paragraph">
                  <wp:posOffset>8966200</wp:posOffset>
                </wp:positionV>
                <wp:extent cx="2934335" cy="12700"/>
                <wp:effectExtent b="0" l="0" r="0" t="0"/>
                <wp:wrapTopAndBottom distB="0" distT="0"/>
                <wp:docPr id="1" name=""/>
                <a:graphic>
                  <a:graphicData uri="http://schemas.microsoft.com/office/word/2010/wordprocessingShape">
                    <wps:wsp>
                      <wps:cNvCnPr/>
                      <wps:spPr>
                        <a:xfrm>
                          <a:off x="3879180" y="3780000"/>
                          <a:ext cx="293364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636</wp:posOffset>
                </wp:positionH>
                <wp:positionV relativeFrom="paragraph">
                  <wp:posOffset>8966200</wp:posOffset>
                </wp:positionV>
                <wp:extent cx="2934335" cy="12700"/>
                <wp:effectExtent b="0" l="0" r="0" t="0"/>
                <wp:wrapTopAndBottom distB="0" distT="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934335" cy="12700"/>
                        </a:xfrm>
                        <a:prstGeom prst="rect"/>
                        <a:ln/>
                      </pic:spPr>
                    </pic:pic>
                  </a:graphicData>
                </a:graphic>
              </wp:anchor>
            </w:drawing>
          </mc:Fallback>
        </mc:AlternateConten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表1</w:t>
      </w:r>
    </w:p>
    <w:tbl>
      <w:tblPr>
        <w:tblStyle w:val="Table1"/>
        <w:tblW w:w="4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4.2105263157894"/>
        <w:gridCol w:w="1105.2631578947369"/>
        <w:gridCol w:w="1105.2631578947369"/>
        <w:gridCol w:w="1105.2631578947369"/>
        <w:tblGridChange w:id="0">
          <w:tblGrid>
            <w:gridCol w:w="1304.2105263157894"/>
            <w:gridCol w:w="1105.2631578947369"/>
            <w:gridCol w:w="1105.2631578947369"/>
            <w:gridCol w:w="1105.2631578947369"/>
          </w:tblGrid>
        </w:tblGridChange>
      </w:tblGrid>
      <w:tr>
        <w:trPr>
          <w:cantSplit w:val="0"/>
          <w:trHeight w:val="315" w:hRule="atLeast"/>
          <w:tblHeader w:val="0"/>
        </w:trPr>
        <w:tc>
          <w:tcPr>
            <w:tcBorders>
              <w:top w:color="000000" w:space="0" w:sz="5" w:val="single"/>
              <w:left w:color="cccccc" w:space="0" w:sz="5" w:val="single"/>
              <w:bottom w:color="000000" w:space="0" w:sz="14"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0">
            <w:pPr>
              <w:spacing w:line="276" w:lineRule="auto"/>
              <w:jc w:val="left"/>
              <w:rPr>
                <w:rFonts w:ascii="Arial" w:cs="Arial" w:eastAsia="Arial" w:hAnsi="Arial"/>
                <w:sz w:val="18"/>
                <w:szCs w:val="18"/>
              </w:rPr>
            </w:pPr>
            <w:r w:rsidDel="00000000" w:rsidR="00000000" w:rsidRPr="00000000">
              <w:rPr>
                <w:rFonts w:ascii="MS PMincho" w:cs="MS PMincho" w:eastAsia="MS PMincho" w:hAnsi="MS PMincho"/>
                <w:sz w:val="18"/>
                <w:szCs w:val="18"/>
                <w:rtl w:val="0"/>
              </w:rPr>
              <w:t xml:space="preserve">手法</w:t>
            </w:r>
            <w:r w:rsidDel="00000000" w:rsidR="00000000" w:rsidRPr="00000000">
              <w:rPr>
                <w:rtl w:val="0"/>
              </w:rPr>
            </w:r>
          </w:p>
        </w:tc>
        <w:tc>
          <w:tcPr>
            <w:tcBorders>
              <w:top w:color="000000" w:space="0" w:sz="5" w:val="single"/>
              <w:left w:color="cccccc" w:space="0" w:sz="5" w:val="single"/>
              <w:bottom w:color="000000" w:space="0" w:sz="14"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1">
            <w:pPr>
              <w:spacing w:line="276" w:lineRule="auto"/>
              <w:jc w:val="left"/>
              <w:rPr>
                <w:rFonts w:ascii="Arial" w:cs="Arial" w:eastAsia="Arial" w:hAnsi="Arial"/>
                <w:sz w:val="18"/>
                <w:szCs w:val="18"/>
              </w:rPr>
            </w:pPr>
            <w:r w:rsidDel="00000000" w:rsidR="00000000" w:rsidRPr="00000000">
              <w:rPr>
                <w:rFonts w:ascii="MS PMincho" w:cs="MS PMincho" w:eastAsia="MS PMincho" w:hAnsi="MS PMincho"/>
                <w:sz w:val="18"/>
                <w:szCs w:val="18"/>
                <w:rtl w:val="0"/>
              </w:rPr>
              <w:t xml:space="preserve">MAE</w:t>
            </w:r>
            <w:r w:rsidDel="00000000" w:rsidR="00000000" w:rsidRPr="00000000">
              <w:rPr>
                <w:rtl w:val="0"/>
              </w:rPr>
            </w:r>
          </w:p>
        </w:tc>
        <w:tc>
          <w:tcPr>
            <w:tcBorders>
              <w:top w:color="000000" w:space="0" w:sz="5" w:val="single"/>
              <w:left w:color="cccccc" w:space="0" w:sz="5" w:val="single"/>
              <w:bottom w:color="000000" w:space="0" w:sz="14"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2">
            <w:pPr>
              <w:spacing w:line="276" w:lineRule="auto"/>
              <w:jc w:val="left"/>
              <w:rPr>
                <w:rFonts w:ascii="Arial" w:cs="Arial" w:eastAsia="Arial" w:hAnsi="Arial"/>
                <w:sz w:val="18"/>
                <w:szCs w:val="18"/>
              </w:rPr>
            </w:pPr>
            <w:r w:rsidDel="00000000" w:rsidR="00000000" w:rsidRPr="00000000">
              <w:rPr>
                <w:rFonts w:ascii="MS PMincho" w:cs="MS PMincho" w:eastAsia="MS PMincho" w:hAnsi="MS PMincho"/>
                <w:sz w:val="18"/>
                <w:szCs w:val="18"/>
                <w:rtl w:val="0"/>
              </w:rPr>
              <w:t xml:space="preserve">RMSE</w:t>
            </w:r>
            <w:r w:rsidDel="00000000" w:rsidR="00000000" w:rsidRPr="00000000">
              <w:rPr>
                <w:rtl w:val="0"/>
              </w:rPr>
            </w:r>
          </w:p>
        </w:tc>
        <w:tc>
          <w:tcPr>
            <w:tcBorders>
              <w:top w:color="000000" w:space="0" w:sz="5" w:val="single"/>
              <w:left w:color="cccccc" w:space="0" w:sz="5" w:val="single"/>
              <w:bottom w:color="000000" w:space="0" w:sz="14"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3">
            <w:pPr>
              <w:spacing w:line="276" w:lineRule="auto"/>
              <w:jc w:val="left"/>
              <w:rPr>
                <w:rFonts w:ascii="Arial" w:cs="Arial" w:eastAsia="Arial" w:hAnsi="Arial"/>
                <w:sz w:val="18"/>
                <w:szCs w:val="18"/>
              </w:rPr>
            </w:pPr>
            <w:r w:rsidDel="00000000" w:rsidR="00000000" w:rsidRPr="00000000">
              <w:rPr>
                <w:rFonts w:ascii="MS PMincho" w:cs="MS PMincho" w:eastAsia="MS PMincho" w:hAnsi="MS PMincho"/>
                <w:sz w:val="18"/>
                <w:szCs w:val="18"/>
                <w:rtl w:val="0"/>
              </w:rPr>
              <w:t xml:space="preserve">決定係数</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4">
            <w:pPr>
              <w:spacing w:line="276" w:lineRule="auto"/>
              <w:jc w:val="left"/>
              <w:rPr>
                <w:rFonts w:ascii="Arial" w:cs="Arial" w:eastAsia="Arial" w:hAnsi="Arial"/>
                <w:sz w:val="18"/>
                <w:szCs w:val="18"/>
              </w:rPr>
            </w:pPr>
            <w:r w:rsidDel="00000000" w:rsidR="00000000" w:rsidRPr="00000000">
              <w:rPr>
                <w:rFonts w:ascii="MS PMincho" w:cs="MS PMincho" w:eastAsia="MS PMincho" w:hAnsi="MS PMincho"/>
                <w:sz w:val="18"/>
                <w:szCs w:val="18"/>
                <w:rtl w:val="0"/>
              </w:rPr>
              <w:t xml:space="preserve">XGBoost(1-a)</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5">
            <w:pPr>
              <w:spacing w:line="276" w:lineRule="auto"/>
              <w:jc w:val="right"/>
              <w:rPr>
                <w:rFonts w:ascii="Arial" w:cs="Arial" w:eastAsia="Arial" w:hAnsi="Arial"/>
                <w:sz w:val="18"/>
                <w:szCs w:val="18"/>
              </w:rPr>
            </w:pPr>
            <w:r w:rsidDel="00000000" w:rsidR="00000000" w:rsidRPr="00000000">
              <w:rPr>
                <w:rFonts w:ascii="MS PMincho" w:cs="MS PMincho" w:eastAsia="MS PMincho" w:hAnsi="MS PMincho"/>
                <w:sz w:val="18"/>
                <w:szCs w:val="18"/>
                <w:rtl w:val="0"/>
              </w:rPr>
              <w:t xml:space="preserve">2.8409</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6">
            <w:pPr>
              <w:spacing w:line="276" w:lineRule="auto"/>
              <w:jc w:val="right"/>
              <w:rPr>
                <w:rFonts w:ascii="Arial" w:cs="Arial" w:eastAsia="Arial" w:hAnsi="Arial"/>
                <w:sz w:val="18"/>
                <w:szCs w:val="18"/>
              </w:rPr>
            </w:pPr>
            <w:r w:rsidDel="00000000" w:rsidR="00000000" w:rsidRPr="00000000">
              <w:rPr>
                <w:rFonts w:ascii="MS PMincho" w:cs="MS PMincho" w:eastAsia="MS PMincho" w:hAnsi="MS PMincho"/>
                <w:sz w:val="18"/>
                <w:szCs w:val="18"/>
                <w:rtl w:val="0"/>
              </w:rPr>
              <w:t xml:space="preserve">3.4918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7">
            <w:pPr>
              <w:spacing w:line="276" w:lineRule="auto"/>
              <w:jc w:val="right"/>
              <w:rPr>
                <w:rFonts w:ascii="Arial" w:cs="Arial" w:eastAsia="Arial" w:hAnsi="Arial"/>
                <w:sz w:val="18"/>
                <w:szCs w:val="18"/>
              </w:rPr>
            </w:pPr>
            <w:r w:rsidDel="00000000" w:rsidR="00000000" w:rsidRPr="00000000">
              <w:rPr>
                <w:rFonts w:ascii="MS PMincho" w:cs="MS PMincho" w:eastAsia="MS PMincho" w:hAnsi="MS PMincho"/>
                <w:sz w:val="18"/>
                <w:szCs w:val="18"/>
                <w:rtl w:val="0"/>
              </w:rPr>
              <w:t xml:space="preserve">-2.0304</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8">
            <w:pPr>
              <w:spacing w:line="276" w:lineRule="auto"/>
              <w:jc w:val="left"/>
              <w:rPr>
                <w:rFonts w:ascii="Arial" w:cs="Arial" w:eastAsia="Arial" w:hAnsi="Arial"/>
                <w:sz w:val="18"/>
                <w:szCs w:val="18"/>
              </w:rPr>
            </w:pPr>
            <w:r w:rsidDel="00000000" w:rsidR="00000000" w:rsidRPr="00000000">
              <w:rPr>
                <w:rFonts w:ascii="MS PMincho" w:cs="MS PMincho" w:eastAsia="MS PMincho" w:hAnsi="MS PMincho"/>
                <w:sz w:val="18"/>
                <w:szCs w:val="18"/>
                <w:rtl w:val="0"/>
              </w:rPr>
              <w:t xml:space="preserve">XGBoost(1-b)</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9">
            <w:pPr>
              <w:spacing w:line="276" w:lineRule="auto"/>
              <w:jc w:val="right"/>
              <w:rPr>
                <w:rFonts w:ascii="Arial" w:cs="Arial" w:eastAsia="Arial" w:hAnsi="Arial"/>
                <w:sz w:val="18"/>
                <w:szCs w:val="18"/>
              </w:rPr>
            </w:pPr>
            <w:r w:rsidDel="00000000" w:rsidR="00000000" w:rsidRPr="00000000">
              <w:rPr>
                <w:rFonts w:ascii="MS PMincho" w:cs="MS PMincho" w:eastAsia="MS PMincho" w:hAnsi="MS PMincho"/>
                <w:sz w:val="18"/>
                <w:szCs w:val="18"/>
                <w:rtl w:val="0"/>
              </w:rPr>
              <w:t xml:space="preserve">2.7319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A">
            <w:pPr>
              <w:spacing w:line="276" w:lineRule="auto"/>
              <w:jc w:val="right"/>
              <w:rPr>
                <w:rFonts w:ascii="Arial" w:cs="Arial" w:eastAsia="Arial" w:hAnsi="Arial"/>
                <w:sz w:val="18"/>
                <w:szCs w:val="18"/>
              </w:rPr>
            </w:pPr>
            <w:r w:rsidDel="00000000" w:rsidR="00000000" w:rsidRPr="00000000">
              <w:rPr>
                <w:rFonts w:ascii="MS PMincho" w:cs="MS PMincho" w:eastAsia="MS PMincho" w:hAnsi="MS PMincho"/>
                <w:sz w:val="18"/>
                <w:szCs w:val="18"/>
                <w:rtl w:val="0"/>
              </w:rPr>
              <w:t xml:space="preserve">3.4244</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B">
            <w:pPr>
              <w:spacing w:line="276" w:lineRule="auto"/>
              <w:jc w:val="right"/>
              <w:rPr>
                <w:rFonts w:ascii="Arial" w:cs="Arial" w:eastAsia="Arial" w:hAnsi="Arial"/>
                <w:sz w:val="18"/>
                <w:szCs w:val="18"/>
              </w:rPr>
            </w:pPr>
            <w:r w:rsidDel="00000000" w:rsidR="00000000" w:rsidRPr="00000000">
              <w:rPr>
                <w:rFonts w:ascii="MS PMincho" w:cs="MS PMincho" w:eastAsia="MS PMincho" w:hAnsi="MS PMincho"/>
                <w:sz w:val="18"/>
                <w:szCs w:val="18"/>
                <w:rtl w:val="0"/>
              </w:rPr>
              <w:t xml:space="preserve">-1.9145</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C">
            <w:pPr>
              <w:spacing w:line="276" w:lineRule="auto"/>
              <w:jc w:val="left"/>
              <w:rPr>
                <w:rFonts w:ascii="Arial" w:cs="Arial" w:eastAsia="Arial" w:hAnsi="Arial"/>
                <w:sz w:val="16"/>
                <w:szCs w:val="16"/>
              </w:rPr>
            </w:pPr>
            <w:r w:rsidDel="00000000" w:rsidR="00000000" w:rsidRPr="00000000">
              <w:rPr>
                <w:rFonts w:ascii="MS PMincho" w:cs="MS PMincho" w:eastAsia="MS PMincho" w:hAnsi="MS PMincho"/>
                <w:sz w:val="16"/>
                <w:szCs w:val="16"/>
                <w:rtl w:val="0"/>
              </w:rPr>
              <w:t xml:space="preserve">LightGBM(2-a)</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D">
            <w:pPr>
              <w:spacing w:line="276" w:lineRule="auto"/>
              <w:jc w:val="right"/>
              <w:rPr>
                <w:rFonts w:ascii="Arial" w:cs="Arial" w:eastAsia="Arial" w:hAnsi="Arial"/>
                <w:sz w:val="18"/>
                <w:szCs w:val="18"/>
              </w:rPr>
            </w:pPr>
            <w:r w:rsidDel="00000000" w:rsidR="00000000" w:rsidRPr="00000000">
              <w:rPr>
                <w:rFonts w:ascii="MS PMincho" w:cs="MS PMincho" w:eastAsia="MS PMincho" w:hAnsi="MS PMincho"/>
                <w:sz w:val="18"/>
                <w:szCs w:val="18"/>
                <w:rtl w:val="0"/>
              </w:rPr>
              <w:t xml:space="preserve">2.659</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E">
            <w:pPr>
              <w:spacing w:line="276" w:lineRule="auto"/>
              <w:jc w:val="right"/>
              <w:rPr>
                <w:rFonts w:ascii="Arial" w:cs="Arial" w:eastAsia="Arial" w:hAnsi="Arial"/>
                <w:sz w:val="18"/>
                <w:szCs w:val="18"/>
              </w:rPr>
            </w:pPr>
            <w:r w:rsidDel="00000000" w:rsidR="00000000" w:rsidRPr="00000000">
              <w:rPr>
                <w:rFonts w:ascii="MS PMincho" w:cs="MS PMincho" w:eastAsia="MS PMincho" w:hAnsi="MS PMincho"/>
                <w:b w:val="1"/>
                <w:sz w:val="18"/>
                <w:szCs w:val="18"/>
                <w:rtl w:val="0"/>
              </w:rPr>
              <w:t xml:space="preserve">3.3137</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F">
            <w:pPr>
              <w:spacing w:line="276" w:lineRule="auto"/>
              <w:jc w:val="right"/>
              <w:rPr>
                <w:rFonts w:ascii="Arial" w:cs="Arial" w:eastAsia="Arial" w:hAnsi="Arial"/>
                <w:sz w:val="18"/>
                <w:szCs w:val="18"/>
              </w:rPr>
            </w:pPr>
            <w:r w:rsidDel="00000000" w:rsidR="00000000" w:rsidRPr="00000000">
              <w:rPr>
                <w:rFonts w:ascii="MS PMincho" w:cs="MS PMincho" w:eastAsia="MS PMincho" w:hAnsi="MS PMincho"/>
                <w:b w:val="1"/>
                <w:sz w:val="18"/>
                <w:szCs w:val="18"/>
                <w:rtl w:val="0"/>
              </w:rPr>
              <w:t xml:space="preserve">-1.7291</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0">
            <w:pPr>
              <w:spacing w:line="276" w:lineRule="auto"/>
              <w:jc w:val="left"/>
              <w:rPr>
                <w:rFonts w:ascii="Arial" w:cs="Arial" w:eastAsia="Arial" w:hAnsi="Arial"/>
                <w:sz w:val="18"/>
                <w:szCs w:val="18"/>
              </w:rPr>
            </w:pPr>
            <w:r w:rsidDel="00000000" w:rsidR="00000000" w:rsidRPr="00000000">
              <w:rPr>
                <w:rFonts w:ascii="MS PMincho" w:cs="MS PMincho" w:eastAsia="MS PMincho" w:hAnsi="MS PMincho"/>
                <w:sz w:val="18"/>
                <w:szCs w:val="18"/>
                <w:rtl w:val="0"/>
              </w:rPr>
              <w:t xml:space="preserve">LightGBM(2-b)</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1">
            <w:pPr>
              <w:spacing w:line="276" w:lineRule="auto"/>
              <w:jc w:val="right"/>
              <w:rPr>
                <w:rFonts w:ascii="Arial" w:cs="Arial" w:eastAsia="Arial" w:hAnsi="Arial"/>
                <w:sz w:val="18"/>
                <w:szCs w:val="18"/>
              </w:rPr>
            </w:pPr>
            <w:r w:rsidDel="00000000" w:rsidR="00000000" w:rsidRPr="00000000">
              <w:rPr>
                <w:rFonts w:ascii="MS PMincho" w:cs="MS PMincho" w:eastAsia="MS PMincho" w:hAnsi="MS PMincho"/>
                <w:sz w:val="18"/>
                <w:szCs w:val="18"/>
                <w:rtl w:val="0"/>
              </w:rPr>
              <w:t xml:space="preserve">2.5453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2">
            <w:pPr>
              <w:spacing w:line="276" w:lineRule="auto"/>
              <w:jc w:val="right"/>
              <w:rPr>
                <w:rFonts w:ascii="Arial" w:cs="Arial" w:eastAsia="Arial" w:hAnsi="Arial"/>
                <w:sz w:val="18"/>
                <w:szCs w:val="18"/>
              </w:rPr>
            </w:pPr>
            <w:r w:rsidDel="00000000" w:rsidR="00000000" w:rsidRPr="00000000">
              <w:rPr>
                <w:rFonts w:ascii="MS PMincho" w:cs="MS PMincho" w:eastAsia="MS PMincho" w:hAnsi="MS PMincho"/>
                <w:sz w:val="18"/>
                <w:szCs w:val="18"/>
                <w:rtl w:val="0"/>
              </w:rPr>
              <w:t xml:space="preserve">3.3716</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3">
            <w:pPr>
              <w:spacing w:line="276" w:lineRule="auto"/>
              <w:jc w:val="right"/>
              <w:rPr>
                <w:rFonts w:ascii="Arial" w:cs="Arial" w:eastAsia="Arial" w:hAnsi="Arial"/>
                <w:sz w:val="18"/>
                <w:szCs w:val="18"/>
              </w:rPr>
            </w:pPr>
            <w:r w:rsidDel="00000000" w:rsidR="00000000" w:rsidRPr="00000000">
              <w:rPr>
                <w:rFonts w:ascii="MS PMincho" w:cs="MS PMincho" w:eastAsia="MS PMincho" w:hAnsi="MS PMincho"/>
                <w:sz w:val="18"/>
                <w:szCs w:val="18"/>
                <w:rtl w:val="0"/>
              </w:rPr>
              <w:t xml:space="preserve">-1.8253</w:t>
            </w:r>
            <w:r w:rsidDel="00000000" w:rsidR="00000000" w:rsidRPr="00000000">
              <w:rPr>
                <w:rtl w:val="0"/>
              </w:rPr>
            </w:r>
          </w:p>
        </w:tc>
      </w:tr>
      <w:tr>
        <w:trPr>
          <w:cantSplit w:val="0"/>
          <w:trHeight w:val="450" w:hRule="atLeast"/>
          <w:tblHeader w:val="0"/>
        </w:trPr>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4">
            <w:pPr>
              <w:spacing w:line="276" w:lineRule="auto"/>
              <w:jc w:val="left"/>
              <w:rPr>
                <w:rFonts w:ascii="Arial" w:cs="Arial" w:eastAsia="Arial" w:hAnsi="Arial"/>
                <w:sz w:val="18"/>
                <w:szCs w:val="18"/>
              </w:rPr>
            </w:pPr>
            <w:r w:rsidDel="00000000" w:rsidR="00000000" w:rsidRPr="00000000">
              <w:rPr>
                <w:rFonts w:ascii="MS PMincho" w:cs="MS PMincho" w:eastAsia="MS PMincho" w:hAnsi="MS PMincho"/>
                <w:sz w:val="18"/>
                <w:szCs w:val="18"/>
                <w:rtl w:val="0"/>
              </w:rPr>
              <w:t xml:space="preserve">Random Forest(3-a)</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5">
            <w:pPr>
              <w:spacing w:line="276" w:lineRule="auto"/>
              <w:jc w:val="right"/>
              <w:rPr>
                <w:rFonts w:ascii="Arial" w:cs="Arial" w:eastAsia="Arial" w:hAnsi="Arial"/>
                <w:sz w:val="18"/>
                <w:szCs w:val="18"/>
              </w:rPr>
            </w:pPr>
            <w:r w:rsidDel="00000000" w:rsidR="00000000" w:rsidRPr="00000000">
              <w:rPr>
                <w:rFonts w:ascii="MS PMincho" w:cs="MS PMincho" w:eastAsia="MS PMincho" w:hAnsi="MS PMincho"/>
                <w:sz w:val="18"/>
                <w:szCs w:val="18"/>
                <w:rtl w:val="0"/>
              </w:rPr>
              <w:t xml:space="preserve">2.8109</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6">
            <w:pPr>
              <w:spacing w:line="276" w:lineRule="auto"/>
              <w:jc w:val="right"/>
              <w:rPr>
                <w:rFonts w:ascii="Arial" w:cs="Arial" w:eastAsia="Arial" w:hAnsi="Arial"/>
                <w:sz w:val="18"/>
                <w:szCs w:val="18"/>
              </w:rPr>
            </w:pPr>
            <w:r w:rsidDel="00000000" w:rsidR="00000000" w:rsidRPr="00000000">
              <w:rPr>
                <w:rFonts w:ascii="MS PMincho" w:cs="MS PMincho" w:eastAsia="MS PMincho" w:hAnsi="MS PMincho"/>
                <w:b w:val="1"/>
                <w:sz w:val="18"/>
                <w:szCs w:val="18"/>
                <w:rtl w:val="0"/>
              </w:rPr>
              <w:t xml:space="preserve">3.4852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spacing w:line="276" w:lineRule="auto"/>
              <w:jc w:val="right"/>
              <w:rPr>
                <w:rFonts w:ascii="Arial" w:cs="Arial" w:eastAsia="Arial" w:hAnsi="Arial"/>
                <w:sz w:val="18"/>
                <w:szCs w:val="18"/>
              </w:rPr>
            </w:pPr>
            <w:r w:rsidDel="00000000" w:rsidR="00000000" w:rsidRPr="00000000">
              <w:rPr>
                <w:rFonts w:ascii="MS PMincho" w:cs="MS PMincho" w:eastAsia="MS PMincho" w:hAnsi="MS PMincho"/>
                <w:b w:val="1"/>
                <w:sz w:val="18"/>
                <w:szCs w:val="18"/>
                <w:rtl w:val="0"/>
              </w:rPr>
              <w:t xml:space="preserve">-2.019</w:t>
            </w:r>
            <w:r w:rsidDel="00000000" w:rsidR="00000000" w:rsidRPr="00000000">
              <w:rPr>
                <w:rtl w:val="0"/>
              </w:rPr>
            </w:r>
          </w:p>
        </w:tc>
      </w:tr>
      <w:tr>
        <w:trPr>
          <w:cantSplit w:val="0"/>
          <w:trHeight w:val="450" w:hRule="atLeast"/>
          <w:tblHeader w:val="0"/>
        </w:trPr>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8">
            <w:pPr>
              <w:spacing w:line="276" w:lineRule="auto"/>
              <w:jc w:val="left"/>
              <w:rPr>
                <w:rFonts w:ascii="Arial" w:cs="Arial" w:eastAsia="Arial" w:hAnsi="Arial"/>
                <w:sz w:val="18"/>
                <w:szCs w:val="18"/>
              </w:rPr>
            </w:pPr>
            <w:r w:rsidDel="00000000" w:rsidR="00000000" w:rsidRPr="00000000">
              <w:rPr>
                <w:rFonts w:ascii="MS PMincho" w:cs="MS PMincho" w:eastAsia="MS PMincho" w:hAnsi="MS PMincho"/>
                <w:sz w:val="18"/>
                <w:szCs w:val="18"/>
                <w:rtl w:val="0"/>
              </w:rPr>
              <w:t xml:space="preserve">Random Forest(3-b)</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9">
            <w:pPr>
              <w:spacing w:line="276" w:lineRule="auto"/>
              <w:jc w:val="right"/>
              <w:rPr>
                <w:rFonts w:ascii="Arial" w:cs="Arial" w:eastAsia="Arial" w:hAnsi="Arial"/>
                <w:sz w:val="18"/>
                <w:szCs w:val="18"/>
              </w:rPr>
            </w:pPr>
            <w:r w:rsidDel="00000000" w:rsidR="00000000" w:rsidRPr="00000000">
              <w:rPr>
                <w:rFonts w:ascii="MS PMincho" w:cs="MS PMincho" w:eastAsia="MS PMincho" w:hAnsi="MS PMincho"/>
                <w:sz w:val="18"/>
                <w:szCs w:val="18"/>
                <w:rtl w:val="0"/>
              </w:rPr>
              <w:t xml:space="preserve">2.7688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A">
            <w:pPr>
              <w:spacing w:line="276" w:lineRule="auto"/>
              <w:jc w:val="right"/>
              <w:rPr>
                <w:rFonts w:ascii="Arial" w:cs="Arial" w:eastAsia="Arial" w:hAnsi="Arial"/>
                <w:sz w:val="18"/>
                <w:szCs w:val="18"/>
              </w:rPr>
            </w:pPr>
            <w:r w:rsidDel="00000000" w:rsidR="00000000" w:rsidRPr="00000000">
              <w:rPr>
                <w:rFonts w:ascii="MS PMincho" w:cs="MS PMincho" w:eastAsia="MS PMincho" w:hAnsi="MS PMincho"/>
                <w:sz w:val="18"/>
                <w:szCs w:val="18"/>
                <w:rtl w:val="0"/>
              </w:rPr>
              <w:t xml:space="preserve">3.5625</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spacing w:line="276" w:lineRule="auto"/>
              <w:jc w:val="right"/>
              <w:rPr>
                <w:rFonts w:ascii="Arial" w:cs="Arial" w:eastAsia="Arial" w:hAnsi="Arial"/>
                <w:sz w:val="18"/>
                <w:szCs w:val="18"/>
              </w:rPr>
            </w:pPr>
            <w:r w:rsidDel="00000000" w:rsidR="00000000" w:rsidRPr="00000000">
              <w:rPr>
                <w:rFonts w:ascii="MS PMincho" w:cs="MS PMincho" w:eastAsia="MS PMincho" w:hAnsi="MS PMincho"/>
                <w:sz w:val="18"/>
                <w:szCs w:val="18"/>
                <w:rtl w:val="0"/>
              </w:rPr>
              <w:t xml:space="preserve">-2.1542</w:t>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図2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(2-a)                 (2-b)</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1422757" cy="1451597"/>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22757" cy="1451597"/>
                    </a:xfrm>
                    <a:prstGeom prst="rect"/>
                    <a:ln/>
                  </pic:spPr>
                </pic:pic>
              </a:graphicData>
            </a:graphic>
          </wp:inline>
        </w:drawing>
      </w:r>
      <w:r w:rsidDel="00000000" w:rsidR="00000000" w:rsidRPr="00000000">
        <w:rPr/>
        <w:drawing>
          <wp:inline distB="114300" distT="114300" distL="114300" distR="114300">
            <wp:extent cx="1428179" cy="1446848"/>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428179" cy="144684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まずXGBoostでは</w:t>
      </w:r>
      <w:r w:rsidDel="00000000" w:rsidR="00000000" w:rsidRPr="00000000">
        <w:rPr>
          <w:rtl w:val="0"/>
        </w:rPr>
        <w:t xml:space="preserve">全て</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の指標が(</w:t>
      </w:r>
      <w:r w:rsidDel="00000000" w:rsidR="00000000" w:rsidRPr="00000000">
        <w:rPr>
          <w:rtl w:val="0"/>
        </w:rPr>
        <w:t xml:space="preserve">a)</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の方が悪かった。しかし、LightGBM</w:t>
      </w:r>
      <w:r w:rsidDel="00000000" w:rsidR="00000000" w:rsidRPr="00000000">
        <w:rPr>
          <w:rtl w:val="0"/>
        </w:rPr>
        <w:t xml:space="preserve">とランダムフォレストではMAEは劣るもののR</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MSE</w:t>
      </w:r>
      <w:r w:rsidDel="00000000" w:rsidR="00000000" w:rsidRPr="00000000">
        <w:rPr>
          <w:rtl w:val="0"/>
        </w:rPr>
        <w:t xml:space="preserve">、決定係数</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において(</w:t>
      </w:r>
      <w:r w:rsidDel="00000000" w:rsidR="00000000" w:rsidRPr="00000000">
        <w:rPr>
          <w:rtl w:val="0"/>
        </w:rPr>
        <w:t xml:space="preserve">b)</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を</w:t>
      </w:r>
      <w:r w:rsidDel="00000000" w:rsidR="00000000" w:rsidRPr="00000000">
        <w:rPr>
          <w:rtl w:val="0"/>
        </w:rPr>
        <w:t xml:space="preserve">精度において凌いだ</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。図</w:t>
      </w:r>
      <w:r w:rsidDel="00000000" w:rsidR="00000000" w:rsidRPr="00000000">
        <w:rPr>
          <w:rtl w:val="0"/>
        </w:rPr>
        <w:t xml:space="preserve">2</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はLightGBM</w:t>
      </w:r>
      <w:r w:rsidDel="00000000" w:rsidR="00000000" w:rsidRPr="00000000">
        <w:rPr>
          <w:rtl w:val="0"/>
        </w:rPr>
        <w:t xml:space="preserve">において地点ごとの</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MAEを</w:t>
      </w:r>
      <w:r w:rsidDel="00000000" w:rsidR="00000000" w:rsidRPr="00000000">
        <w:rPr>
          <w:rtl w:val="0"/>
        </w:rPr>
        <w:t xml:space="preserve">正規化し、実際の地図に</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プロットしたものだ。</w:t>
      </w:r>
      <w:r w:rsidDel="00000000" w:rsidR="00000000" w:rsidRPr="00000000">
        <w:rPr>
          <w:rtl w:val="0"/>
        </w:rPr>
        <w:t xml:space="preserve">赤いほど、精度が悪くなっている。</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w:t>
      </w:r>
      <w:r w:rsidDel="00000000" w:rsidR="00000000" w:rsidRPr="00000000">
        <w:rPr>
          <w:rtl w:val="0"/>
        </w:rPr>
        <w:t xml:space="preserve">b)は(a)を大阪都心部やその北部における精度で凌いでいるものの大阪市南部、東大阪市西部、守口市、門真市にかけての住宅地域、ベッドタウンにおいては精度が著しく悪くなっている。このような(b)の局所的な精度の大幅悪化という点で、(a)は優位に立ち、それがRMSEにも現れているのではないか。図3は変数ごとのSHAP特徴量重要度(LightGBMにおける実行結果)である。Aは「地域要因の将来予測」、Bは「市場の特性」、Cは「一般的要因」、Dは「地域要因」である。それらは別個の変数として扱われている3次元x,y,z成分の重要度を加算して算出した。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図3</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2933700" cy="1084898"/>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33700" cy="108489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Mincho" w:cs="MS Mincho" w:eastAsia="MS Mincho" w:hAnsi="MS Mincho"/>
          <w:b w:val="0"/>
          <w:i w:val="0"/>
          <w:smallCaps w:val="0"/>
          <w:strike w:val="0"/>
          <w:color w:val="000000"/>
          <w:sz w:val="21"/>
          <w:szCs w:val="21"/>
          <w:u w:val="none"/>
          <w:shd w:fill="auto" w:val="clear"/>
          <w:vertAlign w:val="baseline"/>
        </w:rPr>
      </w:pP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「市場の特性」における記述の</w:t>
      </w:r>
      <w:r w:rsidDel="00000000" w:rsidR="00000000" w:rsidRPr="00000000">
        <w:rPr>
          <w:rtl w:val="0"/>
        </w:rPr>
        <w:t xml:space="preserve">重要</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度が高いことが読み取れる。</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一方で</w:t>
      </w:r>
      <w:r w:rsidDel="00000000" w:rsidR="00000000" w:rsidRPr="00000000">
        <w:rPr>
          <w:rtl w:val="0"/>
        </w:rPr>
        <w:t xml:space="preserve">地点間で文章に</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差が出にくいであろう</w:t>
      </w:r>
      <w:r w:rsidDel="00000000" w:rsidR="00000000" w:rsidRPr="00000000">
        <w:rPr>
          <w:rtl w:val="0"/>
        </w:rPr>
        <w:t xml:space="preserve">「</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一般的要因</w:t>
      </w:r>
      <w:r w:rsidDel="00000000" w:rsidR="00000000" w:rsidRPr="00000000">
        <w:rPr>
          <w:rtl w:val="0"/>
        </w:rPr>
        <w:t xml:space="preserve">」</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の重要度は</w:t>
      </w:r>
      <w:r w:rsidDel="00000000" w:rsidR="00000000" w:rsidRPr="00000000">
        <w:rPr>
          <w:rtl w:val="0"/>
        </w:rPr>
        <w:t xml:space="preserve">4つ</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の中で</w:t>
      </w:r>
      <w:r w:rsidDel="00000000" w:rsidR="00000000" w:rsidRPr="00000000">
        <w:rPr>
          <w:rtl w:val="0"/>
        </w:rPr>
        <w:t xml:space="preserve">最も</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低くなった。また</w:t>
      </w:r>
      <w:r w:rsidDel="00000000" w:rsidR="00000000" w:rsidRPr="00000000">
        <w:rPr>
          <w:rtl w:val="0"/>
        </w:rPr>
        <w:t xml:space="preserve">「地域要因の将来予測」と「地域要因」</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が僅差で並んでいることには、どちらとも地域要因について述べたものであり、そ</w:t>
      </w:r>
      <w:r w:rsidDel="00000000" w:rsidR="00000000" w:rsidRPr="00000000">
        <w:rPr>
          <w:rtl w:val="0"/>
        </w:rPr>
        <w:t xml:space="preserve">の類似性が重要度</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としても現れているといえる。</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1"/>
          <w:szCs w:val="21"/>
          <w:u w:val="none"/>
          <w:shd w:fill="auto" w:val="clear"/>
          <w:vertAlign w:val="baseline"/>
        </w:rPr>
      </w:pPr>
      <w:r w:rsidDel="00000000" w:rsidR="00000000" w:rsidRPr="00000000">
        <w:rPr>
          <w:b w:val="1"/>
          <w:i w:val="0"/>
          <w:smallCaps w:val="0"/>
          <w:strike w:val="0"/>
          <w:color w:val="000000"/>
          <w:sz w:val="21"/>
          <w:szCs w:val="21"/>
          <w:u w:val="none"/>
          <w:shd w:fill="auto" w:val="clear"/>
          <w:vertAlign w:val="baseline"/>
          <w:rtl w:val="0"/>
        </w:rPr>
        <w:t xml:space="preserve">4.おわりに</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Mincho" w:cs="MS Mincho" w:eastAsia="MS Mincho" w:hAnsi="MS Mincho"/>
          <w:b w:val="0"/>
          <w:i w:val="0"/>
          <w:smallCaps w:val="0"/>
          <w:strike w:val="0"/>
          <w:color w:val="000000"/>
          <w:sz w:val="21"/>
          <w:szCs w:val="21"/>
          <w:u w:val="none"/>
          <w:shd w:fill="auto" w:val="clear"/>
          <w:vertAlign w:val="baseline"/>
        </w:rPr>
      </w:pP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マクロ経済</w:t>
      </w:r>
      <w:r w:rsidDel="00000000" w:rsidR="00000000" w:rsidRPr="00000000">
        <w:rPr>
          <w:rtl w:val="0"/>
        </w:rPr>
        <w:t xml:space="preserve">の</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各地域</w:t>
      </w:r>
      <w:r w:rsidDel="00000000" w:rsidR="00000000" w:rsidRPr="00000000">
        <w:rPr>
          <w:rtl w:val="0"/>
        </w:rPr>
        <w:t xml:space="preserve">への</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波及を</w:t>
      </w:r>
      <w:r w:rsidDel="00000000" w:rsidR="00000000" w:rsidRPr="00000000">
        <w:rPr>
          <w:rtl w:val="0"/>
        </w:rPr>
        <w:t xml:space="preserve">あらわす</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特徴量</w:t>
      </w:r>
      <w:r w:rsidDel="00000000" w:rsidR="00000000" w:rsidRPr="00000000">
        <w:rPr>
          <w:rtl w:val="0"/>
        </w:rPr>
        <w:t xml:space="preserve">を</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組み込むないしは、機械学習とは別に、VARなどの自己回帰モデルでマクロ経済</w:t>
      </w:r>
      <w:r w:rsidDel="00000000" w:rsidR="00000000" w:rsidRPr="00000000">
        <w:rPr>
          <w:rtl w:val="0"/>
        </w:rPr>
        <w:t xml:space="preserve">変数</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の予測値を算出しておき、それと非構造化データの機械学習を組合せることも検討しておきたい。訓練・検証データも</w:t>
      </w:r>
      <w:r w:rsidDel="00000000" w:rsidR="00000000" w:rsidRPr="00000000">
        <w:rPr>
          <w:rtl w:val="0"/>
        </w:rPr>
        <w:t xml:space="preserve">東京都</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だけであり、他の都道府県の評価書</w:t>
      </w:r>
      <w:r w:rsidDel="00000000" w:rsidR="00000000" w:rsidRPr="00000000">
        <w:rPr>
          <w:rtl w:val="0"/>
        </w:rPr>
        <w:t xml:space="preserve">、そして地域の経済ニュース記事</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も</w:t>
      </w:r>
      <w:r w:rsidDel="00000000" w:rsidR="00000000" w:rsidRPr="00000000">
        <w:rPr>
          <w:rtl w:val="0"/>
        </w:rPr>
        <w:t xml:space="preserve">学習</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すれば</w:t>
      </w:r>
      <w:r w:rsidDel="00000000" w:rsidR="00000000" w:rsidRPr="00000000">
        <w:rPr>
          <w:rtl w:val="0"/>
        </w:rPr>
        <w:t xml:space="preserve">より有用なのではないか</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w:t>
      </w:r>
      <w:r w:rsidDel="00000000" w:rsidR="00000000" w:rsidRPr="00000000">
        <w:rPr>
          <w:rtl w:val="0"/>
        </w:rPr>
        <w:t xml:space="preserve">また</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地理的な固有表現が文章の割合の多くを</w:t>
      </w:r>
      <w:r w:rsidDel="00000000" w:rsidR="00000000" w:rsidRPr="00000000">
        <w:rPr>
          <w:rtl w:val="0"/>
        </w:rPr>
        <w:t xml:space="preserve">占める</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ことがあり、</w:t>
      </w:r>
      <w:r w:rsidDel="00000000" w:rsidR="00000000" w:rsidRPr="00000000">
        <w:rPr>
          <w:rtl w:val="0"/>
        </w:rPr>
        <w:t xml:space="preserve">地理的な汎化性能を押し下げてしまう</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ノイズの一因</w:t>
      </w:r>
      <w:r w:rsidDel="00000000" w:rsidR="00000000" w:rsidRPr="00000000">
        <w:rPr>
          <w:rtl w:val="0"/>
        </w:rPr>
        <w:t xml:space="preserve">となった</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。地価に影響する表現のみを抽出すれば、より精度は</w:t>
      </w:r>
      <w:r w:rsidDel="00000000" w:rsidR="00000000" w:rsidRPr="00000000">
        <w:rPr>
          <w:rtl w:val="0"/>
        </w:rPr>
        <w:t xml:space="preserve">向上するだろう</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w:t>
      </w:r>
      <w:r w:rsidDel="00000000" w:rsidR="00000000" w:rsidRPr="00000000">
        <w:rPr>
          <w:rtl w:val="0"/>
        </w:rPr>
        <w:t xml:space="preserve">また既存研究では、人手または機械学習による極性表現の獲得によって単語ベースでの特徴量化を行っているものも多い[3][4][5]。</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比較検証として</w:t>
      </w:r>
      <w:r w:rsidDel="00000000" w:rsidR="00000000" w:rsidRPr="00000000">
        <w:rPr>
          <w:rtl w:val="0"/>
        </w:rPr>
        <w:t xml:space="preserve">そのような</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手法との</w:t>
      </w:r>
      <w:r w:rsidDel="00000000" w:rsidR="00000000" w:rsidRPr="00000000">
        <w:rPr>
          <w:rtl w:val="0"/>
        </w:rPr>
        <w:t xml:space="preserve">比較</w:t>
      </w:r>
      <w:r w:rsidDel="00000000" w:rsidR="00000000" w:rsidRPr="00000000">
        <w:rPr>
          <w:rFonts w:ascii="MS Mincho" w:cs="MS Mincho" w:eastAsia="MS Mincho" w:hAnsi="MS Mincho"/>
          <w:b w:val="0"/>
          <w:i w:val="0"/>
          <w:smallCaps w:val="0"/>
          <w:strike w:val="0"/>
          <w:color w:val="000000"/>
          <w:sz w:val="21"/>
          <w:szCs w:val="21"/>
          <w:u w:val="none"/>
          <w:shd w:fill="auto" w:val="clear"/>
          <w:vertAlign w:val="baseline"/>
          <w:rtl w:val="0"/>
        </w:rPr>
        <w:t xml:space="preserve">も行わなければならないだろう。</w:t>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3124835</wp:posOffset>
                </wp:positionH>
                <wp:positionV relativeFrom="paragraph">
                  <wp:posOffset>8839200</wp:posOffset>
                </wp:positionV>
                <wp:extent cx="3075940" cy="643255"/>
                <wp:effectExtent b="0" l="0" r="0" t="0"/>
                <wp:wrapNone/>
                <wp:docPr id="2" name=""/>
                <a:graphic>
                  <a:graphicData uri="http://schemas.microsoft.com/office/word/2010/wordprocessingShape">
                    <wps:wsp>
                      <wps:cNvSpPr/>
                      <wps:cNvPr id="3" name="Shape 3"/>
                      <wps:spPr>
                        <a:xfrm>
                          <a:off x="3812793" y="3463135"/>
                          <a:ext cx="3066415" cy="633730"/>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「タイトル」英文による記述</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†「講演者・所属」英文による記述</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‡「講演者・所属」英文による記述</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txbxContent>
                      </wps:txbx>
                      <wps:bodyPr anchorCtr="0" anchor="t" bIns="1250" lIns="75550" spcFirstLastPara="1" rIns="75550" wrap="square" tIns="125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3124835</wp:posOffset>
                </wp:positionH>
                <wp:positionV relativeFrom="paragraph">
                  <wp:posOffset>8839200</wp:posOffset>
                </wp:positionV>
                <wp:extent cx="3075940" cy="643255"/>
                <wp:effectExtent b="0" l="0" r="0" t="0"/>
                <wp:wrapNone/>
                <wp:docPr id="2"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075940" cy="643255"/>
                        </a:xfrm>
                        <a:prstGeom prst="rect"/>
                        <a:ln/>
                      </pic:spPr>
                    </pic:pic>
                  </a:graphicData>
                </a:graphic>
              </wp:anchor>
            </w:drawing>
          </mc:Fallback>
        </mc:AlternateConten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[参考文献]</w:t>
      </w:r>
    </w:p>
    <w:p w:rsidR="00000000" w:rsidDel="00000000" w:rsidP="00000000" w:rsidRDefault="00000000" w:rsidRPr="00000000" w14:paraId="00000038">
      <w:pPr>
        <w:rPr/>
      </w:pPr>
      <w:r w:rsidDel="00000000" w:rsidR="00000000" w:rsidRPr="00000000">
        <w:rPr>
          <w:rtl w:val="0"/>
        </w:rPr>
        <w:t xml:space="preserve">[1]大森 文彦, 熊越 祐介,Covid-19感染症流行を受けた東京都市圏のライフスタイル変化に関する考察,都市計画報告集,21巻,2号p.177-182(2022)</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[2]https://huggingface.co/sonoisa/sentence-bert-base-ja-mean-tokens-v2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[3]川崎拓海,穴田一,情報科学技術フォーラム講演論文集 (FIT),20th,第1分冊 p.99-100(2021)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[4]瞿雪吟,菅愛子,高橋大志,中国株式市場を対象とした金融極性辞書の構築と検証(2019)</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[5]五島 圭一, 新谷 元嗣, 高村 大也, 景気単語極性辞書の構築とその応用,自然言語処理 29 巻,4号, p. 1233-1253 (2022)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S Mincho" w:cs="MS Mincho" w:eastAsia="MS Mincho" w:hAnsi="MS Mincho"/>
          <w:b w:val="0"/>
          <w:i w:val="0"/>
          <w:smallCaps w:val="0"/>
          <w:strike w:val="0"/>
          <w:color w:val="000000"/>
          <w:sz w:val="21"/>
          <w:szCs w:val="21"/>
          <w:u w:val="none"/>
          <w:shd w:fill="auto" w:val="clear"/>
          <w:vertAlign w:val="baseline"/>
        </w:rPr>
      </w:pPr>
      <w:r w:rsidDel="00000000" w:rsidR="00000000" w:rsidRPr="00000000">
        <w:rPr>
          <w:rtl w:val="0"/>
        </w:rPr>
      </w:r>
    </w:p>
    <w:sectPr>
      <w:type w:val="continuous"/>
      <w:pgSz w:h="16838" w:w="11906" w:orient="portrait"/>
      <w:pgMar w:bottom="1418" w:top="1701" w:left="1134" w:right="1134" w:header="0" w:footer="0"/>
      <w:cols w:equalWidth="0" w:num="2">
        <w:col w:space="396" w:w="4620.999999999999"/>
        <w:col w:space="0" w:w="4620.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S Mincho"/>
  <w:font w:name="Arial"/>
  <w:font w:name="Georgia"/>
  <w:font w:name="Times New Roman"/>
  <w:font w:name="Gungsuh"/>
  <w:font w:name="MS PMinch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S Mincho" w:cs="MS Mincho" w:eastAsia="MS Mincho" w:hAnsi="MS Mincho"/>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pPr>
    <w:rPr>
      <w:rFonts w:ascii="Arial" w:cs="Arial" w:eastAsia="Arial" w:hAnsi="Arial"/>
      <w:sz w:val="24"/>
      <w:szCs w:val="24"/>
    </w:rPr>
  </w:style>
  <w:style w:type="paragraph" w:styleId="Heading2">
    <w:name w:val="heading 2"/>
    <w:basedOn w:val="Normal"/>
    <w:next w:val="Normal"/>
    <w:pPr>
      <w:keepNext w:val="1"/>
      <w:ind w:left="0" w:firstLine="0"/>
    </w:pPr>
    <w:rPr>
      <w:rFonts w:ascii="Arial" w:cs="Arial" w:eastAsia="Arial" w:hAnsi="Arial"/>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