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5F98" w14:textId="26F6D91A" w:rsidR="00AD6162" w:rsidRPr="0042077C" w:rsidRDefault="0042077C">
      <w:pPr>
        <w:pStyle w:val="a3"/>
      </w:pPr>
      <w:r w:rsidRPr="0042077C">
        <w:rPr>
          <w:rFonts w:hint="eastAsia"/>
        </w:rPr>
        <w:t>文章ベクトルを用いた機械学習による地価についての予測</w:t>
      </w:r>
    </w:p>
    <w:p w14:paraId="44BB1632" w14:textId="72E42966" w:rsidR="00AD6162" w:rsidRDefault="0042077C">
      <w:pPr>
        <w:pStyle w:val="a6"/>
      </w:pPr>
      <w:r>
        <w:t>中川</w:t>
      </w:r>
      <w:r>
        <w:rPr>
          <w:rFonts w:hint="eastAsia"/>
        </w:rPr>
        <w:t xml:space="preserve">　</w:t>
      </w:r>
      <w:r>
        <w:t>俊成</w:t>
      </w:r>
      <w:r>
        <w:rPr>
          <w:rFonts w:hAnsi="Times New Roman"/>
          <w:vertAlign w:val="superscript"/>
        </w:rPr>
        <w:t>†</w:t>
      </w:r>
      <w:r>
        <w:rPr>
          <w:rFonts w:hint="eastAsia"/>
        </w:rPr>
        <w:t xml:space="preserve">　　大槻　明</w:t>
      </w:r>
      <w:r>
        <w:rPr>
          <w:vertAlign w:val="superscript"/>
        </w:rPr>
        <w:t>‡</w:t>
      </w:r>
    </w:p>
    <w:p w14:paraId="584F5D0C" w14:textId="7C2F5060" w:rsidR="00AD6162" w:rsidRDefault="0042077C">
      <w:pPr>
        <w:pStyle w:val="a6"/>
      </w:pPr>
      <w:r>
        <w:rPr>
          <w:rFonts w:hint="eastAsia"/>
        </w:rPr>
        <w:t>日本大学経済学部</w:t>
      </w:r>
      <w:r>
        <w:rPr>
          <w:rFonts w:hAnsi="Times New Roman"/>
          <w:vertAlign w:val="superscript"/>
        </w:rPr>
        <w:t>†</w:t>
      </w:r>
      <w:r>
        <w:rPr>
          <w:rFonts w:hint="eastAsia"/>
        </w:rPr>
        <w:t xml:space="preserve">　　</w:t>
      </w:r>
    </w:p>
    <w:p w14:paraId="6C65E125" w14:textId="77777777" w:rsidR="00AD6162" w:rsidRDefault="00AD6162" w:rsidP="00640AA0">
      <w:pPr>
        <w:pStyle w:val="a6"/>
        <w:jc w:val="both"/>
        <w:rPr>
          <w:rFonts w:ascii="細明朝体" w:eastAsia="細明朝体"/>
        </w:rPr>
        <w:sectPr w:rsidR="00AD6162" w:rsidSect="00CE50AF">
          <w:footnotePr>
            <w:numRestart w:val="eachPage"/>
          </w:footnotePr>
          <w:endnotePr>
            <w:numFmt w:val="decimal"/>
          </w:endnotePr>
          <w:type w:val="continuous"/>
          <w:pgSz w:w="11900" w:h="16840" w:code="9"/>
          <w:pgMar w:top="1701" w:right="1134" w:bottom="1418" w:left="1134" w:header="0" w:footer="0" w:gutter="0"/>
          <w:cols w:space="540"/>
          <w:docGrid w:linePitch="244"/>
        </w:sectPr>
      </w:pPr>
    </w:p>
    <w:p w14:paraId="477F916E" w14:textId="77777777" w:rsidR="00640AA0" w:rsidRDefault="00640AA0" w:rsidP="00640AA0">
      <w:pPr>
        <w:pBdr>
          <w:top w:val="nil"/>
          <w:left w:val="nil"/>
          <w:bottom w:val="nil"/>
          <w:right w:val="nil"/>
          <w:between w:val="nil"/>
        </w:pBdr>
        <w:rPr>
          <w:b/>
        </w:rPr>
      </w:pPr>
      <w:r>
        <w:rPr>
          <w:b/>
          <w:color w:val="000000"/>
          <w:szCs w:val="21"/>
        </w:rPr>
        <w:t>1.はじめに</w:t>
      </w:r>
    </w:p>
    <w:p w14:paraId="03FB0640" w14:textId="77777777" w:rsidR="00640AA0" w:rsidRDefault="00640AA0" w:rsidP="00640AA0">
      <w:r>
        <w:t>2019年以降国土交通省の土地総合情報システム上で公示地価の鑑定評価書のダウンロードが可能になって以来、大森・熊越[1]のように鑑定評価書のテキストマイニングを地価分析に応用した研究が登場し始めている。しかし鑑定評価書の文章データを特徴量とし、数的処理を行っているものは少ない。本研究ではオルタナティブデータである文章データを、文脈を考慮するSentence-BERTを用いてベクトル化し、駅との距離や地域経済的な量的変数と組み合わせ、変動率を教師データとする人手によらないラベル付与を経て、機械学習による法則性の発見の対象とすることで、従来の構造化データのみの分析では捉えることが難しい不動産への期待形成の実際などをモデルに組み込むことを目指し、予測精度と地理的な汎化性能の向上を図る。</w:t>
      </w:r>
    </w:p>
    <w:p w14:paraId="502B7E32" w14:textId="77777777" w:rsidR="00640AA0" w:rsidRDefault="00640AA0" w:rsidP="00640AA0">
      <w:pPr>
        <w:pBdr>
          <w:top w:val="nil"/>
          <w:left w:val="nil"/>
          <w:bottom w:val="nil"/>
          <w:right w:val="nil"/>
          <w:between w:val="nil"/>
        </w:pBdr>
        <w:rPr>
          <w:b/>
          <w:color w:val="000000"/>
        </w:rPr>
      </w:pPr>
      <w:r>
        <w:rPr>
          <w:b/>
          <w:color w:val="000000"/>
          <w:szCs w:val="21"/>
        </w:rPr>
        <w:t>2.</w:t>
      </w:r>
      <w:r>
        <w:rPr>
          <w:b/>
        </w:rPr>
        <w:t>検証</w:t>
      </w:r>
      <w:r>
        <w:rPr>
          <w:b/>
          <w:color w:val="000000"/>
          <w:szCs w:val="21"/>
        </w:rPr>
        <w:t>アプローチ</w:t>
      </w:r>
    </w:p>
    <w:p w14:paraId="06F1DAEF" w14:textId="1AB05933" w:rsidR="00640AA0" w:rsidRDefault="00640AA0" w:rsidP="00640AA0">
      <w:r>
        <w:t>大都市圏の地価変動に焦点を当て、予測を行う。</w:t>
      </w:r>
    </w:p>
    <w:p w14:paraId="0C607A8B" w14:textId="07A04B31" w:rsidR="00E276D9" w:rsidRPr="00E276D9" w:rsidRDefault="0042290A" w:rsidP="00640AA0">
      <w:pPr>
        <w:pStyle w:val="a5"/>
      </w:pPr>
      <w:r>
        <w:rPr>
          <w:noProof/>
        </w:rPr>
        <w:drawing>
          <wp:anchor distT="0" distB="0" distL="0" distR="0" simplePos="0" relativeHeight="251657728" behindDoc="0" locked="0" layoutInCell="1" allowOverlap="1" wp14:anchorId="003A22BB" wp14:editId="377B134D">
            <wp:simplePos x="0" y="0"/>
            <wp:positionH relativeFrom="column">
              <wp:posOffset>3288030</wp:posOffset>
            </wp:positionH>
            <wp:positionV relativeFrom="paragraph">
              <wp:posOffset>1405890</wp:posOffset>
            </wp:positionV>
            <wp:extent cx="2827020" cy="2454910"/>
            <wp:effectExtent l="0" t="0" r="0" b="0"/>
            <wp:wrapSquare wrapText="bothSides"/>
            <wp:docPr id="14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2454910"/>
                    </a:xfrm>
                    <a:prstGeom prst="rect">
                      <a:avLst/>
                    </a:prstGeom>
                    <a:noFill/>
                  </pic:spPr>
                </pic:pic>
              </a:graphicData>
            </a:graphic>
            <wp14:sizeRelH relativeFrom="page">
              <wp14:pctWidth>0</wp14:pctWidth>
            </wp14:sizeRelH>
            <wp14:sizeRelV relativeFrom="page">
              <wp14:pctHeight>0</wp14:pctHeight>
            </wp14:sizeRelV>
          </wp:anchor>
        </w:drawing>
      </w:r>
      <w:r w:rsidR="00640AA0">
        <w:t>訓練・検証データは2019年1月1日時点(地価公示は毎年1月1日を基準にしている。)の東京都全域の公示地価鑑定評価書で地点数は宅地見込地、林地を除いた2555地点、鑑定評価数は5110サンプル(公示地価は1地点につき2つの鑑定評価を持つため)。検証データは20%でホールドアウト法を用いる。</w:t>
      </w:r>
      <w:r w:rsidR="00E276D9">
        <w:rPr>
          <w:rFonts w:hint="eastAsia"/>
        </w:rPr>
        <w:t>テストデータは、東京都のデータのままでは評価地点の地理的な要因や鑑定評価テキストが大きく変化しないため、大阪府全域の2022年1月1日時点の宅地見込地、林地を除いた1711地点、3422サンプルの鑑定評価書を用いる。コロナの影響が強い2020年、2021年の鑑定評価書はそのイレギュラーさゆえ除外した。公示地価の当期から来期にかけての変動率、（つまり2019年データであれば、2020年、2022年データであれば2023年にかけての変動率）を目的変数とする。</w:t>
      </w:r>
      <w:r w:rsidR="00E276D9">
        <w:t>データの入手における指針として、当期以前に入手できるデータに限った。例えば、後述する市区町村別生産年齢人口については2020年調査分データを変数としたいところだが、それが公開されるのが2022年7月であり、2022年3月の地価公示より後のため、使用しない。このように、実際的な予測のため、情報公開のラグを考慮した。</w:t>
      </w:r>
      <w:r>
        <w:rPr>
          <w:noProof/>
        </w:rPr>
        <mc:AlternateContent>
          <mc:Choice Requires="wps">
            <w:drawing>
              <wp:anchor distT="0" distB="0" distL="114300" distR="114300" simplePos="0" relativeHeight="251656704" behindDoc="0" locked="0" layoutInCell="0" allowOverlap="1" wp14:anchorId="3D027E69" wp14:editId="15095355">
                <wp:simplePos x="0" y="0"/>
                <wp:positionH relativeFrom="column">
                  <wp:posOffset>-10795</wp:posOffset>
                </wp:positionH>
                <wp:positionV relativeFrom="page">
                  <wp:posOffset>9258300</wp:posOffset>
                </wp:positionV>
                <wp:extent cx="2933700" cy="0"/>
                <wp:effectExtent l="0" t="0" r="0" b="0"/>
                <wp:wrapTopAndBottom/>
                <wp:docPr id="1292898389" name="Lin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A6DB51" id="Line 14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85pt,729pt" to="230.15pt,7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" o:allowincell="f">
                <w10:wrap type="topAndBottom" anchory="page"/>
              </v:line>
            </w:pict>
          </mc:Fallback>
        </mc:AlternateContent>
      </w:r>
    </w:p>
    <w:p w14:paraId="6845514B" w14:textId="606E8E93" w:rsidR="00640AA0" w:rsidRPr="00E276D9" w:rsidRDefault="00640AA0" w:rsidP="00640AA0">
      <w:pPr>
        <w:pStyle w:val="a5"/>
        <w:rPr>
          <w:rFonts w:ascii="Times New Roman" w:hAnsi="Times New Roman"/>
          <w:sz w:val="18"/>
          <w:szCs w:val="18"/>
        </w:rPr>
      </w:pPr>
      <w:r w:rsidRPr="00E276D9">
        <w:rPr>
          <w:rFonts w:ascii="Times New Roman" w:hAnsi="Times New Roman"/>
          <w:sz w:val="18"/>
          <w:szCs w:val="18"/>
        </w:rPr>
        <w:t>Prediction about Land Prices by Machine Learning Using Text-Based Feature Vectors</w:t>
      </w:r>
    </w:p>
    <w:p w14:paraId="72846107" w14:textId="511B3162" w:rsidR="00640AA0" w:rsidRPr="00BA6405" w:rsidRDefault="00640AA0" w:rsidP="00640AA0">
      <w:pPr>
        <w:pStyle w:val="a4"/>
        <w:rPr>
          <w:rFonts w:eastAsia="DengXian"/>
          <w:lang w:val="de-DE"/>
        </w:rPr>
      </w:pPr>
      <w:r w:rsidRPr="00BA6405">
        <w:rPr>
          <w:lang w:val="de-DE"/>
        </w:rPr>
        <w:t>†</w:t>
      </w:r>
      <w:r w:rsidRPr="00BA6405">
        <w:rPr>
          <w:rFonts w:hint="eastAsia"/>
          <w:lang w:val="de-DE"/>
        </w:rPr>
        <w:t>Shunsei</w:t>
      </w:r>
      <w:r w:rsidR="00E276D9" w:rsidRPr="00BA6405">
        <w:rPr>
          <w:lang w:val="de-DE"/>
        </w:rPr>
        <w:t xml:space="preserve"> Nakagawa</w:t>
      </w:r>
      <w:r w:rsidRPr="00BA6405">
        <w:rPr>
          <w:lang w:val="de-DE"/>
        </w:rPr>
        <w:t>, Nihon University</w:t>
      </w:r>
    </w:p>
    <w:p w14:paraId="6A52D293" w14:textId="53A07E22" w:rsidR="00640AA0" w:rsidRPr="00BA6405" w:rsidRDefault="00640AA0" w:rsidP="00640AA0">
      <w:pPr>
        <w:pStyle w:val="a4"/>
        <w:rPr>
          <w:rFonts w:eastAsia="DengXian"/>
          <w:lang w:val="de-DE"/>
        </w:rPr>
      </w:pPr>
      <w:r w:rsidRPr="00BA6405">
        <w:rPr>
          <w:lang w:val="de-DE"/>
        </w:rPr>
        <w:t>‡</w:t>
      </w:r>
      <w:r w:rsidR="00E276D9" w:rsidRPr="00BA6405">
        <w:rPr>
          <w:lang w:val="de-DE"/>
        </w:rPr>
        <w:t>Akira Otsuki, Nihon University</w:t>
      </w:r>
    </w:p>
    <w:p w14:paraId="1BAD5B88" w14:textId="482C3CBA" w:rsidR="00AD6162" w:rsidRPr="00BA6405" w:rsidRDefault="00AD6162">
      <w:pPr>
        <w:pStyle w:val="a5"/>
        <w:rPr>
          <w:lang w:val="de-DE"/>
        </w:rPr>
      </w:pPr>
    </w:p>
    <w:p w14:paraId="3B90F3FB" w14:textId="1D8B5D99" w:rsidR="00E276D9" w:rsidRDefault="00E276D9">
      <w:pPr>
        <w:pStyle w:val="a5"/>
      </w:pPr>
      <w:r>
        <w:rPr>
          <w:rFonts w:hAnsi="ＭＳ 明朝" w:cs="ＭＳ 明朝"/>
          <w:color w:val="000000"/>
          <w:szCs w:val="21"/>
        </w:rPr>
        <w:t>市区町村単位</w:t>
      </w:r>
      <w:r>
        <w:t>での説明変数は課税対象所得の変動率と市区町村別の</w:t>
      </w:r>
      <w:r>
        <w:rPr>
          <w:rFonts w:hAnsi="ＭＳ 明朝" w:cs="ＭＳ 明朝"/>
          <w:color w:val="000000"/>
          <w:szCs w:val="21"/>
        </w:rPr>
        <w:t>1㎡あたり生産</w:t>
      </w:r>
      <w:r>
        <w:t>年齢</w:t>
      </w:r>
      <w:r>
        <w:rPr>
          <w:rFonts w:hAnsi="ＭＳ 明朝" w:cs="ＭＳ 明朝"/>
          <w:color w:val="000000"/>
          <w:szCs w:val="21"/>
        </w:rPr>
        <w:t>人口</w:t>
      </w:r>
      <w:r>
        <w:t>とする。上記の指針のもと市区町村別の課税対象所得についての統計は2016～2017年、2019～2020年調査分のものを用いた。市区町村別の1㎡あたり生産年齢人口においても上記の指針のもと5年おきに行われる国勢調査の2020年分でなく2015年調査分の人口統計を用い、その市区町村の面積で除した。どちらもe-Statより取得。評価</w:t>
      </w:r>
      <w:r>
        <w:rPr>
          <w:rFonts w:hAnsi="ＭＳ 明朝" w:cs="ＭＳ 明朝"/>
          <w:color w:val="000000"/>
          <w:szCs w:val="21"/>
        </w:rPr>
        <w:t>地点単位においては最寄り駅との距離、都道府県で最も乗降人数の多い駅との距離の二つと、本研究の特徴である、ベクトル化されたテキストも変数とする。ここでの</w:t>
      </w:r>
      <w:r>
        <w:t>文章</w:t>
      </w:r>
      <w:r>
        <w:rPr>
          <w:rFonts w:hAnsi="ＭＳ 明朝" w:cs="ＭＳ 明朝"/>
          <w:color w:val="000000"/>
          <w:szCs w:val="21"/>
        </w:rPr>
        <w:t>データは鑑定評価書の</w:t>
      </w:r>
      <w:r>
        <w:t>「</w:t>
      </w:r>
      <w:r>
        <w:rPr>
          <w:rFonts w:hAnsi="ＭＳ 明朝" w:cs="ＭＳ 明朝"/>
          <w:color w:val="000000"/>
          <w:szCs w:val="21"/>
        </w:rPr>
        <w:t>地域要因の将来予測</w:t>
      </w:r>
      <w:r>
        <w:t>」</w:t>
      </w:r>
      <w:r>
        <w:rPr>
          <w:rFonts w:hAnsi="ＭＳ 明朝" w:cs="ＭＳ 明朝"/>
          <w:color w:val="000000"/>
          <w:szCs w:val="21"/>
        </w:rPr>
        <w:t>・</w:t>
      </w:r>
      <w:r>
        <w:t>「</w:t>
      </w:r>
      <w:r>
        <w:rPr>
          <w:rFonts w:hAnsi="ＭＳ 明朝" w:cs="ＭＳ 明朝"/>
          <w:color w:val="000000"/>
          <w:szCs w:val="21"/>
        </w:rPr>
        <w:t>市場の特性</w:t>
      </w:r>
      <w:r>
        <w:t>」</w:t>
      </w:r>
      <w:r>
        <w:rPr>
          <w:rFonts w:hAnsi="ＭＳ 明朝" w:cs="ＭＳ 明朝"/>
          <w:color w:val="000000"/>
          <w:szCs w:val="21"/>
        </w:rPr>
        <w:t>・</w:t>
      </w:r>
      <w:r>
        <w:t>「</w:t>
      </w:r>
      <w:r>
        <w:rPr>
          <w:rFonts w:hAnsi="ＭＳ 明朝" w:cs="ＭＳ 明朝"/>
          <w:color w:val="000000"/>
          <w:szCs w:val="21"/>
        </w:rPr>
        <w:t>一般的要因</w:t>
      </w:r>
      <w:r>
        <w:t>」</w:t>
      </w:r>
      <w:r>
        <w:rPr>
          <w:rFonts w:hAnsi="ＭＳ 明朝" w:cs="ＭＳ 明朝"/>
          <w:color w:val="000000"/>
          <w:szCs w:val="21"/>
        </w:rPr>
        <w:t>・</w:t>
      </w:r>
      <w:r>
        <w:t>「</w:t>
      </w:r>
      <w:r>
        <w:rPr>
          <w:rFonts w:hAnsi="ＭＳ 明朝" w:cs="ＭＳ 明朝"/>
          <w:color w:val="000000"/>
          <w:szCs w:val="21"/>
        </w:rPr>
        <w:t>地域的要因</w:t>
      </w:r>
      <w:r>
        <w:t>」</w:t>
      </w:r>
      <w:r>
        <w:rPr>
          <w:rFonts w:hAnsi="ＭＳ 明朝" w:cs="ＭＳ 明朝"/>
          <w:color w:val="000000"/>
          <w:szCs w:val="21"/>
        </w:rPr>
        <w:t>の4つの欄のテキストを使用する。ベクトル化の手法については、ま</w:t>
      </w:r>
      <w:r>
        <w:t>ず</w:t>
      </w:r>
      <w:r>
        <w:rPr>
          <w:rFonts w:hAnsi="ＭＳ 明朝" w:cs="ＭＳ 明朝"/>
          <w:color w:val="000000"/>
          <w:szCs w:val="21"/>
        </w:rPr>
        <w:t>Sentence-BERTで</w:t>
      </w:r>
      <w:r>
        <w:t>それぞれの</w:t>
      </w:r>
      <w:r>
        <w:rPr>
          <w:rFonts w:hAnsi="ＭＳ 明朝" w:cs="ＭＳ 明朝"/>
          <w:color w:val="000000"/>
          <w:szCs w:val="21"/>
        </w:rPr>
        <w:t>テキストを768次元のベクトルにする。</w:t>
      </w:r>
      <w:r>
        <w:t>園部勲氏が作成しHugging FaceとQiitaで情報公開されている</w:t>
      </w:r>
      <w:r>
        <w:rPr>
          <w:rFonts w:hAnsi="ＭＳ 明朝" w:cs="ＭＳ 明朝"/>
          <w:color w:val="000000"/>
          <w:szCs w:val="21"/>
        </w:rPr>
        <w:t>日本語</w:t>
      </w:r>
      <w:r>
        <w:t>用Sentence-BERT</w:t>
      </w:r>
      <w:r>
        <w:rPr>
          <w:rFonts w:hAnsi="ＭＳ 明朝" w:cs="ＭＳ 明朝"/>
          <w:color w:val="000000"/>
          <w:szCs w:val="21"/>
        </w:rPr>
        <w:t>モデル[2</w:t>
      </w:r>
      <w:r>
        <w:t>]</w:t>
      </w:r>
      <w:r>
        <w:rPr>
          <w:rFonts w:hAnsi="ＭＳ 明朝" w:cs="ＭＳ 明朝"/>
          <w:color w:val="000000"/>
          <w:szCs w:val="21"/>
        </w:rPr>
        <w:t>を用いた。バッチサイズは51</w:t>
      </w:r>
      <w:r>
        <w:t>2でベクトル化を行う</w:t>
      </w:r>
      <w:r>
        <w:rPr>
          <w:rFonts w:hAnsi="ＭＳ 明朝" w:cs="ＭＳ 明朝"/>
          <w:color w:val="000000"/>
          <w:szCs w:val="21"/>
        </w:rPr>
        <w:t>。だがこのままでは次元数が</w:t>
      </w:r>
      <w:r>
        <w:t>過大にな</w:t>
      </w:r>
      <w:r>
        <w:rPr>
          <w:rFonts w:hAnsi="ＭＳ 明朝" w:cs="ＭＳ 明朝"/>
          <w:color w:val="000000"/>
          <w:szCs w:val="21"/>
        </w:rPr>
        <w:t>るため、t-SNEによって3次元に縮約する。例として「地域要因の将来予測」欄</w:t>
      </w:r>
      <w:r>
        <w:t>のテキスト</w:t>
      </w:r>
      <w:r>
        <w:rPr>
          <w:rFonts w:hAnsi="ＭＳ 明朝" w:cs="ＭＳ 明朝"/>
          <w:color w:val="000000"/>
          <w:szCs w:val="21"/>
        </w:rPr>
        <w:t>をプロットする(</w:t>
      </w:r>
      <w:r>
        <w:t>図1</w:t>
      </w:r>
      <w:r>
        <w:rPr>
          <w:rFonts w:hAnsi="ＭＳ 明朝" w:cs="ＭＳ 明朝"/>
          <w:color w:val="000000"/>
          <w:szCs w:val="21"/>
        </w:rPr>
        <w:t>)。</w:t>
      </w:r>
    </w:p>
    <w:p w14:paraId="6EE9E235" w14:textId="405185AD" w:rsidR="00E276D9" w:rsidRDefault="00E276D9" w:rsidP="00E276D9">
      <w:pPr>
        <w:pBdr>
          <w:top w:val="nil"/>
          <w:left w:val="nil"/>
          <w:bottom w:val="nil"/>
          <w:right w:val="nil"/>
          <w:between w:val="nil"/>
        </w:pBdr>
      </w:pPr>
      <w:r>
        <w:t>図1 「地域要因の将来予測」3次元特徴量</w:t>
      </w:r>
    </w:p>
    <w:p w14:paraId="149D7101" w14:textId="16131E6E" w:rsidR="00DC3303" w:rsidRDefault="00DC3303" w:rsidP="00DC3303">
      <w:pPr>
        <w:pBdr>
          <w:top w:val="nil"/>
          <w:left w:val="nil"/>
          <w:bottom w:val="nil"/>
          <w:right w:val="nil"/>
          <w:between w:val="nil"/>
        </w:pBdr>
        <w:rPr>
          <w:rFonts w:hint="eastAsia"/>
          <w:color w:val="000000"/>
        </w:rPr>
      </w:pPr>
      <w:r>
        <w:rPr>
          <w:rFonts w:hAnsi="ＭＳ 明朝" w:cs="ＭＳ 明朝"/>
          <w:color w:val="000000"/>
          <w:szCs w:val="21"/>
        </w:rPr>
        <w:t>色は、目的変数である</w:t>
      </w:r>
      <w:r>
        <w:t>来期</w:t>
      </w:r>
      <w:r w:rsidR="00B45DA8">
        <w:rPr>
          <w:rFonts w:hint="eastAsia"/>
        </w:rPr>
        <w:t>にかけての</w:t>
      </w:r>
      <w:r>
        <w:rPr>
          <w:rFonts w:hAnsi="ＭＳ 明朝" w:cs="ＭＳ 明朝"/>
          <w:color w:val="000000"/>
          <w:szCs w:val="21"/>
        </w:rPr>
        <w:t>変動率</w:t>
      </w:r>
      <w:r>
        <w:t>を表し</w:t>
      </w:r>
      <w:r>
        <w:rPr>
          <w:rFonts w:hAnsi="ＭＳ 明朝" w:cs="ＭＳ 明朝"/>
          <w:color w:val="000000"/>
          <w:szCs w:val="21"/>
        </w:rPr>
        <w:t>、赤くなるほど</w:t>
      </w:r>
      <w:r>
        <w:t>来期の</w:t>
      </w:r>
      <w:r>
        <w:rPr>
          <w:rFonts w:hAnsi="ＭＳ 明朝" w:cs="ＭＳ 明朝"/>
          <w:color w:val="000000"/>
          <w:szCs w:val="21"/>
        </w:rPr>
        <w:t>上昇率が高く、青いほど下降率が高くなる。右奥に赤い点が集中しており、左手前になるほど</w:t>
      </w:r>
      <w:r>
        <w:t>濃い</w:t>
      </w:r>
      <w:r>
        <w:rPr>
          <w:rFonts w:hAnsi="ＭＳ 明朝" w:cs="ＭＳ 明朝"/>
          <w:color w:val="000000"/>
          <w:szCs w:val="21"/>
        </w:rPr>
        <w:t>青</w:t>
      </w:r>
      <w:r>
        <w:t>の</w:t>
      </w:r>
      <w:r>
        <w:rPr>
          <w:rFonts w:hAnsi="ＭＳ 明朝" w:cs="ＭＳ 明朝"/>
          <w:color w:val="000000"/>
          <w:szCs w:val="21"/>
        </w:rPr>
        <w:t>点が多くなっている</w:t>
      </w:r>
      <w:r>
        <w:t>などクラスターを形成していると</w:t>
      </w:r>
      <w:r>
        <w:rPr>
          <w:rFonts w:hAnsi="ＭＳ 明朝" w:cs="ＭＳ 明朝"/>
          <w:color w:val="000000"/>
          <w:szCs w:val="21"/>
        </w:rPr>
        <w:t>見受</w:t>
      </w:r>
      <w:r>
        <w:rPr>
          <w:rFonts w:hAnsi="ＭＳ 明朝" w:cs="ＭＳ 明朝"/>
          <w:color w:val="000000"/>
          <w:szCs w:val="21"/>
        </w:rPr>
        <w:lastRenderedPageBreak/>
        <w:t>けられる</w:t>
      </w:r>
      <w:r>
        <w:t>が、</w:t>
      </w:r>
      <w:r>
        <w:rPr>
          <w:rFonts w:hAnsi="ＭＳ 明朝" w:cs="ＭＳ 明朝"/>
          <w:color w:val="000000"/>
          <w:szCs w:val="21"/>
        </w:rPr>
        <w:t>右奥にある赤い点には、減少をあらわす青い点も重なっていて、</w:t>
      </w:r>
      <w:r>
        <w:t>特徴量としての</w:t>
      </w:r>
      <w:r>
        <w:rPr>
          <w:rFonts w:hAnsi="ＭＳ 明朝" w:cs="ＭＳ 明朝"/>
          <w:color w:val="000000"/>
          <w:szCs w:val="21"/>
        </w:rPr>
        <w:t>懸念点ともいえる。</w:t>
      </w:r>
      <w:r>
        <w:t>文章データは</w:t>
      </w:r>
      <w:r>
        <w:rPr>
          <w:rFonts w:hAnsi="ＭＳ 明朝" w:cs="ＭＳ 明朝"/>
          <w:color w:val="000000"/>
          <w:szCs w:val="21"/>
        </w:rPr>
        <w:t>計4</w:t>
      </w:r>
      <w:r>
        <w:t>(欄)</w:t>
      </w:r>
      <w:r>
        <w:rPr>
          <w:rFonts w:hAnsi="ＭＳ 明朝" w:cs="ＭＳ 明朝"/>
          <w:color w:val="000000"/>
          <w:szCs w:val="21"/>
        </w:rPr>
        <w:t>×3</w:t>
      </w:r>
      <w:r>
        <w:t>(次元)</w:t>
      </w:r>
      <w:r>
        <w:rPr>
          <w:rFonts w:hAnsi="ＭＳ 明朝" w:cs="ＭＳ 明朝"/>
          <w:color w:val="000000"/>
          <w:szCs w:val="21"/>
        </w:rPr>
        <w:t>で12</w:t>
      </w:r>
      <w:r>
        <w:t>個</w:t>
      </w:r>
      <w:r>
        <w:rPr>
          <w:rFonts w:hAnsi="ＭＳ 明朝" w:cs="ＭＳ 明朝"/>
          <w:color w:val="000000"/>
          <w:szCs w:val="21"/>
        </w:rPr>
        <w:t>の特徴量、説明変数</w:t>
      </w:r>
      <w:r>
        <w:t>となり、上記の量的変数と合わせて16個の変数で回帰タスクを行う。</w:t>
      </w:r>
      <w:r>
        <w:rPr>
          <w:rFonts w:hAnsi="ＭＳ 明朝" w:cs="ＭＳ 明朝"/>
          <w:color w:val="000000"/>
          <w:szCs w:val="21"/>
        </w:rPr>
        <w:t>分析手法としてはXGBoost、LightGBMといった勾配ブースティング法、またランダムフォレスト</w:t>
      </w:r>
      <w:r>
        <w:t>法を</w:t>
      </w:r>
      <w:r>
        <w:rPr>
          <w:rFonts w:hAnsi="ＭＳ 明朝" w:cs="ＭＳ 明朝"/>
          <w:color w:val="000000"/>
          <w:szCs w:val="21"/>
        </w:rPr>
        <w:t>用いる。それらの損失関数はRMSE、評価</w:t>
      </w:r>
      <w:r>
        <w:t>指標</w:t>
      </w:r>
      <w:r>
        <w:rPr>
          <w:rFonts w:hAnsi="ＭＳ 明朝" w:cs="ＭＳ 明朝"/>
          <w:color w:val="000000"/>
          <w:szCs w:val="21"/>
        </w:rPr>
        <w:t>はMAE、RMSE、</w:t>
      </w:r>
      <w:r>
        <w:t>決定係数</w:t>
      </w:r>
      <w:r>
        <w:rPr>
          <w:rFonts w:hAnsi="ＭＳ 明朝" w:cs="ＭＳ 明朝"/>
          <w:color w:val="000000"/>
          <w:szCs w:val="21"/>
        </w:rPr>
        <w:t>とする。</w:t>
      </w:r>
      <w:r>
        <w:t>比較検証のため</w:t>
      </w:r>
      <w:r w:rsidR="00DB3991">
        <w:rPr>
          <w:rFonts w:hint="eastAsia"/>
        </w:rPr>
        <w:t>文章</w:t>
      </w:r>
      <w:r>
        <w:t>データを使用する分析（a）と</w:t>
      </w:r>
      <w:r w:rsidR="00DB3991">
        <w:rPr>
          <w:rFonts w:hint="eastAsia"/>
        </w:rPr>
        <w:t>文章</w:t>
      </w:r>
      <w:r>
        <w:t>データを使用しない分析(b)を実施する。</w:t>
      </w:r>
      <w:r w:rsidR="00B955CE">
        <w:rPr>
          <w:rFonts w:hint="eastAsia"/>
        </w:rPr>
        <w:t>また</w:t>
      </w:r>
      <w:r w:rsidR="005C6E15">
        <w:rPr>
          <w:rFonts w:hint="eastAsia"/>
        </w:rPr>
        <w:t>川崎</w:t>
      </w:r>
      <w:r w:rsidR="00B955CE">
        <w:rPr>
          <w:rFonts w:hint="eastAsia"/>
        </w:rPr>
        <w:t>氏と</w:t>
      </w:r>
      <w:r w:rsidR="00B955CE" w:rsidRPr="00B955CE">
        <w:rPr>
          <w:rFonts w:hint="eastAsia"/>
        </w:rPr>
        <w:t>瞿</w:t>
      </w:r>
      <w:r w:rsidR="00B955CE">
        <w:rPr>
          <w:rFonts w:hint="eastAsia"/>
        </w:rPr>
        <w:t>氏のベクトル化手法での結果も併記する</w:t>
      </w:r>
    </w:p>
    <w:p w14:paraId="7704E603" w14:textId="77777777" w:rsidR="00DC3303" w:rsidRPr="0042077C" w:rsidRDefault="00DC3303" w:rsidP="00DC3303">
      <w:pPr>
        <w:pBdr>
          <w:top w:val="nil"/>
          <w:left w:val="nil"/>
          <w:bottom w:val="nil"/>
          <w:right w:val="nil"/>
          <w:between w:val="nil"/>
        </w:pBdr>
        <w:rPr>
          <w:rFonts w:hAnsi="ＭＳ 明朝"/>
          <w:b/>
          <w:color w:val="000000"/>
        </w:rPr>
      </w:pPr>
      <w:r w:rsidRPr="0042077C">
        <w:rPr>
          <w:rFonts w:hAnsi="ＭＳ 明朝" w:cs="Gungsuh"/>
          <w:b/>
          <w:color w:val="000000"/>
          <w:szCs w:val="21"/>
        </w:rPr>
        <w:t>3.結果</w:t>
      </w:r>
    </w:p>
    <w:p w14:paraId="11F8F934" w14:textId="77777777" w:rsidR="00DC3303" w:rsidRDefault="00DC3303" w:rsidP="00235B82">
      <w:pPr>
        <w:pBdr>
          <w:top w:val="nil"/>
          <w:left w:val="nil"/>
          <w:bottom w:val="nil"/>
          <w:right w:val="nil"/>
          <w:between w:val="nil"/>
        </w:pBdr>
        <w:ind w:firstLineChars="1000" w:firstLine="2100"/>
      </w:pPr>
      <w:r>
        <w:t>表1</w:t>
      </w:r>
    </w:p>
    <w:tbl>
      <w:tblPr>
        <w:tblW w:w="4620" w:type="dxa"/>
        <w:tblBorders>
          <w:top w:val="nil"/>
          <w:left w:val="nil"/>
          <w:bottom w:val="nil"/>
          <w:right w:val="nil"/>
          <w:insideH w:val="nil"/>
          <w:insideV w:val="nil"/>
        </w:tblBorders>
        <w:tblLayout w:type="fixed"/>
        <w:tblLook w:val="0600" w:firstRow="0" w:lastRow="0" w:firstColumn="0" w:lastColumn="0" w:noHBand="1" w:noVBand="1"/>
      </w:tblPr>
      <w:tblGrid>
        <w:gridCol w:w="1305"/>
        <w:gridCol w:w="1105"/>
        <w:gridCol w:w="1105"/>
        <w:gridCol w:w="1105"/>
      </w:tblGrid>
      <w:tr w:rsidR="00DC3303" w14:paraId="454BD8E9" w14:textId="77777777" w:rsidTr="00AA3CFF">
        <w:trPr>
          <w:trHeight w:val="315"/>
        </w:trPr>
        <w:tc>
          <w:tcPr>
            <w:tcW w:w="13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177CF9F6" w14:textId="77777777" w:rsidR="00DC3303" w:rsidRPr="00DC3303" w:rsidRDefault="00DC3303" w:rsidP="000E37DC">
            <w:pPr>
              <w:spacing w:line="276" w:lineRule="auto"/>
              <w:jc w:val="left"/>
              <w:rPr>
                <w:rFonts w:ascii="Times New Roman" w:eastAsia="Arial"/>
                <w:sz w:val="18"/>
                <w:szCs w:val="18"/>
              </w:rPr>
            </w:pPr>
            <w:r w:rsidRPr="00DC3303">
              <w:rPr>
                <w:rFonts w:ascii="Times New Roman" w:eastAsia="ＭＳ Ｐ明朝"/>
                <w:sz w:val="18"/>
                <w:szCs w:val="18"/>
              </w:rPr>
              <w:t>手法</w:t>
            </w:r>
          </w:p>
        </w:tc>
        <w:tc>
          <w:tcPr>
            <w:tcW w:w="11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308E2371" w14:textId="77777777" w:rsidR="00DC3303" w:rsidRPr="00DC3303" w:rsidRDefault="00DC3303" w:rsidP="000E37DC">
            <w:pPr>
              <w:spacing w:line="276" w:lineRule="auto"/>
              <w:jc w:val="left"/>
              <w:rPr>
                <w:rFonts w:ascii="Times New Roman" w:eastAsia="Arial"/>
                <w:sz w:val="18"/>
                <w:szCs w:val="18"/>
              </w:rPr>
            </w:pPr>
            <w:r w:rsidRPr="00DC3303">
              <w:rPr>
                <w:rFonts w:ascii="Times New Roman" w:eastAsia="ＭＳ Ｐ明朝"/>
                <w:sz w:val="18"/>
                <w:szCs w:val="18"/>
              </w:rPr>
              <w:t>MAE</w:t>
            </w:r>
          </w:p>
        </w:tc>
        <w:tc>
          <w:tcPr>
            <w:tcW w:w="11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57F26E0E" w14:textId="77777777" w:rsidR="00DC3303" w:rsidRPr="00DC3303" w:rsidRDefault="00DC3303" w:rsidP="000E37DC">
            <w:pPr>
              <w:spacing w:line="276" w:lineRule="auto"/>
              <w:jc w:val="left"/>
              <w:rPr>
                <w:rFonts w:ascii="Times New Roman" w:eastAsia="Arial"/>
                <w:sz w:val="18"/>
                <w:szCs w:val="18"/>
              </w:rPr>
            </w:pPr>
            <w:r w:rsidRPr="00DC3303">
              <w:rPr>
                <w:rFonts w:ascii="Times New Roman" w:eastAsia="ＭＳ Ｐ明朝"/>
                <w:sz w:val="18"/>
                <w:szCs w:val="18"/>
              </w:rPr>
              <w:t>RMSE</w:t>
            </w:r>
          </w:p>
        </w:tc>
        <w:tc>
          <w:tcPr>
            <w:tcW w:w="110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bottom"/>
          </w:tcPr>
          <w:p w14:paraId="0A74FE48" w14:textId="77777777" w:rsidR="00DC3303" w:rsidRPr="00DC3303" w:rsidRDefault="00DC3303" w:rsidP="000E37DC">
            <w:pPr>
              <w:spacing w:line="276" w:lineRule="auto"/>
              <w:jc w:val="left"/>
              <w:rPr>
                <w:rFonts w:ascii="Times New Roman"/>
                <w:sz w:val="18"/>
                <w:szCs w:val="18"/>
              </w:rPr>
            </w:pPr>
            <w:r w:rsidRPr="00DC3303">
              <w:rPr>
                <w:rFonts w:ascii="Times New Roman"/>
                <w:sz w:val="18"/>
                <w:szCs w:val="18"/>
              </w:rPr>
              <w:t>決定係数</w:t>
            </w:r>
          </w:p>
        </w:tc>
      </w:tr>
      <w:tr w:rsidR="00DC3303" w14:paraId="13B9436A" w14:textId="77777777" w:rsidTr="00AA3CFF">
        <w:trPr>
          <w:trHeight w:val="315"/>
        </w:trPr>
        <w:tc>
          <w:tcPr>
            <w:tcW w:w="13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09CD4ACC" w14:textId="77777777" w:rsidR="00DC3303" w:rsidRPr="00DC3303" w:rsidRDefault="00DC3303" w:rsidP="000E37DC">
            <w:pPr>
              <w:spacing w:line="276" w:lineRule="auto"/>
              <w:jc w:val="left"/>
              <w:rPr>
                <w:rFonts w:ascii="Times New Roman" w:eastAsia="Arial"/>
                <w:sz w:val="18"/>
                <w:szCs w:val="18"/>
              </w:rPr>
            </w:pPr>
            <w:r w:rsidRPr="00DC3303">
              <w:rPr>
                <w:rFonts w:ascii="Times New Roman" w:eastAsia="ＭＳ Ｐ明朝"/>
                <w:sz w:val="18"/>
                <w:szCs w:val="18"/>
              </w:rPr>
              <w:t>XGBoost(1-a)</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23BB3A05"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2.8409</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60AD9759"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3.4918</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7E9420BF"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-2.0304</w:t>
            </w:r>
          </w:p>
        </w:tc>
      </w:tr>
      <w:tr w:rsidR="00DC3303" w14:paraId="33D49AB6" w14:textId="77777777" w:rsidTr="00AA3CFF">
        <w:trPr>
          <w:trHeight w:val="315"/>
        </w:trPr>
        <w:tc>
          <w:tcPr>
            <w:tcW w:w="1305" w:type="dxa"/>
            <w:tcBorders>
              <w:top w:val="single" w:sz="6" w:space="0" w:color="CCCCCC"/>
              <w:left w:val="single" w:sz="4" w:space="0" w:color="auto"/>
              <w:bottom w:val="single" w:sz="4" w:space="0" w:color="auto"/>
              <w:right w:val="single" w:sz="4" w:space="0" w:color="auto"/>
            </w:tcBorders>
            <w:tcMar>
              <w:top w:w="40" w:type="dxa"/>
              <w:left w:w="40" w:type="dxa"/>
              <w:bottom w:w="40" w:type="dxa"/>
              <w:right w:w="40" w:type="dxa"/>
            </w:tcMar>
            <w:vAlign w:val="bottom"/>
          </w:tcPr>
          <w:p w14:paraId="455BEF15" w14:textId="77777777" w:rsidR="00DC3303" w:rsidRPr="00DC3303" w:rsidRDefault="00DC3303" w:rsidP="000E37DC">
            <w:pPr>
              <w:spacing w:line="276" w:lineRule="auto"/>
              <w:jc w:val="left"/>
              <w:rPr>
                <w:rFonts w:ascii="Times New Roman" w:eastAsia="Arial"/>
                <w:sz w:val="18"/>
                <w:szCs w:val="18"/>
              </w:rPr>
            </w:pPr>
            <w:r w:rsidRPr="00DC3303">
              <w:rPr>
                <w:rFonts w:ascii="Times New Roman" w:eastAsia="ＭＳ Ｐ明朝"/>
                <w:sz w:val="18"/>
                <w:szCs w:val="18"/>
              </w:rPr>
              <w:t>XGBoost(1-b)</w:t>
            </w:r>
          </w:p>
        </w:tc>
        <w:tc>
          <w:tcPr>
            <w:tcW w:w="1105" w:type="dxa"/>
            <w:tcBorders>
              <w:top w:val="single" w:sz="6" w:space="0" w:color="CCCCCC"/>
              <w:left w:val="single" w:sz="4" w:space="0" w:color="auto"/>
              <w:bottom w:val="single" w:sz="4" w:space="0" w:color="auto"/>
              <w:right w:val="single" w:sz="4" w:space="0" w:color="auto"/>
            </w:tcBorders>
            <w:tcMar>
              <w:top w:w="40" w:type="dxa"/>
              <w:left w:w="40" w:type="dxa"/>
              <w:bottom w:w="40" w:type="dxa"/>
              <w:right w:w="40" w:type="dxa"/>
            </w:tcMar>
            <w:vAlign w:val="bottom"/>
          </w:tcPr>
          <w:p w14:paraId="72EFCD98"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2.7319</w:t>
            </w:r>
          </w:p>
        </w:tc>
        <w:tc>
          <w:tcPr>
            <w:tcW w:w="1105" w:type="dxa"/>
            <w:tcBorders>
              <w:top w:val="single" w:sz="6" w:space="0" w:color="CCCCCC"/>
              <w:left w:val="single" w:sz="4" w:space="0" w:color="auto"/>
              <w:bottom w:val="single" w:sz="4" w:space="0" w:color="auto"/>
              <w:right w:val="single" w:sz="4" w:space="0" w:color="auto"/>
            </w:tcBorders>
            <w:tcMar>
              <w:top w:w="40" w:type="dxa"/>
              <w:left w:w="40" w:type="dxa"/>
              <w:bottom w:w="40" w:type="dxa"/>
              <w:right w:w="40" w:type="dxa"/>
            </w:tcMar>
            <w:vAlign w:val="bottom"/>
          </w:tcPr>
          <w:p w14:paraId="74AF3FAB"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3.4244</w:t>
            </w:r>
          </w:p>
        </w:tc>
        <w:tc>
          <w:tcPr>
            <w:tcW w:w="1105" w:type="dxa"/>
            <w:tcBorders>
              <w:top w:val="single" w:sz="6" w:space="0" w:color="CCCCCC"/>
              <w:left w:val="single" w:sz="4" w:space="0" w:color="auto"/>
              <w:bottom w:val="single" w:sz="4" w:space="0" w:color="auto"/>
              <w:right w:val="single" w:sz="4" w:space="0" w:color="auto"/>
            </w:tcBorders>
            <w:tcMar>
              <w:top w:w="40" w:type="dxa"/>
              <w:left w:w="40" w:type="dxa"/>
              <w:bottom w:w="40" w:type="dxa"/>
              <w:right w:w="40" w:type="dxa"/>
            </w:tcMar>
            <w:vAlign w:val="bottom"/>
          </w:tcPr>
          <w:p w14:paraId="022A8247"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-1.9145</w:t>
            </w:r>
          </w:p>
        </w:tc>
      </w:tr>
      <w:tr w:rsidR="00DC3303" w14:paraId="2923EE00" w14:textId="77777777" w:rsidTr="00AA3CFF">
        <w:trPr>
          <w:trHeight w:val="315"/>
        </w:trPr>
        <w:tc>
          <w:tcPr>
            <w:tcW w:w="13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7E400571" w14:textId="77777777" w:rsidR="00DC3303" w:rsidRPr="00DC3303" w:rsidRDefault="00DC3303" w:rsidP="000E37DC">
            <w:pPr>
              <w:spacing w:line="276" w:lineRule="auto"/>
              <w:jc w:val="left"/>
              <w:rPr>
                <w:rFonts w:ascii="Times New Roman" w:eastAsia="Arial"/>
                <w:sz w:val="16"/>
                <w:szCs w:val="16"/>
              </w:rPr>
            </w:pPr>
            <w:r w:rsidRPr="00DC3303">
              <w:rPr>
                <w:rFonts w:ascii="Times New Roman" w:eastAsia="ＭＳ Ｐ明朝"/>
                <w:sz w:val="16"/>
                <w:szCs w:val="16"/>
              </w:rPr>
              <w:t>LightGBM(2-a)</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791DC246"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2.659</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05B2EBF2"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b/>
                <w:sz w:val="18"/>
                <w:szCs w:val="18"/>
              </w:rPr>
              <w:t>3.3137</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3C1267C6"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b/>
                <w:sz w:val="18"/>
                <w:szCs w:val="18"/>
              </w:rPr>
              <w:t>-1.7291</w:t>
            </w:r>
          </w:p>
        </w:tc>
      </w:tr>
      <w:tr w:rsidR="00DC3303" w14:paraId="0C90DC00" w14:textId="77777777" w:rsidTr="00AA3CFF">
        <w:trPr>
          <w:trHeight w:val="315"/>
        </w:trPr>
        <w:tc>
          <w:tcPr>
            <w:tcW w:w="1305" w:type="dxa"/>
            <w:tcBorders>
              <w:top w:val="single" w:sz="6" w:space="0" w:color="CCCCCC"/>
              <w:left w:val="single" w:sz="4" w:space="0" w:color="auto"/>
              <w:bottom w:val="single" w:sz="4" w:space="0" w:color="auto"/>
              <w:right w:val="single" w:sz="4" w:space="0" w:color="auto"/>
            </w:tcBorders>
            <w:tcMar>
              <w:top w:w="40" w:type="dxa"/>
              <w:left w:w="40" w:type="dxa"/>
              <w:bottom w:w="40" w:type="dxa"/>
              <w:right w:w="40" w:type="dxa"/>
            </w:tcMar>
            <w:vAlign w:val="bottom"/>
          </w:tcPr>
          <w:p w14:paraId="626E2C06" w14:textId="77777777" w:rsidR="00DC3303" w:rsidRPr="00DC3303" w:rsidRDefault="00DC3303" w:rsidP="000E37DC">
            <w:pPr>
              <w:spacing w:line="276" w:lineRule="auto"/>
              <w:jc w:val="left"/>
              <w:rPr>
                <w:rFonts w:ascii="Times New Roman" w:eastAsia="Arial"/>
                <w:sz w:val="18"/>
                <w:szCs w:val="18"/>
              </w:rPr>
            </w:pPr>
            <w:r w:rsidRPr="00DC3303">
              <w:rPr>
                <w:rFonts w:ascii="Times New Roman" w:eastAsia="ＭＳ Ｐ明朝"/>
                <w:sz w:val="18"/>
                <w:szCs w:val="18"/>
              </w:rPr>
              <w:t>LightGBM(2-b)</w:t>
            </w:r>
          </w:p>
        </w:tc>
        <w:tc>
          <w:tcPr>
            <w:tcW w:w="1105" w:type="dxa"/>
            <w:tcBorders>
              <w:top w:val="single" w:sz="6" w:space="0" w:color="CCCCCC"/>
              <w:left w:val="single" w:sz="4" w:space="0" w:color="auto"/>
              <w:bottom w:val="single" w:sz="4" w:space="0" w:color="auto"/>
              <w:right w:val="single" w:sz="4" w:space="0" w:color="auto"/>
            </w:tcBorders>
            <w:tcMar>
              <w:top w:w="40" w:type="dxa"/>
              <w:left w:w="40" w:type="dxa"/>
              <w:bottom w:w="40" w:type="dxa"/>
              <w:right w:w="40" w:type="dxa"/>
            </w:tcMar>
            <w:vAlign w:val="bottom"/>
          </w:tcPr>
          <w:p w14:paraId="379BBA99"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2.5453</w:t>
            </w:r>
          </w:p>
        </w:tc>
        <w:tc>
          <w:tcPr>
            <w:tcW w:w="1105" w:type="dxa"/>
            <w:tcBorders>
              <w:top w:val="single" w:sz="6" w:space="0" w:color="CCCCCC"/>
              <w:left w:val="single" w:sz="4" w:space="0" w:color="auto"/>
              <w:bottom w:val="single" w:sz="4" w:space="0" w:color="auto"/>
              <w:right w:val="single" w:sz="4" w:space="0" w:color="auto"/>
            </w:tcBorders>
            <w:tcMar>
              <w:top w:w="40" w:type="dxa"/>
              <w:left w:w="40" w:type="dxa"/>
              <w:bottom w:w="40" w:type="dxa"/>
              <w:right w:w="40" w:type="dxa"/>
            </w:tcMar>
            <w:vAlign w:val="bottom"/>
          </w:tcPr>
          <w:p w14:paraId="6C523FF1"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3.3716</w:t>
            </w:r>
          </w:p>
        </w:tc>
        <w:tc>
          <w:tcPr>
            <w:tcW w:w="1105" w:type="dxa"/>
            <w:tcBorders>
              <w:top w:val="single" w:sz="6" w:space="0" w:color="CCCCCC"/>
              <w:left w:val="single" w:sz="4" w:space="0" w:color="auto"/>
              <w:bottom w:val="single" w:sz="4" w:space="0" w:color="auto"/>
              <w:right w:val="single" w:sz="4" w:space="0" w:color="auto"/>
            </w:tcBorders>
            <w:tcMar>
              <w:top w:w="40" w:type="dxa"/>
              <w:left w:w="40" w:type="dxa"/>
              <w:bottom w:w="40" w:type="dxa"/>
              <w:right w:w="40" w:type="dxa"/>
            </w:tcMar>
            <w:vAlign w:val="bottom"/>
          </w:tcPr>
          <w:p w14:paraId="2A6C01E1"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-1.8253</w:t>
            </w:r>
          </w:p>
        </w:tc>
      </w:tr>
      <w:tr w:rsidR="00DC3303" w14:paraId="0844B33A" w14:textId="77777777" w:rsidTr="00AA3CFF">
        <w:trPr>
          <w:trHeight w:val="450"/>
        </w:trPr>
        <w:tc>
          <w:tcPr>
            <w:tcW w:w="13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2C549583" w14:textId="3A188196" w:rsidR="00DC3303" w:rsidRPr="00DC3303" w:rsidRDefault="00AA3CFF" w:rsidP="000E37DC">
            <w:pPr>
              <w:spacing w:line="276" w:lineRule="auto"/>
              <w:jc w:val="left"/>
              <w:rPr>
                <w:rFonts w:ascii="Times New Roman" w:eastAsia="Arial"/>
                <w:sz w:val="18"/>
                <w:szCs w:val="18"/>
              </w:rPr>
            </w:pPr>
            <w:r w:rsidRPr="00DC3303">
              <w:rPr>
                <w:rFonts w:ascii="Times New Roman" w:eastAsia="ＭＳ Ｐ明朝"/>
                <w:sz w:val="18"/>
                <w:szCs w:val="18"/>
              </w:rPr>
              <w:t>Random Forest(3-a)</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43F88E31"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2.8109</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3173D235"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b/>
                <w:sz w:val="18"/>
                <w:szCs w:val="18"/>
              </w:rPr>
              <w:t>3.4852</w:t>
            </w:r>
          </w:p>
        </w:tc>
        <w:tc>
          <w:tcPr>
            <w:tcW w:w="1105" w:type="dxa"/>
            <w:tcBorders>
              <w:top w:val="single" w:sz="4" w:space="0" w:color="auto"/>
              <w:left w:val="single" w:sz="4" w:space="0" w:color="auto"/>
              <w:bottom w:val="single" w:sz="6" w:space="0" w:color="CCCCCC"/>
              <w:right w:val="single" w:sz="4" w:space="0" w:color="auto"/>
            </w:tcBorders>
            <w:tcMar>
              <w:top w:w="40" w:type="dxa"/>
              <w:left w:w="40" w:type="dxa"/>
              <w:bottom w:w="40" w:type="dxa"/>
              <w:right w:w="40" w:type="dxa"/>
            </w:tcMar>
            <w:vAlign w:val="bottom"/>
          </w:tcPr>
          <w:p w14:paraId="4353FE04"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b/>
                <w:sz w:val="18"/>
                <w:szCs w:val="18"/>
              </w:rPr>
              <w:t>-2.019</w:t>
            </w:r>
          </w:p>
        </w:tc>
      </w:tr>
      <w:tr w:rsidR="00DC3303" w14:paraId="10AD6805" w14:textId="77777777" w:rsidTr="00AA3CFF">
        <w:trPr>
          <w:trHeight w:val="450"/>
        </w:trPr>
        <w:tc>
          <w:tcPr>
            <w:tcW w:w="13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4E9C6E65" w14:textId="77777777" w:rsidR="00DC3303" w:rsidRPr="00DC3303" w:rsidRDefault="00DC3303" w:rsidP="000E37DC">
            <w:pPr>
              <w:spacing w:line="276" w:lineRule="auto"/>
              <w:jc w:val="left"/>
              <w:rPr>
                <w:rFonts w:ascii="Times New Roman" w:eastAsia="Arial"/>
                <w:sz w:val="18"/>
                <w:szCs w:val="18"/>
              </w:rPr>
            </w:pPr>
            <w:r w:rsidRPr="00DC3303">
              <w:rPr>
                <w:rFonts w:ascii="Times New Roman" w:eastAsia="ＭＳ Ｐ明朝"/>
                <w:sz w:val="18"/>
                <w:szCs w:val="18"/>
              </w:rPr>
              <w:t>Random Forest(3-b)</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6243E69D"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2.7688</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61F311A4"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3.5625</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44F89D0A" w14:textId="77777777" w:rsidR="00DC3303" w:rsidRPr="00DC3303" w:rsidRDefault="00DC3303" w:rsidP="000E37DC">
            <w:pPr>
              <w:spacing w:line="276" w:lineRule="auto"/>
              <w:jc w:val="right"/>
              <w:rPr>
                <w:rFonts w:ascii="Times New Roman" w:eastAsia="Arial"/>
                <w:sz w:val="18"/>
                <w:szCs w:val="18"/>
              </w:rPr>
            </w:pPr>
            <w:r w:rsidRPr="00DC3303">
              <w:rPr>
                <w:rFonts w:ascii="Times New Roman" w:eastAsia="ＭＳ Ｐ明朝"/>
                <w:sz w:val="18"/>
                <w:szCs w:val="18"/>
              </w:rPr>
              <w:t>-2.1542</w:t>
            </w:r>
          </w:p>
        </w:tc>
      </w:tr>
      <w:tr w:rsidR="00AA3CFF" w14:paraId="3DF7C7D6" w14:textId="77777777" w:rsidTr="00AA3CFF">
        <w:trPr>
          <w:trHeight w:val="450"/>
        </w:trPr>
        <w:tc>
          <w:tcPr>
            <w:tcW w:w="13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15920927" w14:textId="4393826B" w:rsidR="00AA3CFF" w:rsidRPr="00DC3303" w:rsidRDefault="00AA3CFF" w:rsidP="000E37DC">
            <w:pPr>
              <w:spacing w:line="276" w:lineRule="auto"/>
              <w:jc w:val="left"/>
              <w:rPr>
                <w:rFonts w:ascii="Times New Roman" w:eastAsia="ＭＳ Ｐ明朝"/>
                <w:sz w:val="18"/>
                <w:szCs w:val="18"/>
              </w:rPr>
            </w:pPr>
            <w:r w:rsidRPr="00AA3CFF">
              <w:rPr>
                <w:rFonts w:ascii="Times New Roman" w:eastAsia="ＭＳ Ｐ明朝"/>
                <w:sz w:val="18"/>
                <w:szCs w:val="18"/>
              </w:rPr>
              <w:t>Random Forest(</w:t>
            </w:r>
            <w:r w:rsidR="005C6E15">
              <w:rPr>
                <w:rFonts w:ascii="Times New Roman" w:eastAsia="ＭＳ Ｐ明朝" w:hint="eastAsia"/>
                <w:sz w:val="18"/>
                <w:szCs w:val="18"/>
              </w:rPr>
              <w:t>kawa</w:t>
            </w:r>
            <w:r w:rsidRPr="00AA3CFF">
              <w:rPr>
                <w:rFonts w:ascii="Times New Roman" w:eastAsia="ＭＳ Ｐ明朝"/>
                <w:sz w:val="18"/>
                <w:szCs w:val="18"/>
              </w:rPr>
              <w:t>)</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1E75D105" w14:textId="448E69B5" w:rsidR="00AA3CFF" w:rsidRPr="00DC3303" w:rsidRDefault="00AA3CFF" w:rsidP="000E37DC">
            <w:pPr>
              <w:spacing w:line="276" w:lineRule="auto"/>
              <w:jc w:val="right"/>
              <w:rPr>
                <w:rFonts w:ascii="Times New Roman" w:eastAsia="ＭＳ Ｐ明朝" w:hint="eastAsia"/>
                <w:sz w:val="18"/>
                <w:szCs w:val="18"/>
              </w:rPr>
            </w:pPr>
            <w:r>
              <w:rPr>
                <w:rFonts w:ascii="Times New Roman" w:eastAsia="ＭＳ Ｐ明朝" w:hint="eastAsia"/>
                <w:sz w:val="18"/>
                <w:szCs w:val="18"/>
              </w:rPr>
              <w:t>2.9423</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28E07AF8" w14:textId="451C3F81" w:rsidR="00AA3CFF" w:rsidRPr="00DC3303" w:rsidRDefault="00AA3CFF" w:rsidP="000E37DC">
            <w:pPr>
              <w:spacing w:line="276" w:lineRule="auto"/>
              <w:jc w:val="right"/>
              <w:rPr>
                <w:rFonts w:ascii="Times New Roman" w:eastAsia="ＭＳ Ｐ明朝" w:hint="eastAsia"/>
                <w:sz w:val="18"/>
                <w:szCs w:val="18"/>
              </w:rPr>
            </w:pPr>
            <w:r>
              <w:rPr>
                <w:rFonts w:ascii="Times New Roman" w:eastAsia="ＭＳ Ｐ明朝" w:hint="eastAsia"/>
                <w:sz w:val="18"/>
                <w:szCs w:val="18"/>
              </w:rPr>
              <w:t>3.9</w:t>
            </w:r>
            <w:r w:rsidR="00B955CE">
              <w:rPr>
                <w:rFonts w:ascii="Times New Roman" w:eastAsia="ＭＳ Ｐ明朝" w:hint="eastAsia"/>
                <w:sz w:val="18"/>
                <w:szCs w:val="18"/>
              </w:rPr>
              <w:t>324</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46DA40E1" w14:textId="236564FA" w:rsidR="00AA3CFF" w:rsidRPr="00DC3303" w:rsidRDefault="00B955CE" w:rsidP="000E37DC">
            <w:pPr>
              <w:spacing w:line="276" w:lineRule="auto"/>
              <w:jc w:val="right"/>
              <w:rPr>
                <w:rFonts w:ascii="Times New Roman" w:eastAsia="ＭＳ Ｐ明朝" w:hint="eastAsia"/>
                <w:sz w:val="18"/>
                <w:szCs w:val="18"/>
              </w:rPr>
            </w:pPr>
            <w:r>
              <w:rPr>
                <w:rFonts w:ascii="Times New Roman" w:eastAsia="ＭＳ Ｐ明朝" w:hint="eastAsia"/>
                <w:sz w:val="18"/>
                <w:szCs w:val="18"/>
              </w:rPr>
              <w:t>-2.1581</w:t>
            </w:r>
          </w:p>
        </w:tc>
      </w:tr>
      <w:tr w:rsidR="00AA3CFF" w14:paraId="7C5BB12E" w14:textId="77777777" w:rsidTr="00AA3CFF">
        <w:trPr>
          <w:trHeight w:val="450"/>
        </w:trPr>
        <w:tc>
          <w:tcPr>
            <w:tcW w:w="13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65BA3D3F" w14:textId="54CFB83E" w:rsidR="00AA3CFF" w:rsidRPr="00DC3303" w:rsidRDefault="00AA3CFF" w:rsidP="000E37DC">
            <w:pPr>
              <w:spacing w:line="276" w:lineRule="auto"/>
              <w:jc w:val="left"/>
              <w:rPr>
                <w:rFonts w:ascii="Times New Roman" w:eastAsia="ＭＳ Ｐ明朝"/>
                <w:sz w:val="18"/>
                <w:szCs w:val="18"/>
              </w:rPr>
            </w:pPr>
            <w:r w:rsidRPr="00AA3CFF">
              <w:rPr>
                <w:rFonts w:ascii="Times New Roman" w:eastAsia="ＭＳ Ｐ明朝"/>
                <w:sz w:val="18"/>
                <w:szCs w:val="18"/>
              </w:rPr>
              <w:t>Random Forest(</w:t>
            </w:r>
            <w:r>
              <w:rPr>
                <w:rFonts w:ascii="Times New Roman" w:eastAsia="ＭＳ Ｐ明朝" w:hint="eastAsia"/>
                <w:sz w:val="18"/>
                <w:szCs w:val="18"/>
              </w:rPr>
              <w:t>ku</w:t>
            </w:r>
            <w:r w:rsidRPr="00AA3CFF">
              <w:rPr>
                <w:rFonts w:ascii="Times New Roman" w:eastAsia="ＭＳ Ｐ明朝"/>
                <w:sz w:val="18"/>
                <w:szCs w:val="18"/>
              </w:rPr>
              <w:t>)</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34CC984B" w14:textId="3922511B" w:rsidR="00AA3CFF" w:rsidRPr="00DC3303" w:rsidRDefault="00AA3CFF" w:rsidP="000E37DC">
            <w:pPr>
              <w:spacing w:line="276" w:lineRule="auto"/>
              <w:jc w:val="right"/>
              <w:rPr>
                <w:rFonts w:ascii="Times New Roman" w:eastAsia="ＭＳ Ｐ明朝" w:hint="eastAsia"/>
                <w:sz w:val="18"/>
                <w:szCs w:val="18"/>
              </w:rPr>
            </w:pPr>
            <w:r>
              <w:rPr>
                <w:rFonts w:ascii="Times New Roman" w:eastAsia="ＭＳ Ｐ明朝" w:hint="eastAsia"/>
                <w:sz w:val="18"/>
                <w:szCs w:val="18"/>
              </w:rPr>
              <w:t>2.8925</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27FB3922" w14:textId="469B90B9" w:rsidR="00AA3CFF" w:rsidRPr="00DC3303" w:rsidRDefault="00B955CE" w:rsidP="000E37DC">
            <w:pPr>
              <w:spacing w:line="276" w:lineRule="auto"/>
              <w:jc w:val="right"/>
              <w:rPr>
                <w:rFonts w:ascii="Times New Roman" w:eastAsia="ＭＳ Ｐ明朝" w:hint="eastAsia"/>
                <w:sz w:val="18"/>
                <w:szCs w:val="18"/>
              </w:rPr>
            </w:pPr>
            <w:r>
              <w:rPr>
                <w:rFonts w:ascii="Times New Roman" w:eastAsia="ＭＳ Ｐ明朝" w:hint="eastAsia"/>
                <w:sz w:val="18"/>
                <w:szCs w:val="18"/>
              </w:rPr>
              <w:t>3,5867</w:t>
            </w:r>
          </w:p>
        </w:tc>
        <w:tc>
          <w:tcPr>
            <w:tcW w:w="1105" w:type="dxa"/>
            <w:tcBorders>
              <w:top w:val="single" w:sz="6" w:space="0" w:color="CCCCCC"/>
              <w:left w:val="single" w:sz="4" w:space="0" w:color="auto"/>
              <w:bottom w:val="single" w:sz="6" w:space="0" w:color="CCCCCC"/>
              <w:right w:val="single" w:sz="4" w:space="0" w:color="auto"/>
            </w:tcBorders>
            <w:tcMar>
              <w:top w:w="40" w:type="dxa"/>
              <w:left w:w="40" w:type="dxa"/>
              <w:bottom w:w="40" w:type="dxa"/>
              <w:right w:w="40" w:type="dxa"/>
            </w:tcMar>
            <w:vAlign w:val="bottom"/>
          </w:tcPr>
          <w:p w14:paraId="6BCB968E" w14:textId="7B02DD8E" w:rsidR="00AA3CFF" w:rsidRPr="00DC3303" w:rsidRDefault="00B955CE" w:rsidP="000E37DC">
            <w:pPr>
              <w:spacing w:line="276" w:lineRule="auto"/>
              <w:jc w:val="right"/>
              <w:rPr>
                <w:rFonts w:ascii="Times New Roman" w:eastAsia="ＭＳ Ｐ明朝" w:hint="eastAsia"/>
                <w:sz w:val="18"/>
                <w:szCs w:val="18"/>
              </w:rPr>
            </w:pPr>
            <w:r>
              <w:rPr>
                <w:rFonts w:ascii="Times New Roman" w:eastAsia="ＭＳ Ｐ明朝" w:hint="eastAsia"/>
                <w:sz w:val="18"/>
                <w:szCs w:val="18"/>
              </w:rPr>
              <w:t>-2.2314</w:t>
            </w:r>
          </w:p>
        </w:tc>
      </w:tr>
    </w:tbl>
    <w:p w14:paraId="677C440F" w14:textId="77777777" w:rsidR="00DC3303" w:rsidRDefault="00DC3303" w:rsidP="00DC3303">
      <w:pPr>
        <w:pBdr>
          <w:top w:val="nil"/>
          <w:left w:val="nil"/>
          <w:bottom w:val="nil"/>
          <w:right w:val="nil"/>
          <w:between w:val="nil"/>
        </w:pBdr>
      </w:pPr>
    </w:p>
    <w:p w14:paraId="254BCECA" w14:textId="77777777" w:rsidR="00DC3303" w:rsidRDefault="00DC3303" w:rsidP="00235B82">
      <w:pPr>
        <w:pBdr>
          <w:top w:val="nil"/>
          <w:left w:val="nil"/>
          <w:bottom w:val="nil"/>
          <w:right w:val="nil"/>
          <w:between w:val="nil"/>
        </w:pBdr>
        <w:ind w:firstLineChars="950" w:firstLine="1995"/>
      </w:pPr>
      <w:r>
        <w:t>図2</w:t>
      </w:r>
    </w:p>
    <w:p w14:paraId="6848DEF7" w14:textId="3E2B7A1F" w:rsidR="00DC3303" w:rsidRDefault="00DC3303" w:rsidP="00DC3303">
      <w:pPr>
        <w:pBdr>
          <w:top w:val="nil"/>
          <w:left w:val="nil"/>
          <w:bottom w:val="nil"/>
          <w:right w:val="nil"/>
          <w:between w:val="nil"/>
        </w:pBdr>
      </w:pPr>
      <w:r>
        <w:t xml:space="preserve">       (2-a)                (2-b)</w:t>
      </w:r>
    </w:p>
    <w:p w14:paraId="4E9EA3CA" w14:textId="0A5236DE" w:rsidR="00DC3303" w:rsidRDefault="0042290A" w:rsidP="00DC3303">
      <w:pPr>
        <w:pBdr>
          <w:top w:val="nil"/>
          <w:left w:val="nil"/>
          <w:bottom w:val="nil"/>
          <w:right w:val="nil"/>
          <w:between w:val="nil"/>
        </w:pBdr>
      </w:pPr>
      <w:r>
        <w:rPr>
          <w:noProof/>
        </w:rPr>
        <w:drawing>
          <wp:inline distT="0" distB="0" distL="0" distR="0" wp14:anchorId="5651E7D8" wp14:editId="30AEC2AD">
            <wp:extent cx="1424940" cy="14554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4940" cy="1455420"/>
                    </a:xfrm>
                    <a:prstGeom prst="rect">
                      <a:avLst/>
                    </a:prstGeom>
                    <a:noFill/>
                    <a:ln>
                      <a:noFill/>
                    </a:ln>
                  </pic:spPr>
                </pic:pic>
              </a:graphicData>
            </a:graphic>
          </wp:inline>
        </w:drawing>
      </w:r>
      <w:r>
        <w:rPr>
          <w:noProof/>
        </w:rPr>
        <w:drawing>
          <wp:inline distT="0" distB="0" distL="0" distR="0" wp14:anchorId="0696FEC0" wp14:editId="327AEBA4">
            <wp:extent cx="1432560" cy="14478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2560" cy="1447800"/>
                    </a:xfrm>
                    <a:prstGeom prst="rect">
                      <a:avLst/>
                    </a:prstGeom>
                    <a:noFill/>
                    <a:ln>
                      <a:noFill/>
                    </a:ln>
                  </pic:spPr>
                </pic:pic>
              </a:graphicData>
            </a:graphic>
          </wp:inline>
        </w:drawing>
      </w:r>
    </w:p>
    <w:p w14:paraId="36FE521A" w14:textId="5F56D473" w:rsidR="00DC3303" w:rsidRDefault="00DC3303" w:rsidP="00DC3303">
      <w:pPr>
        <w:pBdr>
          <w:top w:val="nil"/>
          <w:left w:val="nil"/>
          <w:bottom w:val="nil"/>
          <w:right w:val="nil"/>
          <w:between w:val="nil"/>
        </w:pBdr>
      </w:pPr>
      <w:r>
        <w:rPr>
          <w:rFonts w:hAnsi="ＭＳ 明朝" w:cs="ＭＳ 明朝"/>
          <w:color w:val="000000"/>
          <w:szCs w:val="21"/>
        </w:rPr>
        <w:t>まずXGBoostでは</w:t>
      </w:r>
      <w:r>
        <w:t>全て</w:t>
      </w:r>
      <w:r>
        <w:rPr>
          <w:rFonts w:hAnsi="ＭＳ 明朝" w:cs="ＭＳ 明朝"/>
          <w:color w:val="000000"/>
          <w:szCs w:val="21"/>
        </w:rPr>
        <w:t>の指標が(</w:t>
      </w:r>
      <w:r>
        <w:t>a)</w:t>
      </w:r>
      <w:r>
        <w:rPr>
          <w:rFonts w:hAnsi="ＭＳ 明朝" w:cs="ＭＳ 明朝"/>
          <w:color w:val="000000"/>
          <w:szCs w:val="21"/>
        </w:rPr>
        <w:t>の方が悪かった。しかし、LightGBM</w:t>
      </w:r>
      <w:r>
        <w:t>とランダムフォレストではMAEは劣るもののR</w:t>
      </w:r>
      <w:r>
        <w:rPr>
          <w:rFonts w:hAnsi="ＭＳ 明朝" w:cs="ＭＳ 明朝"/>
          <w:color w:val="000000"/>
          <w:szCs w:val="21"/>
        </w:rPr>
        <w:t>MSE</w:t>
      </w:r>
      <w:r>
        <w:t>、決定係数</w:t>
      </w:r>
      <w:r>
        <w:rPr>
          <w:rFonts w:hAnsi="ＭＳ 明朝" w:cs="ＭＳ 明朝"/>
          <w:color w:val="000000"/>
          <w:szCs w:val="21"/>
        </w:rPr>
        <w:t>において(</w:t>
      </w:r>
      <w:r>
        <w:t>b)</w:t>
      </w:r>
      <w:r>
        <w:rPr>
          <w:rFonts w:hAnsi="ＭＳ 明朝" w:cs="ＭＳ 明朝"/>
          <w:color w:val="000000"/>
          <w:szCs w:val="21"/>
        </w:rPr>
        <w:t>を</w:t>
      </w:r>
      <w:r>
        <w:t>精度において凌いだ</w:t>
      </w:r>
      <w:r>
        <w:rPr>
          <w:rFonts w:hAnsi="ＭＳ 明朝" w:cs="ＭＳ 明朝"/>
          <w:color w:val="000000"/>
          <w:szCs w:val="21"/>
        </w:rPr>
        <w:t>。図</w:t>
      </w:r>
      <w:r>
        <w:t>2</w:t>
      </w:r>
      <w:r>
        <w:rPr>
          <w:rFonts w:hAnsi="ＭＳ 明朝" w:cs="ＭＳ 明朝"/>
          <w:color w:val="000000"/>
          <w:szCs w:val="21"/>
        </w:rPr>
        <w:t>はLightGBM</w:t>
      </w:r>
      <w:r>
        <w:t>において地点ごとの</w:t>
      </w:r>
      <w:r>
        <w:rPr>
          <w:rFonts w:hAnsi="ＭＳ 明朝" w:cs="ＭＳ 明朝"/>
          <w:color w:val="000000"/>
          <w:szCs w:val="21"/>
        </w:rPr>
        <w:t>MAEを</w:t>
      </w:r>
      <w:r>
        <w:t>正規化し、実際の地図に</w:t>
      </w:r>
      <w:r>
        <w:rPr>
          <w:rFonts w:hAnsi="ＭＳ 明朝" w:cs="ＭＳ 明朝"/>
          <w:color w:val="000000"/>
          <w:szCs w:val="21"/>
        </w:rPr>
        <w:t>プロットしたものだ。</w:t>
      </w:r>
      <w:r>
        <w:t>赤いほど、精度</w:t>
      </w:r>
      <w:r w:rsidR="00DB3991">
        <w:rPr>
          <w:rFonts w:hint="eastAsia"/>
        </w:rPr>
        <w:t>の悪化を示す</w:t>
      </w:r>
      <w:r>
        <w:t>。</w:t>
      </w:r>
      <w:r>
        <w:rPr>
          <w:rFonts w:hAnsi="ＭＳ 明朝" w:cs="ＭＳ 明朝"/>
          <w:color w:val="000000"/>
          <w:szCs w:val="21"/>
        </w:rPr>
        <w:t>(</w:t>
      </w:r>
      <w:r>
        <w:t>b)は(a)を大阪都心部やその北部における精度で凌いでいるものの大阪市南部、東大阪市西部、守口市、門真市にかけての住宅地域、ベ</w:t>
      </w:r>
      <w:r>
        <w:t xml:space="preserve">ッドタウンにおいては精度が著しく悪くなっている。このような(b)の局所的な精度の大幅悪化という点で、(a)は優位に立ち、それがRMSEにも現れているのではないか。図3は変数ごとのSHAP特徴量重要度(LightGBMにおける実行結果)である。Aは「地域要因の将来予測」、Bは「市場の特性」、Cは「一般的要因」、Dは「地域要因」である。それらは別個の変数として扱われている3次元x,y,z成分の重要度を加算して算出した。　　　　　　　　　</w:t>
      </w:r>
    </w:p>
    <w:p w14:paraId="55A0817E" w14:textId="77777777" w:rsidR="00DC3303" w:rsidRDefault="00DC3303" w:rsidP="00235B82">
      <w:pPr>
        <w:pBdr>
          <w:top w:val="nil"/>
          <w:left w:val="nil"/>
          <w:bottom w:val="nil"/>
          <w:right w:val="nil"/>
          <w:between w:val="nil"/>
        </w:pBdr>
        <w:ind w:firstLineChars="1050" w:firstLine="2205"/>
      </w:pPr>
      <w:r>
        <w:t>図3</w:t>
      </w:r>
    </w:p>
    <w:p w14:paraId="099494A5" w14:textId="054DF1BF" w:rsidR="00DC3303" w:rsidRDefault="0042290A" w:rsidP="00DC3303">
      <w:pPr>
        <w:pBdr>
          <w:top w:val="nil"/>
          <w:left w:val="nil"/>
          <w:bottom w:val="nil"/>
          <w:right w:val="nil"/>
          <w:between w:val="nil"/>
        </w:pBdr>
      </w:pPr>
      <w:r>
        <w:rPr>
          <w:noProof/>
        </w:rPr>
        <w:drawing>
          <wp:inline distT="0" distB="0" distL="0" distR="0" wp14:anchorId="4678C804" wp14:editId="2B713E97">
            <wp:extent cx="2933700" cy="108204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3700" cy="1082040"/>
                    </a:xfrm>
                    <a:prstGeom prst="rect">
                      <a:avLst/>
                    </a:prstGeom>
                    <a:noFill/>
                    <a:ln>
                      <a:noFill/>
                    </a:ln>
                  </pic:spPr>
                </pic:pic>
              </a:graphicData>
            </a:graphic>
          </wp:inline>
        </w:drawing>
      </w:r>
    </w:p>
    <w:p w14:paraId="29BB5CF1" w14:textId="40637E92" w:rsidR="00DC3303" w:rsidRPr="00235B82" w:rsidRDefault="00DC3303" w:rsidP="00DC3303">
      <w:pPr>
        <w:pBdr>
          <w:top w:val="nil"/>
          <w:left w:val="nil"/>
          <w:bottom w:val="nil"/>
          <w:right w:val="nil"/>
          <w:between w:val="nil"/>
        </w:pBdr>
        <w:rPr>
          <w:color w:val="000000"/>
        </w:rPr>
      </w:pPr>
      <w:r>
        <w:rPr>
          <w:rFonts w:hAnsi="ＭＳ 明朝" w:cs="ＭＳ 明朝"/>
          <w:color w:val="000000"/>
          <w:szCs w:val="21"/>
        </w:rPr>
        <w:t>「市場の特性」における記述の</w:t>
      </w:r>
      <w:r>
        <w:t>重要</w:t>
      </w:r>
      <w:r>
        <w:rPr>
          <w:rFonts w:hAnsi="ＭＳ 明朝" w:cs="ＭＳ 明朝"/>
          <w:color w:val="000000"/>
          <w:szCs w:val="21"/>
        </w:rPr>
        <w:t>度が高いことが読み取</w:t>
      </w:r>
      <w:r w:rsidR="00235B82">
        <w:rPr>
          <w:rFonts w:hAnsi="ＭＳ 明朝" w:cs="ＭＳ 明朝" w:hint="eastAsia"/>
          <w:color w:val="000000"/>
          <w:szCs w:val="21"/>
        </w:rPr>
        <w:t>れる。</w:t>
      </w:r>
      <w:r>
        <w:rPr>
          <w:rFonts w:hAnsi="ＭＳ 明朝" w:cs="ＭＳ 明朝"/>
          <w:color w:val="000000"/>
          <w:szCs w:val="21"/>
        </w:rPr>
        <w:t>一方</w:t>
      </w:r>
      <w:r w:rsidR="00B45DA8">
        <w:rPr>
          <w:rFonts w:hAnsi="ＭＳ 明朝" w:cs="ＭＳ 明朝" w:hint="eastAsia"/>
          <w:color w:val="000000"/>
          <w:szCs w:val="21"/>
        </w:rPr>
        <w:t>、</w:t>
      </w:r>
      <w:r>
        <w:t>地点間で文章に</w:t>
      </w:r>
      <w:r>
        <w:rPr>
          <w:rFonts w:hAnsi="ＭＳ 明朝" w:cs="ＭＳ 明朝"/>
          <w:color w:val="000000"/>
          <w:szCs w:val="21"/>
        </w:rPr>
        <w:t>差が出にくいであろう</w:t>
      </w:r>
      <w:r>
        <w:t>「</w:t>
      </w:r>
      <w:r>
        <w:rPr>
          <w:rFonts w:hAnsi="ＭＳ 明朝" w:cs="ＭＳ 明朝"/>
          <w:color w:val="000000"/>
          <w:szCs w:val="21"/>
        </w:rPr>
        <w:t>一般的要因</w:t>
      </w:r>
      <w:r>
        <w:t>」</w:t>
      </w:r>
      <w:r>
        <w:rPr>
          <w:rFonts w:hAnsi="ＭＳ 明朝" w:cs="ＭＳ 明朝"/>
          <w:color w:val="000000"/>
          <w:szCs w:val="21"/>
        </w:rPr>
        <w:t>の重要度は</w:t>
      </w:r>
      <w:r>
        <w:t>4つ</w:t>
      </w:r>
      <w:r>
        <w:rPr>
          <w:rFonts w:hAnsi="ＭＳ 明朝" w:cs="ＭＳ 明朝"/>
          <w:color w:val="000000"/>
          <w:szCs w:val="21"/>
        </w:rPr>
        <w:t>の中で</w:t>
      </w:r>
      <w:r>
        <w:t>最も</w:t>
      </w:r>
      <w:r>
        <w:rPr>
          <w:rFonts w:hAnsi="ＭＳ 明朝" w:cs="ＭＳ 明朝"/>
          <w:color w:val="000000"/>
          <w:szCs w:val="21"/>
        </w:rPr>
        <w:t>低くなった。また</w:t>
      </w:r>
      <w:r>
        <w:t>「地域要因の将来予測」と「地域要因」</w:t>
      </w:r>
      <w:r>
        <w:rPr>
          <w:rFonts w:hAnsi="ＭＳ 明朝" w:cs="ＭＳ 明朝"/>
          <w:color w:val="000000"/>
          <w:szCs w:val="21"/>
        </w:rPr>
        <w:t>が僅差で並んでいることには、どちらとも地域要因について述べたものであり、そ</w:t>
      </w:r>
      <w:r>
        <w:t>の類似性が重要度</w:t>
      </w:r>
      <w:r>
        <w:rPr>
          <w:rFonts w:hAnsi="ＭＳ 明朝" w:cs="ＭＳ 明朝"/>
          <w:color w:val="000000"/>
          <w:szCs w:val="21"/>
        </w:rPr>
        <w:t>としても現れているといえる。</w:t>
      </w:r>
    </w:p>
    <w:p w14:paraId="13E943EC" w14:textId="77777777" w:rsidR="00DC3303" w:rsidRDefault="00DC3303" w:rsidP="00DC3303">
      <w:pPr>
        <w:pBdr>
          <w:top w:val="nil"/>
          <w:left w:val="nil"/>
          <w:bottom w:val="nil"/>
          <w:right w:val="nil"/>
          <w:between w:val="nil"/>
        </w:pBdr>
        <w:rPr>
          <w:b/>
          <w:color w:val="000000"/>
        </w:rPr>
      </w:pPr>
      <w:r>
        <w:rPr>
          <w:b/>
          <w:color w:val="000000"/>
          <w:szCs w:val="21"/>
        </w:rPr>
        <w:t>4.おわりに</w:t>
      </w:r>
    </w:p>
    <w:p w14:paraId="768AB04F" w14:textId="7866F927" w:rsidR="00DC3303" w:rsidRPr="00B955CE" w:rsidRDefault="00DC3303" w:rsidP="00DC3303">
      <w:pPr>
        <w:pBdr>
          <w:top w:val="nil"/>
          <w:left w:val="nil"/>
          <w:bottom w:val="nil"/>
          <w:right w:val="nil"/>
          <w:between w:val="nil"/>
        </w:pBdr>
        <w:rPr>
          <w:rFonts w:hint="eastAsia"/>
          <w:color w:val="000000"/>
        </w:rPr>
      </w:pPr>
      <w:r>
        <w:rPr>
          <w:rFonts w:hAnsi="ＭＳ 明朝" w:cs="ＭＳ 明朝"/>
          <w:color w:val="000000"/>
          <w:szCs w:val="21"/>
        </w:rPr>
        <w:t>マクロ経済</w:t>
      </w:r>
      <w:r>
        <w:t>の</w:t>
      </w:r>
      <w:r>
        <w:rPr>
          <w:rFonts w:hAnsi="ＭＳ 明朝" w:cs="ＭＳ 明朝"/>
          <w:color w:val="000000"/>
          <w:szCs w:val="21"/>
        </w:rPr>
        <w:t>各地域</w:t>
      </w:r>
      <w:r>
        <w:t>への</w:t>
      </w:r>
      <w:r>
        <w:rPr>
          <w:rFonts w:hAnsi="ＭＳ 明朝" w:cs="ＭＳ 明朝"/>
          <w:color w:val="000000"/>
          <w:szCs w:val="21"/>
        </w:rPr>
        <w:t>波及を</w:t>
      </w:r>
      <w:r>
        <w:t>あらわす</w:t>
      </w:r>
      <w:r>
        <w:rPr>
          <w:rFonts w:hAnsi="ＭＳ 明朝" w:cs="ＭＳ 明朝"/>
          <w:color w:val="000000"/>
          <w:szCs w:val="21"/>
        </w:rPr>
        <w:t>特徴量</w:t>
      </w:r>
      <w:r>
        <w:t>を</w:t>
      </w:r>
      <w:r>
        <w:rPr>
          <w:rFonts w:hAnsi="ＭＳ 明朝" w:cs="ＭＳ 明朝"/>
          <w:color w:val="000000"/>
          <w:szCs w:val="21"/>
        </w:rPr>
        <w:t>組み込むないしは、機械学習とは別に、VARなどの自己回帰モデルでマクロ経済</w:t>
      </w:r>
      <w:r>
        <w:t>変数</w:t>
      </w:r>
      <w:r>
        <w:rPr>
          <w:rFonts w:hAnsi="ＭＳ 明朝" w:cs="ＭＳ 明朝"/>
          <w:color w:val="000000"/>
          <w:szCs w:val="21"/>
        </w:rPr>
        <w:t>の予測値を算出しておき、それと非構造化データの機械学習を組合せることも検討しておきたい。訓練・検証データも</w:t>
      </w:r>
      <w:r>
        <w:t>東京都</w:t>
      </w:r>
      <w:r>
        <w:rPr>
          <w:rFonts w:hAnsi="ＭＳ 明朝" w:cs="ＭＳ 明朝"/>
          <w:color w:val="000000"/>
          <w:szCs w:val="21"/>
        </w:rPr>
        <w:t>だけであり、他の都道府県の評価書</w:t>
      </w:r>
      <w:r>
        <w:t>、そして地域の経済ニュース記事</w:t>
      </w:r>
      <w:r>
        <w:rPr>
          <w:rFonts w:hAnsi="ＭＳ 明朝" w:cs="ＭＳ 明朝"/>
          <w:color w:val="000000"/>
          <w:szCs w:val="21"/>
        </w:rPr>
        <w:t>も</w:t>
      </w:r>
      <w:r>
        <w:t>学習</w:t>
      </w:r>
      <w:r>
        <w:rPr>
          <w:rFonts w:hAnsi="ＭＳ 明朝" w:cs="ＭＳ 明朝"/>
          <w:color w:val="000000"/>
          <w:szCs w:val="21"/>
        </w:rPr>
        <w:t>すれば</w:t>
      </w:r>
      <w:r>
        <w:t>より有用なのではないか</w:t>
      </w:r>
      <w:r>
        <w:rPr>
          <w:rFonts w:hAnsi="ＭＳ 明朝" w:cs="ＭＳ 明朝"/>
          <w:color w:val="000000"/>
          <w:szCs w:val="21"/>
        </w:rPr>
        <w:t>。</w:t>
      </w:r>
      <w:r>
        <w:t>また</w:t>
      </w:r>
      <w:r>
        <w:rPr>
          <w:rFonts w:hAnsi="ＭＳ 明朝" w:cs="ＭＳ 明朝"/>
          <w:color w:val="000000"/>
          <w:szCs w:val="21"/>
        </w:rPr>
        <w:t>地理的な固有表現が文章の割合の多くを</w:t>
      </w:r>
      <w:r>
        <w:t>占める</w:t>
      </w:r>
      <w:r>
        <w:rPr>
          <w:rFonts w:hAnsi="ＭＳ 明朝" w:cs="ＭＳ 明朝"/>
          <w:color w:val="000000"/>
          <w:szCs w:val="21"/>
        </w:rPr>
        <w:t>ことがあり、</w:t>
      </w:r>
      <w:r>
        <w:t>地理的な汎化性能を押し下げてしまう</w:t>
      </w:r>
      <w:r>
        <w:rPr>
          <w:rFonts w:hAnsi="ＭＳ 明朝" w:cs="ＭＳ 明朝"/>
          <w:color w:val="000000"/>
          <w:szCs w:val="21"/>
        </w:rPr>
        <w:t>ノイズの一因</w:t>
      </w:r>
      <w:r>
        <w:t>となった</w:t>
      </w:r>
      <w:r>
        <w:rPr>
          <w:rFonts w:hAnsi="ＭＳ 明朝" w:cs="ＭＳ 明朝"/>
          <w:color w:val="000000"/>
          <w:szCs w:val="21"/>
        </w:rPr>
        <w:t>。地価に影響する表現のみを抽出すれば、より精度は</w:t>
      </w:r>
      <w:r>
        <w:t>向上するだろう</w:t>
      </w:r>
      <w:r>
        <w:rPr>
          <w:rFonts w:hAnsi="ＭＳ 明朝" w:cs="ＭＳ 明朝"/>
          <w:color w:val="000000"/>
          <w:szCs w:val="21"/>
        </w:rPr>
        <w:t>。</w:t>
      </w:r>
      <w:r>
        <w:t>また既存研究では、極性</w:t>
      </w:r>
      <w:r w:rsidR="00C6342B">
        <w:rPr>
          <w:rFonts w:hint="eastAsia"/>
        </w:rPr>
        <w:t>辞書</w:t>
      </w:r>
      <w:r w:rsidR="00235B82">
        <w:rPr>
          <w:rFonts w:hint="eastAsia"/>
        </w:rPr>
        <w:t>を構築し</w:t>
      </w:r>
      <w:r>
        <w:t>単語ベースでの</w:t>
      </w:r>
      <w:r w:rsidR="00C6342B">
        <w:rPr>
          <w:rFonts w:hint="eastAsia"/>
        </w:rPr>
        <w:t>文章の</w:t>
      </w:r>
      <w:r>
        <w:t>特徴量化を行っているものも</w:t>
      </w:r>
      <w:r w:rsidR="00C6342B">
        <w:rPr>
          <w:rFonts w:hint="eastAsia"/>
        </w:rPr>
        <w:t>ある</w:t>
      </w:r>
      <w:r>
        <w:t>[3]。</w:t>
      </w:r>
      <w:r>
        <w:rPr>
          <w:rFonts w:hAnsi="ＭＳ 明朝" w:cs="ＭＳ 明朝"/>
          <w:color w:val="000000"/>
          <w:szCs w:val="21"/>
        </w:rPr>
        <w:t>比較検証として</w:t>
      </w:r>
      <w:r>
        <w:t>そのような</w:t>
      </w:r>
      <w:r>
        <w:rPr>
          <w:rFonts w:hAnsi="ＭＳ 明朝" w:cs="ＭＳ 明朝"/>
          <w:color w:val="000000"/>
          <w:szCs w:val="21"/>
        </w:rPr>
        <w:t>手法との</w:t>
      </w:r>
      <w:r>
        <w:t>比較</w:t>
      </w:r>
      <w:r>
        <w:rPr>
          <w:rFonts w:hAnsi="ＭＳ 明朝" w:cs="ＭＳ 明朝"/>
          <w:color w:val="000000"/>
          <w:szCs w:val="21"/>
        </w:rPr>
        <w:t>も行わなければならないだろう。</w:t>
      </w:r>
      <w:r w:rsidR="0042290A">
        <w:rPr>
          <w:noProof/>
        </w:rPr>
        <mc:AlternateContent>
          <mc:Choice Requires="wps">
            <w:drawing>
              <wp:anchor distT="0" distB="0" distL="114935" distR="114935" simplePos="0" relativeHeight="251658752" behindDoc="0" locked="0" layoutInCell="1" allowOverlap="1" wp14:anchorId="1AA31B3C" wp14:editId="0AF8F191">
                <wp:simplePos x="0" y="0"/>
                <wp:positionH relativeFrom="column">
                  <wp:posOffset>3124835</wp:posOffset>
                </wp:positionH>
                <wp:positionV relativeFrom="paragraph">
                  <wp:posOffset>8839200</wp:posOffset>
                </wp:positionV>
                <wp:extent cx="3075940" cy="643255"/>
                <wp:effectExtent l="0" t="0" r="0" b="0"/>
                <wp:wrapNone/>
                <wp:docPr id="345315902"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5940" cy="643255"/>
                        </a:xfrm>
                        <a:prstGeom prst="rect">
                          <a:avLst/>
                        </a:prstGeom>
                        <a:solidFill>
                          <a:srgbClr val="FFFFFF">
                            <a:alpha val="0"/>
                          </a:srgbClr>
                        </a:solidFill>
                        <a:ln>
                          <a:noFill/>
                        </a:ln>
                      </wps:spPr>
                      <wps:txbx>
                        <w:txbxContent>
                          <w:p w14:paraId="0812FAC4" w14:textId="77777777" w:rsidR="00DC3303" w:rsidRDefault="00DC3303" w:rsidP="00DC3303">
                            <w:pPr>
                              <w:textDirection w:val="btLr"/>
                            </w:pPr>
                            <w:r>
                              <w:rPr>
                                <w:rFonts w:ascii="Times New Roman" w:eastAsia="Times New Roman"/>
                                <w:color w:val="000000"/>
                                <w:sz w:val="18"/>
                              </w:rPr>
                              <w:t>「タイトル」英文による記述</w:t>
                            </w:r>
                          </w:p>
                          <w:p w14:paraId="5B2AED72" w14:textId="77777777" w:rsidR="00DC3303" w:rsidRDefault="00DC3303" w:rsidP="00DC3303">
                            <w:pPr>
                              <w:textDirection w:val="btLr"/>
                            </w:pPr>
                            <w:r>
                              <w:rPr>
                                <w:rFonts w:ascii="Times New Roman" w:eastAsia="Times New Roman"/>
                                <w:color w:val="000000"/>
                                <w:sz w:val="18"/>
                              </w:rPr>
                              <w:t>†「講演者・所属」英文による記述</w:t>
                            </w:r>
                          </w:p>
                          <w:p w14:paraId="18E409C1" w14:textId="77777777" w:rsidR="00DC3303" w:rsidRDefault="00DC3303" w:rsidP="00DC3303">
                            <w:pPr>
                              <w:textDirection w:val="btLr"/>
                            </w:pPr>
                            <w:r>
                              <w:rPr>
                                <w:rFonts w:ascii="Times New Roman" w:eastAsia="Times New Roman"/>
                                <w:color w:val="000000"/>
                                <w:sz w:val="18"/>
                              </w:rPr>
                              <w:t>‡「講演者・所属」英文による記述</w:t>
                            </w:r>
                          </w:p>
                          <w:p w14:paraId="7F56F4B2" w14:textId="77777777" w:rsidR="00DC3303" w:rsidRDefault="00DC3303" w:rsidP="00DC3303">
                            <w:pPr>
                              <w:textDirection w:val="btLr"/>
                            </w:pPr>
                          </w:p>
                          <w:p w14:paraId="45F64AB9" w14:textId="77777777" w:rsidR="00DC3303" w:rsidRDefault="00DC3303" w:rsidP="00DC3303">
                            <w:pPr>
                              <w:textDirection w:val="btLr"/>
                            </w:pPr>
                          </w:p>
                        </w:txbxContent>
                      </wps:txbx>
                      <wps:bodyPr spcFirstLastPara="1" wrap="square" lIns="75550" tIns="1250" rIns="75550" bIns="1250" anchor="t" anchorCtr="0">
                        <a:noAutofit/>
                      </wps:bodyPr>
                    </wps:wsp>
                  </a:graphicData>
                </a:graphic>
                <wp14:sizeRelH relativeFrom="page">
                  <wp14:pctWidth>0</wp14:pctWidth>
                </wp14:sizeRelH>
                <wp14:sizeRelV relativeFrom="page">
                  <wp14:pctHeight>0</wp14:pctHeight>
                </wp14:sizeRelV>
              </wp:anchor>
            </w:drawing>
          </mc:Choice>
          <mc:Fallback>
            <w:pict>
              <v:rect w14:anchorId="1AA31B3C" id="正方形/長方形 1" o:spid="_x0000_s1026" style="position:absolute;left:0;text-align:left;margin-left:246.05pt;margin-top:696pt;width:242.2pt;height:50.6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" stroked="f">
                <v:fill opacity="0"/>
                <v:textbox inset="2.09861mm,.03472mm,2.09861mm,.03472mm">
                  <w:txbxContent>
                    <w:p w14:paraId="0812FAC4" w14:textId="77777777" w:rsidR="00DC3303" w:rsidRDefault="00DC3303" w:rsidP="00DC3303">
                      <w:pPr>
                        <w:textDirection w:val="btLr"/>
                      </w:pPr>
                      <w:r>
                        <w:rPr>
                          <w:rFonts w:ascii="Times New Roman" w:eastAsia="Times New Roman"/>
                          <w:color w:val="000000"/>
                          <w:sz w:val="18"/>
                        </w:rPr>
                        <w:t>「タイトル」英文による記述</w:t>
                      </w:r>
                    </w:p>
                    <w:p w14:paraId="5B2AED72" w14:textId="77777777" w:rsidR="00DC3303" w:rsidRDefault="00DC3303" w:rsidP="00DC3303">
                      <w:pPr>
                        <w:textDirection w:val="btLr"/>
                      </w:pPr>
                      <w:r>
                        <w:rPr>
                          <w:rFonts w:ascii="Times New Roman" w:eastAsia="Times New Roman"/>
                          <w:color w:val="000000"/>
                          <w:sz w:val="18"/>
                        </w:rPr>
                        <w:t>†「講演者・所属」英文による記述</w:t>
                      </w:r>
                    </w:p>
                    <w:p w14:paraId="18E409C1" w14:textId="77777777" w:rsidR="00DC3303" w:rsidRDefault="00DC3303" w:rsidP="00DC3303">
                      <w:pPr>
                        <w:textDirection w:val="btLr"/>
                      </w:pPr>
                      <w:r>
                        <w:rPr>
                          <w:rFonts w:ascii="Times New Roman" w:eastAsia="Times New Roman"/>
                          <w:color w:val="000000"/>
                          <w:sz w:val="18"/>
                        </w:rPr>
                        <w:t>‡「講演者・所属」英文による記述</w:t>
                      </w:r>
                    </w:p>
                    <w:p w14:paraId="7F56F4B2" w14:textId="77777777" w:rsidR="00DC3303" w:rsidRDefault="00DC3303" w:rsidP="00DC3303">
                      <w:pPr>
                        <w:textDirection w:val="btLr"/>
                      </w:pPr>
                    </w:p>
                    <w:p w14:paraId="45F64AB9" w14:textId="77777777" w:rsidR="00DC3303" w:rsidRDefault="00DC3303" w:rsidP="00DC3303">
                      <w:pPr>
                        <w:textDirection w:val="btLr"/>
                      </w:pPr>
                    </w:p>
                  </w:txbxContent>
                </v:textbox>
              </v:rect>
            </w:pict>
          </mc:Fallback>
        </mc:AlternateContent>
      </w:r>
    </w:p>
    <w:p w14:paraId="419AB777" w14:textId="2A856431" w:rsidR="00DC3303" w:rsidRPr="00235B82" w:rsidRDefault="00DC3303" w:rsidP="00DC3303">
      <w:pPr>
        <w:rPr>
          <w:szCs w:val="21"/>
        </w:rPr>
      </w:pPr>
      <w:r w:rsidRPr="00235B82">
        <w:rPr>
          <w:szCs w:val="21"/>
        </w:rPr>
        <w:t>[1]大森 文彦, 熊越 祐介</w:t>
      </w:r>
      <w:r w:rsidR="004D0513" w:rsidRPr="00235B82">
        <w:rPr>
          <w:szCs w:val="21"/>
        </w:rPr>
        <w:t>:</w:t>
      </w:r>
      <w:r w:rsidRPr="00235B82">
        <w:rPr>
          <w:szCs w:val="21"/>
        </w:rPr>
        <w:t>Covid-19感染症流行を受けた東京都市圏のライフスタイル変化に関する考察,都市計画報告集,2</w:t>
      </w:r>
      <w:r w:rsidR="004D0513" w:rsidRPr="00235B82">
        <w:rPr>
          <w:szCs w:val="21"/>
        </w:rPr>
        <w:t>1</w:t>
      </w:r>
      <w:r w:rsidRPr="00235B82">
        <w:rPr>
          <w:szCs w:val="21"/>
        </w:rPr>
        <w:t>巻,2号p.177-182(2022)</w:t>
      </w:r>
    </w:p>
    <w:p w14:paraId="677D384E" w14:textId="77777777" w:rsidR="00DC3303" w:rsidRPr="00235B82" w:rsidRDefault="00DC3303" w:rsidP="00DC3303">
      <w:pPr>
        <w:pBdr>
          <w:top w:val="nil"/>
          <w:left w:val="nil"/>
          <w:bottom w:val="nil"/>
          <w:right w:val="nil"/>
          <w:between w:val="nil"/>
        </w:pBdr>
        <w:rPr>
          <w:szCs w:val="21"/>
        </w:rPr>
      </w:pPr>
      <w:r w:rsidRPr="00235B82">
        <w:rPr>
          <w:szCs w:val="21"/>
        </w:rPr>
        <w:t>[2]https://huggingface.co/sonoisa/sentence-bert-base-ja-mean-tokens-v2</w:t>
      </w:r>
    </w:p>
    <w:p w14:paraId="49E5EDA4" w14:textId="0A26207F" w:rsidR="00DC3303" w:rsidRPr="00235B82" w:rsidRDefault="00DC3303" w:rsidP="00DC3303">
      <w:pPr>
        <w:pBdr>
          <w:top w:val="nil"/>
          <w:left w:val="nil"/>
          <w:bottom w:val="nil"/>
          <w:right w:val="nil"/>
          <w:between w:val="nil"/>
        </w:pBdr>
        <w:rPr>
          <w:szCs w:val="21"/>
        </w:rPr>
      </w:pPr>
      <w:r w:rsidRPr="00235B82">
        <w:rPr>
          <w:szCs w:val="21"/>
        </w:rPr>
        <w:t>[3]川崎拓海,穴田一</w:t>
      </w:r>
      <w:r w:rsidR="004D0513" w:rsidRPr="00235B82">
        <w:rPr>
          <w:szCs w:val="21"/>
        </w:rPr>
        <w:t>:</w:t>
      </w:r>
      <w:r w:rsidRPr="00235B82">
        <w:rPr>
          <w:szCs w:val="21"/>
        </w:rPr>
        <w:t>情報科学技術フォーラム講演論文集 (FIT),20th,第1分冊 p.99-100(2021)</w:t>
      </w:r>
    </w:p>
    <w:sectPr w:rsidR="00DC3303" w:rsidRPr="00235B82">
      <w:footnotePr>
        <w:numRestart w:val="eachPage"/>
      </w:footnotePr>
      <w:endnotePr>
        <w:numFmt w:val="decimal"/>
      </w:endnotePr>
      <w:type w:val="continuous"/>
      <w:pgSz w:w="11900" w:h="16840" w:code="9"/>
      <w:pgMar w:top="1701" w:right="1134" w:bottom="1418" w:left="1134" w:header="0" w:footer="0" w:gutter="0"/>
      <w:cols w:num="2" w:space="397"/>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A7EF9" w14:textId="77777777" w:rsidR="00CE50AF" w:rsidRDefault="00CE50AF"/>
  </w:endnote>
  <w:endnote w:type="continuationSeparator" w:id="0">
    <w:p w14:paraId="2EEE3374" w14:textId="77777777" w:rsidR="00CE50AF" w:rsidRDefault="00CE5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明朝"/>
    <w:panose1 w:val="02020609040305080305"/>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細明朝体">
    <w:altName w:val="ＭＳ Ｐ明朝"/>
    <w:charset w:val="80"/>
    <w:family w:val="auto"/>
    <w:pitch w:val="variable"/>
    <w:sig w:usb0="01000000" w:usb1="00000708" w:usb2="1000000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Gungsuh">
    <w:charset w:val="81"/>
    <w:family w:val="roman"/>
    <w:pitch w:val="variable"/>
    <w:sig w:usb0="B00002AF" w:usb1="69D77CFB" w:usb2="00000030" w:usb3="00000000" w:csb0="0008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04620" w14:textId="77777777" w:rsidR="00CE50AF" w:rsidRDefault="00CE50AF">
      <w:r>
        <w:separator/>
      </w:r>
    </w:p>
  </w:footnote>
  <w:footnote w:type="continuationSeparator" w:id="0">
    <w:p w14:paraId="26CADA86" w14:textId="77777777" w:rsidR="00CE50AF" w:rsidRDefault="00CE50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767CE"/>
    <w:multiLevelType w:val="hybridMultilevel"/>
    <w:tmpl w:val="D756B6E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540F1870"/>
    <w:multiLevelType w:val="hybridMultilevel"/>
    <w:tmpl w:val="8DA4693E"/>
    <w:lvl w:ilvl="0" w:tplc="FFFFFFFF">
      <w:start w:val="1"/>
      <w:numFmt w:val="decimalEnclosedCircle"/>
      <w:lvlText w:val="%1"/>
      <w:lvlJc w:val="left"/>
      <w:pPr>
        <w:tabs>
          <w:tab w:val="num" w:pos="420"/>
        </w:tabs>
        <w:ind w:left="420" w:hanging="420"/>
      </w:pPr>
      <w:rPr>
        <w:rFonts w:eastAsia="ＭＳ 明朝"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3" w15:restartNumberingAfterBreak="0">
    <w:nsid w:val="7B3613AD"/>
    <w:multiLevelType w:val="hybridMultilevel"/>
    <w:tmpl w:val="57E67B38"/>
    <w:lvl w:ilvl="0" w:tplc="FFFFFFFF">
      <w:numFmt w:val="bullet"/>
      <w:lvlText w:val="※"/>
      <w:lvlJc w:val="left"/>
      <w:pPr>
        <w:tabs>
          <w:tab w:val="num" w:pos="360"/>
        </w:tabs>
        <w:ind w:left="360" w:hanging="360"/>
      </w:pPr>
      <w:rPr>
        <w:rFonts w:ascii="ＭＳ 明朝" w:eastAsia="ＭＳ 明朝" w:hAnsi="ＭＳ 明朝" w:cs="Times New Roman" w:hint="eastAsia"/>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num w:numId="1" w16cid:durableId="1268393944">
    <w:abstractNumId w:val="2"/>
  </w:num>
  <w:num w:numId="2" w16cid:durableId="1229196537">
    <w:abstractNumId w:val="3"/>
  </w:num>
  <w:num w:numId="3" w16cid:durableId="1499273476">
    <w:abstractNumId w:val="0"/>
  </w:num>
  <w:num w:numId="4" w16cid:durableId="140414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bordersDoNotSurroundHeader/>
  <w:bordersDoNotSurroundFooter/>
  <w:attachedTemplate r:id="rId1"/>
  <w:linkStyles/>
  <w:defaultTabStop w:val="199"/>
  <w:hyphenationZone w:val="0"/>
  <w:doNotHyphenateCaps/>
  <w:drawingGridHorizontalSpacing w:val="105"/>
  <w:drawingGridVerticalSpacing w:val="285"/>
  <w:displayHorizont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A0"/>
    <w:rsid w:val="00235B82"/>
    <w:rsid w:val="0042077C"/>
    <w:rsid w:val="0042290A"/>
    <w:rsid w:val="004D0513"/>
    <w:rsid w:val="005C6E15"/>
    <w:rsid w:val="00640AA0"/>
    <w:rsid w:val="00680275"/>
    <w:rsid w:val="00902DC2"/>
    <w:rsid w:val="00A05252"/>
    <w:rsid w:val="00A5391A"/>
    <w:rsid w:val="00AA3CFF"/>
    <w:rsid w:val="00AD6162"/>
    <w:rsid w:val="00B31488"/>
    <w:rsid w:val="00B45DA8"/>
    <w:rsid w:val="00B955CE"/>
    <w:rsid w:val="00BA6405"/>
    <w:rsid w:val="00C6342B"/>
    <w:rsid w:val="00CE50AF"/>
    <w:rsid w:val="00D33677"/>
    <w:rsid w:val="00DA4B92"/>
    <w:rsid w:val="00DB3991"/>
    <w:rsid w:val="00DC3303"/>
    <w:rsid w:val="00E276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1A5FAA3"/>
  <w15:chartTrackingRefBased/>
  <w15:docId w15:val="{053C8ED2-30E4-4CFA-955F-FAA5CA78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jc w:val="both"/>
      <w:textAlignment w:val="baseline"/>
    </w:pPr>
    <w:rPr>
      <w:rFonts w:ascii="ＭＳ 明朝" w:eastAsia="ＭＳ 明朝"/>
      <w:sz w:val="21"/>
    </w:rPr>
  </w:style>
  <w:style w:type="paragraph" w:styleId="1">
    <w:name w:val="heading 1"/>
    <w:basedOn w:val="a"/>
    <w:next w:val="a"/>
    <w:qFormat/>
    <w:pPr>
      <w:keepNext/>
      <w:outlineLvl w:val="0"/>
    </w:pPr>
    <w:rPr>
      <w:rFonts w:ascii="Arial" w:eastAsia="ＭＳ ゴシック" w:hAnsi="Arial"/>
      <w:sz w:val="24"/>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pPr>
      <w:widowControl/>
      <w:jc w:val="center"/>
    </w:pPr>
    <w:rPr>
      <w:sz w:val="32"/>
    </w:rPr>
  </w:style>
  <w:style w:type="paragraph" w:customStyle="1" w:styleId="a4">
    <w:name w:val="英文"/>
    <w:basedOn w:val="a5"/>
    <w:rPr>
      <w:rFonts w:ascii="Times New Roman" w:hAnsi="Times New Roman"/>
      <w:sz w:val="18"/>
      <w:lang w:eastAsia="zh-CN"/>
    </w:rPr>
  </w:style>
  <w:style w:type="paragraph" w:styleId="a5">
    <w:name w:val="Body Text"/>
    <w:basedOn w:val="a"/>
    <w:semiHidden/>
    <w:rPr>
      <w:rFonts w:hAnsi="ＭＳ Ｐ明朝"/>
    </w:rPr>
  </w:style>
  <w:style w:type="paragraph" w:customStyle="1" w:styleId="a6">
    <w:name w:val="筆者所属"/>
    <w:basedOn w:val="a"/>
    <w:next w:val="a"/>
    <w:autoRedefine/>
    <w:pPr>
      <w:widowControl/>
      <w:tabs>
        <w:tab w:val="center" w:pos="3544"/>
        <w:tab w:val="center" w:pos="6521"/>
      </w:tabs>
      <w:spacing w:before="100"/>
      <w:jc w:val="center"/>
    </w:pPr>
    <w:rPr>
      <w:rFonts w:hAnsi="Arial"/>
    </w:rPr>
  </w:style>
  <w:style w:type="character" w:styleId="a7">
    <w:name w:val="Hyperlink"/>
    <w:semiHidden/>
    <w:rPr>
      <w:color w:val="0000FF"/>
      <w:u w:val="single"/>
    </w:rPr>
  </w:style>
  <w:style w:type="paragraph" w:styleId="a8">
    <w:name w:val="Subtitle"/>
    <w:basedOn w:val="a"/>
    <w:next w:val="a"/>
    <w:link w:val="a9"/>
    <w:uiPriority w:val="11"/>
    <w:qFormat/>
    <w:rsid w:val="00640AA0"/>
    <w:pPr>
      <w:keepNext/>
      <w:keepLines/>
      <w:adjustRightInd/>
      <w:spacing w:before="360" w:after="80"/>
      <w:textAlignment w:val="auto"/>
    </w:pPr>
    <w:rPr>
      <w:rFonts w:ascii="Georgia" w:eastAsia="Georgia" w:hAnsi="Georgia" w:cs="Georgia"/>
      <w:i/>
      <w:color w:val="666666"/>
      <w:sz w:val="48"/>
      <w:szCs w:val="48"/>
    </w:rPr>
  </w:style>
  <w:style w:type="character" w:customStyle="1" w:styleId="a9">
    <w:name w:val="副題 (文字)"/>
    <w:link w:val="a8"/>
    <w:uiPriority w:val="11"/>
    <w:rsid w:val="00640AA0"/>
    <w:rPr>
      <w:rFonts w:ascii="Georgia" w:eastAsia="Georgia" w:hAnsi="Georgia" w:cs="Georgia"/>
      <w:i/>
      <w:color w:val="666666"/>
      <w:sz w:val="48"/>
      <w:szCs w:val="48"/>
    </w:rPr>
  </w:style>
  <w:style w:type="paragraph" w:styleId="aa">
    <w:name w:val="header"/>
    <w:basedOn w:val="a"/>
    <w:link w:val="ab"/>
    <w:uiPriority w:val="99"/>
    <w:unhideWhenUsed/>
    <w:rsid w:val="00DC3303"/>
    <w:pPr>
      <w:tabs>
        <w:tab w:val="center" w:pos="4252"/>
        <w:tab w:val="right" w:pos="8504"/>
      </w:tabs>
      <w:snapToGrid w:val="0"/>
    </w:pPr>
  </w:style>
  <w:style w:type="character" w:customStyle="1" w:styleId="ab">
    <w:name w:val="ヘッダー (文字)"/>
    <w:link w:val="aa"/>
    <w:uiPriority w:val="99"/>
    <w:rsid w:val="00DC3303"/>
    <w:rPr>
      <w:rFonts w:ascii="ＭＳ 明朝" w:eastAsia="ＭＳ 明朝"/>
      <w:sz w:val="21"/>
    </w:rPr>
  </w:style>
  <w:style w:type="paragraph" w:styleId="ac">
    <w:name w:val="footer"/>
    <w:basedOn w:val="a"/>
    <w:link w:val="ad"/>
    <w:uiPriority w:val="99"/>
    <w:unhideWhenUsed/>
    <w:rsid w:val="00DC3303"/>
    <w:pPr>
      <w:tabs>
        <w:tab w:val="center" w:pos="4252"/>
        <w:tab w:val="right" w:pos="8504"/>
      </w:tabs>
      <w:snapToGrid w:val="0"/>
    </w:pPr>
  </w:style>
  <w:style w:type="character" w:customStyle="1" w:styleId="ad">
    <w:name w:val="フッター (文字)"/>
    <w:link w:val="ac"/>
    <w:uiPriority w:val="99"/>
    <w:rsid w:val="00DC3303"/>
    <w:rPr>
      <w:rFonts w:ascii="ＭＳ 明朝" w:eastAsia="ＭＳ 明朝"/>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5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bo\Downloads\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D75327B3BD264A44A6029C13B3EA024E" ma:contentTypeVersion="3" ma:contentTypeDescription="新しいドキュメントを作成します。" ma:contentTypeScope="" ma:versionID="c7153aeed07bb32e597713e2e0efd4b6">
  <xsd:schema xmlns:xsd="http://www.w3.org/2001/XMLSchema" xmlns:xs="http://www.w3.org/2001/XMLSchema" xmlns:p="http://schemas.microsoft.com/office/2006/metadata/properties" xmlns:ns3="3a5f4d29-8c27-4757-9bf3-ff2fad04a082" targetNamespace="http://schemas.microsoft.com/office/2006/metadata/properties" ma:root="true" ma:fieldsID="9dafb85c8b475b476fb5dc15934daa63" ns3:_="">
    <xsd:import namespace="3a5f4d29-8c27-4757-9bf3-ff2fad04a0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5f4d29-8c27-4757-9bf3-ff2fad04a0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8965DC-5BAF-46F8-8ABF-BA041FEFBB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AB112C-3BD9-46A4-A443-426303EE707F}">
  <ds:schemaRefs>
    <ds:schemaRef ds:uri="http://schemas.microsoft.com/sharepoint/v3/contenttype/forms"/>
  </ds:schemaRefs>
</ds:datastoreItem>
</file>

<file path=customXml/itemProps3.xml><?xml version="1.0" encoding="utf-8"?>
<ds:datastoreItem xmlns:ds="http://schemas.openxmlformats.org/officeDocument/2006/customXml" ds:itemID="{A5F53965-732E-4E5C-9819-C1A42BCD59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5f4d29-8c27-4757-9bf3-ff2fad04a0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3546</TotalTime>
  <Pages>1</Pages>
  <Words>538</Words>
  <Characters>3068</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__ｫ__e_杏M_本</vt:lpstr>
      <vt:lpstr>__ｫ__e_杏M_本</vt:lpstr>
    </vt:vector>
  </TitlesOfParts>
  <Company>TOYO AGENCY.Inc</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__ｫ__e_杏M_本</dc:title>
  <dc:subject>Version 1.01</dc:subject>
  <dc:creator>M.SAITO</dc:creator>
  <cp:keywords/>
  <dc:description/>
  <cp:lastModifiedBy>ナカガワシュンセイ</cp:lastModifiedBy>
  <cp:revision>4</cp:revision>
  <cp:lastPrinted>2002-10-03T04:39:00Z</cp:lastPrinted>
  <dcterms:created xsi:type="dcterms:W3CDTF">2024-03-25T14:18:00Z</dcterms:created>
  <dcterms:modified xsi:type="dcterms:W3CDTF">2024-03-25T23:13:00Z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0x010100D75327B3BD264A44A6029C13B3EA024E</vt:lpwstr>
  </property>
</Properties>
</file>