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rFonts w:ascii="Arial" w:cs="Arial" w:eastAsia="Arial" w:hAnsi="Arial"/>
          <w:b/>
          <w:bCs/>
          <w:color w:val="060A0E"/>
          <w:sz w:val="64"/>
          <w:szCs w:val="64"/>
        </w:rPr>
        <w:t xml:space="preserve">INVESTMENT COMMITTEE</w:t>
      </w:r>
    </w:p>
    <w:p>
      <w:pPr>
        <w:jc w:val="center"/>
      </w:pPr>
      <w:r>
        <w:rPr>
          <w:rFonts w:ascii="Arial" w:cs="Arial" w:eastAsia="Arial" w:hAnsi="Arial"/>
          <w:b/>
          <w:bCs/>
          <w:color w:val="00D4FF"/>
          <w:sz w:val="28"/>
          <w:szCs w:val="28"/>
        </w:rPr>
        <w:t xml:space="preserve">SYSTEM DESIGN DOCUMENT v4</w:t>
      </w:r>
    </w:p>
    <w:p/>
    <w:p>
      <w:pPr>
        <w:jc w:val="center"/>
      </w:pPr>
      <w:r>
        <w:rPr>
          <w:rFonts w:ascii="Arial" w:cs="Arial" w:eastAsia="Arial" w:hAnsi="Arial"/>
          <w:b w:val="false"/>
          <w:bCs w:val="false"/>
          <w:color w:val="1E3A5F"/>
          <w:sz w:val="22"/>
          <w:szCs w:val="22"/>
        </w:rPr>
        <w:t xml:space="preserve">━━━━━━━━━━━━━━━━━━━━━━━━━━━━━━━━━━━━━━━━━━━━━━━━━━━━━━━━━━━━━━━</w:t>
      </w:r>
    </w:p>
    <w:p/>
    <w:p>
      <w:pPr>
        <w:jc w:val="center"/>
      </w:pPr>
      <w:r>
        <w:rPr>
          <w:rFonts w:ascii="Arial" w:cs="Arial" w:eastAsia="Arial" w:hAnsi="Arial"/>
          <w:b/>
          <w:bCs/>
          <w:color w:val="4A6A8A"/>
          <w:sz w:val="18"/>
          <w:szCs w:val="18"/>
        </w:rPr>
        <w:t xml:space="preserve">VERSION</w:t>
      </w:r>
      <w:r>
        <w:rPr>
          <w:rFonts w:ascii="Arial" w:cs="Arial" w:eastAsia="Arial" w:hAnsi="Arial"/>
          <w:color w:val="060A0E"/>
          <w:sz w:val="18"/>
          <w:szCs w:val="18"/>
        </w:rPr>
        <w:t xml:space="preserve">  4.0</w:t>
      </w:r>
    </w:p>
    <w:p>
      <w:pPr>
        <w:jc w:val="center"/>
      </w:pPr>
      <w:r>
        <w:rPr>
          <w:rFonts w:ascii="Arial" w:cs="Arial" w:eastAsia="Arial" w:hAnsi="Arial"/>
          <w:b/>
          <w:bCs/>
          <w:color w:val="4A6A8A"/>
          <w:sz w:val="18"/>
          <w:szCs w:val="18"/>
        </w:rPr>
        <w:t xml:space="preserve">DATE</w:t>
      </w:r>
      <w:r>
        <w:rPr>
          <w:rFonts w:ascii="Arial" w:cs="Arial" w:eastAsia="Arial" w:hAnsi="Arial"/>
          <w:color w:val="060A0E"/>
          <w:sz w:val="18"/>
          <w:szCs w:val="18"/>
        </w:rPr>
        <w:t xml:space="preserve">  2026-03-12</w:t>
      </w:r>
    </w:p>
    <w:p>
      <w:pPr>
        <w:jc w:val="center"/>
      </w:pPr>
      <w:r>
        <w:rPr>
          <w:rFonts w:ascii="Arial" w:cs="Arial" w:eastAsia="Arial" w:hAnsi="Arial"/>
          <w:b/>
          <w:bCs/>
          <w:color w:val="4A6A8A"/>
          <w:sz w:val="18"/>
          <w:szCs w:val="18"/>
        </w:rPr>
        <w:t xml:space="preserve">STATUS</w:t>
      </w:r>
      <w:r>
        <w:rPr>
          <w:rFonts w:ascii="Arial" w:cs="Arial" w:eastAsia="Arial" w:hAnsi="Arial"/>
          <w:color w:val="1A6B3A"/>
          <w:sz w:val="18"/>
          <w:szCs w:val="18"/>
        </w:rPr>
        <w:t xml:space="preserve">  DESIGN COMPLETE / IMPLEMENTATION READY</w:t>
      </w:r>
    </w:p>
    <w:p/>
    <w:p/>
    <w:p>
      <w:pPr>
        <w:jc w:val="center"/>
      </w:pPr>
      <w:r>
        <w:rPr>
          <w:rFonts w:ascii="Arial" w:cs="Arial" w:eastAsia="Arial" w:hAnsi="Arial"/>
          <w:b w:val="false"/>
          <w:bCs w:val="false"/>
          <w:color w:val="4A6A8A"/>
          <w:sz w:val="16"/>
          <w:szCs w:val="16"/>
        </w:rPr>
        <w:t xml:space="preserve">CLASSIFIED — FOR AUTHORIZED USE ONLY</w:t>
      </w:r>
    </w:p>
    <w:p>
      <w:pPr>
        <w:jc w:val="center"/>
      </w:pPr>
      <w:r>
        <w:rPr>
          <w:rFonts w:ascii="Arial" w:cs="Arial" w:eastAsia="Arial" w:hAnsi="Arial"/>
          <w:b w:val="false"/>
          <w:bCs w:val="false"/>
          <w:color w:val="4A6A8A"/>
          <w:sz w:val="16"/>
          <w:szCs w:val="16"/>
        </w:rPr>
        <w:t xml:space="preserve">LOCAL ONLY — NO EXTERNAL TRANSMISSION</w:t>
      </w:r>
    </w:p>
    <w:p/>
    <w:p/>
    <w:p/>
    <w:p/>
    <w:p>
      <w:pPr>
        <w:jc w:val="center"/>
      </w:pPr>
      <w:r>
        <w:rPr>
          <w:rFonts w:ascii="Arial" w:cs="Arial" w:eastAsia="Arial" w:hAnsi="Arial"/>
          <w:b/>
          <w:bCs/>
          <w:color w:val="4A6A8A"/>
          <w:sz w:val="18"/>
          <w:szCs w:val="18"/>
        </w:rPr>
        <w:t xml:space="preserve">設計哲学</w:t>
      </w:r>
    </w:p>
    <w:p/>
    <w:p>
      <w:pPr>
        <w:jc w:val="center"/>
      </w:pPr>
      <w:r>
        <w:rPr>
          <w:rFonts w:ascii="Arial" w:cs="Arial" w:eastAsia="Arial" w:hAnsi="Arial"/>
          <w:b/>
          <w:bCs/>
          <w:color w:val="1E3A5F"/>
          <w:sz w:val="28"/>
          <w:szCs w:val="28"/>
        </w:rPr>
        <w:t xml:space="preserve">"投資は予測ゲームではない。確率ゲームだ。"</w:t>
      </w:r>
    </w:p>
    <w:p/>
    <w:p>
      <w:pPr>
        <w:jc w:val="center"/>
      </w:pPr>
      <w:r>
        <w:rPr>
          <w:rFonts w:ascii="Arial" w:cs="Arial" w:eastAsia="Arial" w:hAnsi="Arial"/>
          <w:b/>
          <w:bCs/>
          <w:color w:val="4A6A8A"/>
          <w:sz w:val="22"/>
          <w:szCs w:val="22"/>
        </w:rPr>
        <w:t xml:space="preserve">"意思決定の質を上げることが目的。勝つことではない。"</w:t>
      </w:r>
    </w:p>
    <w:p>
      <w:r>
        <w:br w:type="page"/>
      </w:r>
    </w:p>
    <w:p>
      <w:pPr>
        <w:pStyle w:val="Heading1"/>
        <w:spacing w:before="360" w:after="200"/>
      </w:pPr>
      <w:r>
        <w:rPr>
          <w:rFonts w:ascii="Arial" w:cs="Arial" w:eastAsia="Arial" w:hAnsi="Arial"/>
          <w:b/>
          <w:bCs/>
          <w:color w:val="060A0E"/>
          <w:sz w:val="36"/>
          <w:szCs w:val="36"/>
        </w:rPr>
        <w:t xml:space="preserve">1. システム概要</w:t>
      </w:r>
    </w:p>
    <w:p>
      <w:r>
        <w:rPr>
          <w:rFonts w:ascii="Arial" w:cs="Arial" w:eastAsia="Arial" w:hAnsi="Arial"/>
          <w:sz w:val="22"/>
          <w:szCs w:val="22"/>
        </w:rPr>
        <w:t xml:space="preserve">Investment Committeeは、個人投資家が陥りやすい認知バイアス・感情的判断・形式化トラップを、構造的に排除するための意思決定システムです。</w:t>
      </w:r>
    </w:p>
    <w:p/>
    <w:p>
      <w:r>
        <w:rPr>
          <w:rFonts w:ascii="Arial" w:cs="Arial" w:eastAsia="Arial" w:hAnsi="Arial"/>
          <w:sz w:val="22"/>
          <w:szCs w:val="22"/>
        </w:rPr>
        <w:t xml:space="preserve">単なる記録ツールではなく、10の独立した委員会がデータで連動し、各委員会の Output が次の委員会の Input として自動伝播される設計になっています。</w:t>
      </w:r>
    </w:p>
    <w:p/>
    <w:p>
      <w:pPr>
        <w:pStyle w:val="Heading2"/>
        <w:pBdr>
          <w:bottom w:val="single" w:color="00D4FF" w:sz="4" w:space="2"/>
        </w:pBdr>
        <w:spacing w:before="280" w:after="140"/>
      </w:pPr>
      <w:r>
        <w:rPr>
          <w:rFonts w:ascii="Arial" w:cs="Arial" w:eastAsia="Arial" w:hAnsi="Arial"/>
          <w:b/>
          <w:bCs/>
          <w:color w:val="1E3A5F"/>
          <w:sz w:val="28"/>
          <w:szCs w:val="28"/>
        </w:rPr>
        <w:t xml:space="preserve">1.1 設計原則</w:t>
      </w:r>
    </w:p>
    <w:p>
      <w:pPr>
        <w:pStyle w:val="ListParagraph"/>
        <w:numPr>
          <w:ilvl w:val="0"/>
          <w:numId w:val="2"/>
        </w:numPr>
        <w:spacing w:after="80"/>
      </w:pPr>
      <w:r>
        <w:rPr>
          <w:rFonts w:ascii="Arial" w:cs="Arial" w:eastAsia="Arial" w:hAnsi="Arial"/>
          <w:sz w:val="22"/>
          <w:szCs w:val="22"/>
        </w:rPr>
        <w:t xml:space="preserve">役割分離の徹底 — 各委員会は1つの役割のみ持つ（情報収集で分析しない）</w:t>
      </w:r>
    </w:p>
    <w:p>
      <w:pPr>
        <w:pStyle w:val="ListParagraph"/>
        <w:numPr>
          <w:ilvl w:val="0"/>
          <w:numId w:val="2"/>
        </w:numPr>
        <w:spacing w:after="80"/>
      </w:pPr>
      <w:r>
        <w:rPr>
          <w:rFonts w:ascii="Arial" w:cs="Arial" w:eastAsia="Arial" w:hAnsi="Arial"/>
          <w:sz w:val="22"/>
          <w:szCs w:val="22"/>
        </w:rPr>
        <w:t xml:space="preserve">委員会間のデータ連動 — IC-02のThesisが全委員会に自動伝播</w:t>
      </w:r>
    </w:p>
    <w:p>
      <w:pPr>
        <w:pStyle w:val="ListParagraph"/>
        <w:numPr>
          <w:ilvl w:val="0"/>
          <w:numId w:val="2"/>
        </w:numPr>
        <w:spacing w:after="80"/>
      </w:pPr>
      <w:r>
        <w:rPr>
          <w:rFonts w:ascii="Arial" w:cs="Arial" w:eastAsia="Arial" w:hAnsi="Arial"/>
          <w:sz w:val="22"/>
          <w:szCs w:val="22"/>
        </w:rPr>
        <w:t xml:space="preserve">数値ゲート — 数字なしでは次に進めない（形式化トラップ防止）</w:t>
      </w:r>
    </w:p>
    <w:p>
      <w:pPr>
        <w:pStyle w:val="ListParagraph"/>
        <w:numPr>
          <w:ilvl w:val="0"/>
          <w:numId w:val="2"/>
        </w:numPr>
        <w:spacing w:after="80"/>
      </w:pPr>
      <w:r>
        <w:rPr>
          <w:rFonts w:ascii="Arial" w:cs="Arial" w:eastAsia="Arial" w:hAnsi="Arial"/>
          <w:sz w:val="22"/>
          <w:szCs w:val="22"/>
        </w:rPr>
        <w:t xml:space="preserve">AIを反証係として使う — コンセンサス生成ではなく攻撃・否定に特化</w:t>
      </w:r>
    </w:p>
    <w:p>
      <w:pPr>
        <w:pStyle w:val="ListParagraph"/>
        <w:numPr>
          <w:ilvl w:val="0"/>
          <w:numId w:val="2"/>
        </w:numPr>
        <w:spacing w:after="80"/>
      </w:pPr>
      <w:r>
        <w:rPr>
          <w:rFonts w:ascii="Arial" w:cs="Arial" w:eastAsia="Arial" w:hAnsi="Arial"/>
          <w:sz w:val="22"/>
          <w:szCs w:val="22"/>
        </w:rPr>
        <w:t xml:space="preserve">IC-10学習ループ — 失敗のLessonがIC-05のチェックリストに自動蓄積</w:t>
      </w:r>
    </w:p>
    <w:p>
      <w:pPr>
        <w:pStyle w:val="ListParagraph"/>
        <w:numPr>
          <w:ilvl w:val="0"/>
          <w:numId w:val="2"/>
        </w:numPr>
        <w:spacing w:after="80"/>
      </w:pPr>
      <w:r>
        <w:rPr>
          <w:rFonts w:ascii="Arial" w:cs="Arial" w:eastAsia="Arial" w:hAnsi="Arial"/>
          <w:sz w:val="22"/>
          <w:szCs w:val="22"/>
        </w:rPr>
        <w:t xml:space="preserve">完全ローカル保存 — 資産情報の外部送信ゼロ</w:t>
      </w:r>
    </w:p>
    <w:p/>
    <w:p>
      <w:pPr>
        <w:pStyle w:val="Heading2"/>
        <w:pBdr>
          <w:bottom w:val="single" w:color="00D4FF" w:sz="4" w:space="2"/>
        </w:pBdr>
        <w:spacing w:before="280" w:after="140"/>
      </w:pPr>
      <w:r>
        <w:rPr>
          <w:rFonts w:ascii="Arial" w:cs="Arial" w:eastAsia="Arial" w:hAnsi="Arial"/>
          <w:b/>
          <w:bCs/>
          <w:color w:val="1E3A5F"/>
          <w:sz w:val="28"/>
          <w:szCs w:val="28"/>
        </w:rPr>
        <w:t xml:space="preserve">1.2 全体フロー</w:t>
      </w:r>
    </w:p>
    <w:p>
      <w:pPr>
        <w:shd w:fill="0A1520" w:val="clear"/>
        <w:spacing w:after="0"/>
        <w:ind w:left="360"/>
      </w:pPr>
      <w:r>
        <w:rPr>
          <w:rFonts w:ascii="Courier New" w:cs="Courier New" w:eastAsia="Courier New" w:hAnsi="Courier New"/>
          <w:color w:val="00D4FF"/>
          <w:sz w:val="20"/>
          <w:szCs w:val="20"/>
        </w:rPr>
        <w:t xml:space="preserve">① 情報収集委員会  →  候補銘柄リスト</w:t>
      </w:r>
    </w:p>
    <w:p>
      <w:pPr>
        <w:shd w:fill="0A1520" w:val="clear"/>
        <w:spacing w:after="0"/>
        <w:ind w:left="360"/>
      </w:pPr>
      <w:r>
        <w:rPr>
          <w:rFonts w:ascii="Courier New" w:cs="Courier New" w:eastAsia="Courier New" w:hAnsi="Courier New"/>
          <w:color w:val="00D4FF"/>
          <w:sz w:val="20"/>
          <w:szCs w:val="20"/>
        </w:rPr>
        <w:t xml:space="preserve">② 仮説委員会      →  Investment Thesis（1行）+ 崩壊条件</w:t>
      </w:r>
    </w:p>
    <w:p>
      <w:pPr>
        <w:shd w:fill="0A1520" w:val="clear"/>
        <w:spacing w:after="0"/>
        <w:ind w:left="360"/>
      </w:pPr>
      <w:r>
        <w:rPr>
          <w:rFonts w:ascii="Courier New" w:cs="Courier New" w:eastAsia="Courier New" w:hAnsi="Courier New"/>
          <w:color w:val="00D4FF"/>
          <w:sz w:val="20"/>
          <w:szCs w:val="20"/>
        </w:rPr>
        <w:t xml:space="preserve">③ 業界分析委員会  →  Industry Review</w:t>
      </w:r>
    </w:p>
    <w:p>
      <w:pPr>
        <w:shd w:fill="0A1520" w:val="clear"/>
        <w:spacing w:after="0"/>
        <w:ind w:left="360"/>
      </w:pPr>
      <w:r>
        <w:rPr>
          <w:rFonts w:ascii="Courier New" w:cs="Courier New" w:eastAsia="Courier New" w:hAnsi="Courier New"/>
          <w:color w:val="00D4FF"/>
          <w:sz w:val="20"/>
          <w:szCs w:val="20"/>
        </w:rPr>
        <w:t xml:space="preserve">④ 企業分析委員会  →  Company Dossier</w:t>
      </w:r>
    </w:p>
    <w:p>
      <w:pPr>
        <w:shd w:fill="0A1520" w:val="clear"/>
        <w:spacing w:after="0"/>
        <w:ind w:left="360"/>
      </w:pPr>
      <w:r>
        <w:rPr>
          <w:rFonts w:ascii="Courier New" w:cs="Courier New" w:eastAsia="Courier New" w:hAnsi="Courier New"/>
          <w:color w:val="00D4FF"/>
          <w:sz w:val="20"/>
          <w:szCs w:val="20"/>
        </w:rPr>
        <w:t xml:space="preserve">⑤ 反証委員会      →  Risk List  ← AI攻撃モード</w:t>
      </w:r>
    </w:p>
    <w:p>
      <w:pPr>
        <w:shd w:fill="0A1520" w:val="clear"/>
        <w:spacing w:after="0"/>
        <w:ind w:left="360"/>
      </w:pPr>
      <w:r>
        <w:rPr>
          <w:rFonts w:ascii="Courier New" w:cs="Courier New" w:eastAsia="Courier New" w:hAnsi="Courier New"/>
          <w:color w:val="00D4FF"/>
          <w:sz w:val="20"/>
          <w:szCs w:val="20"/>
        </w:rPr>
        <w:t xml:space="preserve">⑥ エッジ発見委員会→  Edge Analysis  ← AI否定モード</w:t>
      </w:r>
    </w:p>
    <w:p>
      <w:pPr>
        <w:shd w:fill="0A1520" w:val="clear"/>
        <w:spacing w:after="0"/>
        <w:ind w:left="360"/>
      </w:pPr>
      <w:r>
        <w:rPr>
          <w:rFonts w:ascii="Courier New" w:cs="Courier New" w:eastAsia="Courier New" w:hAnsi="Courier New"/>
          <w:color w:val="00D4FF"/>
          <w:sz w:val="20"/>
          <w:szCs w:val="20"/>
        </w:rPr>
        <w:t xml:space="preserve">⑥.5 バリュエーション委員会 → 期待CAGR  ← &lt;12%でBUY禁止</w:t>
      </w:r>
    </w:p>
    <w:p>
      <w:pPr>
        <w:shd w:fill="0A1520" w:val="clear"/>
        <w:spacing w:after="0"/>
        <w:ind w:left="360"/>
      </w:pPr>
      <w:r>
        <w:rPr>
          <w:rFonts w:ascii="Courier New" w:cs="Courier New" w:eastAsia="Courier New" w:hAnsi="Courier New"/>
          <w:color w:val="00D4FF"/>
          <w:sz w:val="20"/>
          <w:szCs w:val="20"/>
        </w:rPr>
        <w:t xml:space="preserve">⑦ 投資判断委員会  →  BUY / WATCH / PASS  ← 8委員VETO</w:t>
      </w:r>
    </w:p>
    <w:p>
      <w:pPr>
        <w:shd w:fill="0A1520" w:val="clear"/>
        <w:spacing w:after="0"/>
        <w:ind w:left="360"/>
      </w:pPr>
      <w:r>
        <w:rPr>
          <w:rFonts w:ascii="Courier New" w:cs="Courier New" w:eastAsia="Courier New" w:hAnsi="Courier New"/>
          <w:color w:val="00D4FF"/>
          <w:sz w:val="20"/>
          <w:szCs w:val="20"/>
        </w:rPr>
        <w:t xml:space="preserve">⑧ ポートフォリオ委員会 → Portfolio Allocation</w:t>
      </w:r>
    </w:p>
    <w:p>
      <w:pPr>
        <w:shd w:fill="0A1520" w:val="clear"/>
        <w:spacing w:after="0"/>
        <w:ind w:left="360"/>
      </w:pPr>
      <w:r>
        <w:rPr>
          <w:rFonts w:ascii="Courier New" w:cs="Courier New" w:eastAsia="Courier New" w:hAnsi="Courier New"/>
          <w:color w:val="00D4FF"/>
          <w:sz w:val="20"/>
          <w:szCs w:val="20"/>
        </w:rPr>
        <w:t xml:space="preserve">⑨ 売却委員会      →  Exit Decision  ← Thesis自動照合</w:t>
      </w:r>
    </w:p>
    <w:p>
      <w:pPr>
        <w:shd w:fill="0A1520" w:val="clear"/>
        <w:spacing w:after="0"/>
        <w:ind w:left="360"/>
      </w:pPr>
      <w:r>
        <w:rPr>
          <w:rFonts w:ascii="Courier New" w:cs="Courier New" w:eastAsia="Courier New" w:hAnsi="Courier New"/>
          <w:color w:val="00D4FF"/>
          <w:sz w:val="20"/>
          <w:szCs w:val="20"/>
        </w:rPr>
        <w:t xml:space="preserve">⑩ 失敗研究委員会  →  Lessons Learned  → IC-05に蓄積</w:t>
      </w:r>
    </w:p>
    <w:p>
      <w:r>
        <w:br w:type="page"/>
      </w:r>
    </w:p>
    <w:p>
      <w:pPr>
        <w:pStyle w:val="Heading1"/>
        <w:spacing w:before="360" w:after="200"/>
      </w:pPr>
      <w:r>
        <w:rPr>
          <w:rFonts w:ascii="Arial" w:cs="Arial" w:eastAsia="Arial" w:hAnsi="Arial"/>
          <w:b/>
          <w:bCs/>
          <w:color w:val="060A0E"/>
          <w:sz w:val="36"/>
          <w:szCs w:val="36"/>
        </w:rPr>
        <w:t xml:space="preserve">2. 委員会一覧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
        <w:gridCol w:w="2000"/>
        <w:gridCol w:w="1000"/>
        <w:gridCol w:w="1500"/>
        <w:gridCol w:w="156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委員会</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役割</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AIモード</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ゲート</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00D4FF"/>
                <w:sz w:val="18"/>
                <w:szCs w:val="18"/>
              </w:rPr>
              <w:t xml:space="preserve">①</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情報収集委員会</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18"/>
                <w:szCs w:val="18"/>
              </w:rPr>
              <w:t xml:space="preserve">INTELLIGENCE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投資候補を発見する</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C05A0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候補銘柄リスト</w:t>
            </w:r>
          </w:p>
        </w:tc>
        <w:tc>
          <w:tcPr>
            <w:tcW w:type="dxa" w:w="15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A6B3A"/>
                <w:sz w:val="18"/>
                <w:szCs w:val="18"/>
              </w:rPr>
              <w:t xml:space="preserve">—</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A78BFA"/>
                <w:sz w:val="18"/>
                <w:szCs w:val="18"/>
              </w:rPr>
              <w:t xml:space="preserve">②</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仮説委員会</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18"/>
                <w:szCs w:val="18"/>
              </w:rPr>
              <w:t xml:space="preserve">HYPOTHESIS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Thesisを1行で定義</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C05A00"/>
                <w:sz w:val="18"/>
                <w:szCs w:val="18"/>
              </w:rPr>
              <w:t xml:space="preserve">生成補助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Thesis + 崩壊条件</w:t>
            </w:r>
          </w:p>
        </w:tc>
        <w:tc>
          <w:tcPr>
            <w:tcW w:type="dxa" w:w="15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A6B3A"/>
                <w:sz w:val="18"/>
                <w:szCs w:val="18"/>
              </w:rPr>
              <w:t xml:space="preserve">Thesis必須</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4D399"/>
                <w:sz w:val="18"/>
                <w:szCs w:val="18"/>
              </w:rPr>
              <w:t xml:space="preserve">③</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業界分析委員会</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18"/>
                <w:szCs w:val="18"/>
              </w:rPr>
              <w:t xml:space="preserve">INDUSTRY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仮説が成立する市場か</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C05A00"/>
                <w:sz w:val="18"/>
                <w:szCs w:val="18"/>
              </w:rPr>
              <w:t xml:space="preserve">市場分析</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Industry Review</w:t>
            </w:r>
          </w:p>
        </w:tc>
        <w:tc>
          <w:tcPr>
            <w:tcW w:type="dxa" w:w="15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A6B3A"/>
                <w:sz w:val="18"/>
                <w:szCs w:val="18"/>
              </w:rPr>
              <w:t xml:space="preserve">数値必須</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CD34D"/>
                <w:sz w:val="18"/>
                <w:szCs w:val="18"/>
              </w:rPr>
              <w:t xml:space="preserve">④</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企業分析委員会</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18"/>
                <w:szCs w:val="18"/>
              </w:rPr>
              <w:t xml:space="preserve">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企業の質を分析</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C05A00"/>
                <w:sz w:val="18"/>
                <w:szCs w:val="18"/>
              </w:rPr>
              <w:t xml:space="preserve">Dossier生成</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Company Dossier</w:t>
            </w:r>
          </w:p>
        </w:tc>
        <w:tc>
          <w:tcPr>
            <w:tcW w:type="dxa" w:w="15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A6B3A"/>
                <w:sz w:val="18"/>
                <w:szCs w:val="18"/>
              </w:rPr>
              <w:t xml:space="preserve">数値必須</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87171"/>
                <w:sz w:val="18"/>
                <w:szCs w:val="18"/>
              </w:rPr>
              <w:t xml:space="preserve">⑤</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反証委員会</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18"/>
                <w:szCs w:val="18"/>
              </w:rPr>
              <w:t xml:space="preserve">COUNTER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失敗理由を探す</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C05A00"/>
                <w:sz w:val="18"/>
                <w:szCs w:val="18"/>
              </w:rPr>
              <w:t xml:space="preserve">⚔ 攻撃モード</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 List</w:t>
            </w:r>
          </w:p>
        </w:tc>
        <w:tc>
          <w:tcPr>
            <w:tcW w:type="dxa" w:w="15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A6B3A"/>
                <w:sz w:val="18"/>
                <w:szCs w:val="18"/>
              </w:rPr>
              <w:t xml:space="preserve">数値必須</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B923C"/>
                <w:sz w:val="18"/>
                <w:szCs w:val="18"/>
              </w:rPr>
              <w:t xml:space="preserve">⑥</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エッジ発見委員会</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18"/>
                <w:szCs w:val="18"/>
              </w:rPr>
              <w:t xml:space="preserve">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市場の誤解を探す</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C05A00"/>
                <w:sz w:val="18"/>
                <w:szCs w:val="18"/>
              </w:rPr>
              <w:t xml:space="preserve">⊘ 否定モード</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Edge Analysis</w:t>
            </w:r>
          </w:p>
        </w:tc>
        <w:tc>
          <w:tcPr>
            <w:tcW w:type="dxa" w:w="15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A6B3A"/>
                <w:sz w:val="18"/>
                <w:szCs w:val="18"/>
              </w:rPr>
              <w:t xml:space="preserve">Edge強度</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BBF24"/>
                <w:sz w:val="18"/>
                <w:szCs w:val="18"/>
              </w:rPr>
              <w:t xml:space="preserve">⑥.5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バリュエーション委員会</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18"/>
                <w:szCs w:val="18"/>
              </w:rPr>
              <w:t xml:space="preserve">VALUATION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期待リターン計算</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C05A00"/>
                <w:sz w:val="18"/>
                <w:szCs w:val="18"/>
              </w:rPr>
              <w:t xml:space="preserve">3シナリオ</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期待CAGR</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B91C1C"/>
                <w:sz w:val="18"/>
                <w:szCs w:val="18"/>
              </w:rPr>
              <w:t xml:space="preserve">&lt;12%でBUY禁止</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E879F9"/>
                <w:sz w:val="18"/>
                <w:szCs w:val="18"/>
              </w:rPr>
              <w:t xml:space="preserve">⑦</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投資判断委員会</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18"/>
                <w:szCs w:val="18"/>
              </w:rPr>
              <w:t xml:space="preserve">VERDICT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買うか決める</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C05A00"/>
                <w:sz w:val="18"/>
                <w:szCs w:val="18"/>
              </w:rPr>
              <w:t xml:space="preserve">8委員VETO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BUY/WATCH/PASS</w:t>
            </w:r>
          </w:p>
        </w:tc>
        <w:tc>
          <w:tcPr>
            <w:tcW w:type="dxa" w:w="15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A6B3A"/>
                <w:sz w:val="18"/>
                <w:szCs w:val="18"/>
              </w:rPr>
              <w:t xml:space="preserve">6/8通過でBUY</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8BDF8"/>
                <w:sz w:val="18"/>
                <w:szCs w:val="18"/>
              </w:rPr>
              <w:t xml:space="preserve">⑧</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ポートフォリオ委員会</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18"/>
                <w:szCs w:val="18"/>
              </w:rPr>
              <w:t xml:space="preserve">PORTFOLIO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資金配分を決める</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C05A0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Allocation</w:t>
            </w:r>
          </w:p>
        </w:tc>
        <w:tc>
          <w:tcPr>
            <w:tcW w:type="dxa" w:w="15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A6B3A"/>
                <w:sz w:val="18"/>
                <w:szCs w:val="18"/>
              </w:rPr>
              <w:t xml:space="preserve">数値必須</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F6B6B"/>
                <w:sz w:val="18"/>
                <w:szCs w:val="18"/>
              </w:rPr>
              <w:t xml:space="preserve">⑨</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売却委員会</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18"/>
                <w:szCs w:val="18"/>
              </w:rPr>
              <w:t xml:space="preserve">EXIT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売る判断を下す</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C05A00"/>
                <w:sz w:val="18"/>
                <w:szCs w:val="18"/>
              </w:rPr>
              <w:t xml:space="preserve">Thesis照合</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Exit Decision</w:t>
            </w:r>
          </w:p>
        </w:tc>
        <w:tc>
          <w:tcPr>
            <w:tcW w:type="dxa" w:w="15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A6B3A"/>
                <w:sz w:val="18"/>
                <w:szCs w:val="18"/>
              </w:rPr>
              <w:t xml:space="preserve">崩壊条件確認</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94A3B8"/>
                <w:sz w:val="18"/>
                <w:szCs w:val="18"/>
              </w:rPr>
              <w:t xml:space="preserve">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失敗研究委員会</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18"/>
                <w:szCs w:val="18"/>
              </w:rPr>
              <w:t xml:space="preserve">POST-MORTEM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失敗から学ぶ</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C05A0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Lessons</w:t>
            </w:r>
          </w:p>
        </w:tc>
        <w:tc>
          <w:tcPr>
            <w:tcW w:type="dxa" w:w="15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A6B3A"/>
                <w:sz w:val="18"/>
                <w:szCs w:val="18"/>
              </w:rPr>
              <w:t xml:space="preserve">IC-05に蓄積</w:t>
            </w:r>
          </w:p>
        </w:tc>
      </w:tr>
    </w:tbl>
    <w:p>
      <w:r>
        <w:br w:type="page"/>
      </w:r>
    </w:p>
    <w:p>
      <w:pPr>
        <w:pStyle w:val="Heading1"/>
        <w:spacing w:before="360" w:after="200"/>
      </w:pPr>
      <w:r>
        <w:rPr>
          <w:rFonts w:ascii="Arial" w:cs="Arial" w:eastAsia="Arial" w:hAnsi="Arial"/>
          <w:b/>
          <w:bCs/>
          <w:color w:val="060A0E"/>
          <w:sz w:val="36"/>
          <w:szCs w:val="36"/>
        </w:rPr>
        <w:t xml:space="preserve">3. 主要メカニズム</w:t>
      </w:r>
    </w:p>
    <w:p>
      <w:pPr>
        <w:pStyle w:val="Heading2"/>
        <w:pBdr>
          <w:bottom w:val="single" w:color="00D4FF" w:sz="4" w:space="2"/>
        </w:pBdr>
        <w:spacing w:before="280" w:after="140"/>
      </w:pPr>
      <w:r>
        <w:rPr>
          <w:rFonts w:ascii="Arial" w:cs="Arial" w:eastAsia="Arial" w:hAnsi="Arial"/>
          <w:b/>
          <w:bCs/>
          <w:color w:val="1E3A5F"/>
          <w:sz w:val="28"/>
          <w:szCs w:val="28"/>
        </w:rPr>
        <w:t xml:space="preserve">3.1 委員会間データ連動（神経系設計）</w:t>
      </w:r>
    </w:p>
    <w:p>
      <w:r>
        <w:rPr>
          <w:rFonts w:ascii="Arial" w:cs="Arial" w:eastAsia="Arial" w:hAnsi="Arial"/>
          <w:sz w:val="22"/>
          <w:szCs w:val="22"/>
        </w:rPr>
        <w:t xml:space="preserve">各委員会は独立したメモ帳ではなく、データで連動しています。IC-02で定義したThesisは、以降すべての委員会に自動引用されます。</w:t>
      </w:r>
    </w:p>
    <w:p/>
    <w:p>
      <w:pPr>
        <w:shd w:fill="0A1520" w:val="clear"/>
        <w:spacing w:after="0"/>
        <w:ind w:left="360"/>
      </w:pPr>
      <w:r>
        <w:rPr>
          <w:rFonts w:ascii="Courier New" w:cs="Courier New" w:eastAsia="Courier New" w:hAnsi="Courier New"/>
          <w:color w:val="00D4FF"/>
          <w:sz w:val="20"/>
          <w:szCs w:val="20"/>
        </w:rPr>
        <w:t xml:space="preserve">IC-02 Thesis  →  IC-03, IC-04, IC-05, IC-06, IC-07 に自動伝播</w:t>
      </w:r>
    </w:p>
    <w:p>
      <w:pPr>
        <w:shd w:fill="0A1520" w:val="clear"/>
        <w:spacing w:after="0"/>
        <w:ind w:left="360"/>
      </w:pPr>
      <w:r>
        <w:rPr>
          <w:rFonts w:ascii="Courier New" w:cs="Courier New" w:eastAsia="Courier New" w:hAnsi="Courier New"/>
          <w:color w:val="00D4FF"/>
          <w:sz w:val="20"/>
          <w:szCs w:val="20"/>
        </w:rPr>
        <w:t xml:space="preserve">IC-04 Dossier →  IC-05, IC-06, IC-07 に自動引用</w:t>
      </w:r>
    </w:p>
    <w:p>
      <w:pPr>
        <w:shd w:fill="0A1520" w:val="clear"/>
        <w:spacing w:after="0"/>
        <w:ind w:left="360"/>
      </w:pPr>
      <w:r>
        <w:rPr>
          <w:rFonts w:ascii="Courier New" w:cs="Courier New" w:eastAsia="Courier New" w:hAnsi="Courier New"/>
          <w:color w:val="00D4FF"/>
          <w:sz w:val="20"/>
          <w:szCs w:val="20"/>
        </w:rPr>
        <w:t xml:space="preserve">IC-05 Risk    →  IC-06, IC-07 に自動引用</w:t>
      </w:r>
    </w:p>
    <w:p>
      <w:pPr>
        <w:shd w:fill="0A1520" w:val="clear"/>
        <w:spacing w:after="0"/>
        <w:ind w:left="360"/>
      </w:pPr>
      <w:r>
        <w:rPr>
          <w:rFonts w:ascii="Courier New" w:cs="Courier New" w:eastAsia="Courier New" w:hAnsi="Courier New"/>
          <w:color w:val="00D4FF"/>
          <w:sz w:val="20"/>
          <w:szCs w:val="20"/>
        </w:rPr>
        <w:t xml:space="preserve">IC-065 CAGR   →  IC-07 のBUY禁止ゲートに連動</w:t>
      </w:r>
    </w:p>
    <w:p>
      <w:pPr>
        <w:shd w:fill="0A1520" w:val="clear"/>
        <w:spacing w:after="0"/>
        <w:ind w:left="360"/>
      </w:pPr>
      <w:r>
        <w:rPr>
          <w:rFonts w:ascii="Courier New" w:cs="Courier New" w:eastAsia="Courier New" w:hAnsi="Courier New"/>
          <w:color w:val="00D4FF"/>
          <w:sz w:val="20"/>
          <w:szCs w:val="20"/>
        </w:rPr>
        <w:t xml:space="preserve">IC-07 確信度  →  IC-08 の推奨サイジングに自動計算</w:t>
      </w:r>
    </w:p>
    <w:p>
      <w:pPr>
        <w:shd w:fill="0A1520" w:val="clear"/>
        <w:spacing w:after="0"/>
        <w:ind w:left="360"/>
      </w:pPr>
      <w:r>
        <w:rPr>
          <w:rFonts w:ascii="Courier New" w:cs="Courier New" w:eastAsia="Courier New" w:hAnsi="Courier New"/>
          <w:color w:val="00D4FF"/>
          <w:sz w:val="20"/>
          <w:szCs w:val="20"/>
        </w:rPr>
        <w:t xml:space="preserve">IC-02 崩壊条件→  IC-09 の売却判断に自動照合</w:t>
      </w:r>
    </w:p>
    <w:p>
      <w:pPr>
        <w:shd w:fill="0A1520" w:val="clear"/>
        <w:spacing w:after="0"/>
        <w:ind w:left="360"/>
      </w:pPr>
      <w:r>
        <w:rPr>
          <w:rFonts w:ascii="Courier New" w:cs="Courier New" w:eastAsia="Courier New" w:hAnsi="Courier New"/>
          <w:color w:val="00D4FF"/>
          <w:sz w:val="20"/>
          <w:szCs w:val="20"/>
        </w:rPr>
        <w:t xml:space="preserve">IC-10 Lessons →  IC-05 のチェックリストに永続蓄積</w:t>
      </w:r>
    </w:p>
    <w:p/>
    <w:p>
      <w:pPr>
        <w:pStyle w:val="Heading2"/>
        <w:pBdr>
          <w:bottom w:val="single" w:color="00D4FF" w:sz="4" w:space="2"/>
        </w:pBdr>
        <w:spacing w:before="280" w:after="140"/>
      </w:pPr>
      <w:r>
        <w:rPr>
          <w:rFonts w:ascii="Arial" w:cs="Arial" w:eastAsia="Arial" w:hAnsi="Arial"/>
          <w:b/>
          <w:bCs/>
          <w:color w:val="1E3A5F"/>
          <w:sz w:val="28"/>
          <w:szCs w:val="28"/>
        </w:rPr>
        <w:t xml:space="preserve">3.2 AI = 反証係（コンセンサス排除）</w:t>
      </w:r>
    </w:p>
    <w:p>
      <w:r>
        <w:rPr>
          <w:rFonts w:ascii="Arial" w:cs="Arial" w:eastAsia="Arial" w:hAnsi="Arial"/>
          <w:sz w:val="22"/>
          <w:szCs w:val="22"/>
        </w:rPr>
        <w:t xml:space="preserve">AIはコンセンサス生成マシンです。学習データの重心に引き寄せられ、市場が既に織り込んでいる情報を「分析」として返す傾向があります。</w:t>
      </w:r>
    </w:p>
    <w:p>
      <w:r>
        <w:rPr>
          <w:rFonts w:ascii="Arial" w:cs="Arial" w:eastAsia="Arial" w:hAnsi="Arial"/>
          <w:sz w:val="22"/>
          <w:szCs w:val="22"/>
        </w:rPr>
        <w:t xml:space="preserve">このシステムではAIをコンセンサスの反対側に意図的に配置します。</w:t>
      </w:r>
    </w:p>
    <w:p/>
    <w:p>
      <w:pPr>
        <w:pStyle w:val="Heading3"/>
        <w:spacing w:before="200" w:after="100"/>
      </w:pPr>
      <w:r>
        <w:rPr>
          <w:rFonts w:ascii="Arial" w:cs="Arial" w:eastAsia="Arial" w:hAnsi="Arial"/>
          <w:b/>
          <w:bCs/>
          <w:color w:val="4A6A8A"/>
          <w:sz w:val="24"/>
          <w:szCs w:val="24"/>
        </w:rPr>
        <w:t xml:space="preserve">IC-05 攻撃モード</w:t>
      </w:r>
    </w:p>
    <w:p>
      <w:pPr>
        <w:pStyle w:val="ListParagraph"/>
        <w:numPr>
          <w:ilvl w:val="0"/>
          <w:numId w:val="2"/>
        </w:numPr>
        <w:spacing w:after="80"/>
      </w:pPr>
      <w:r>
        <w:rPr>
          <w:rFonts w:ascii="Arial" w:cs="Arial" w:eastAsia="Arial" w:hAnsi="Arial"/>
          <w:sz w:val="22"/>
          <w:szCs w:val="22"/>
        </w:rPr>
        <w:t xml:space="preserve">Thesisを全力で攻撃・否定する悪魔の代弁者として機能</w:t>
      </w:r>
    </w:p>
    <w:p>
      <w:pPr>
        <w:pStyle w:val="ListParagraph"/>
        <w:numPr>
          <w:ilvl w:val="0"/>
          <w:numId w:val="2"/>
        </w:numPr>
        <w:spacing w:after="80"/>
      </w:pPr>
      <w:r>
        <w:rPr>
          <w:rFonts w:ascii="Arial" w:cs="Arial" w:eastAsia="Arial" w:hAnsi="Arial"/>
          <w:sz w:val="22"/>
          <w:szCs w:val="22"/>
        </w:rPr>
        <w:t xml:space="preserve">楽観表現・バランス表現を完全禁止（システムプロンプトで強制）</w:t>
      </w:r>
    </w:p>
    <w:p>
      <w:pPr>
        <w:pStyle w:val="ListParagraph"/>
        <w:numPr>
          <w:ilvl w:val="0"/>
          <w:numId w:val="2"/>
        </w:numPr>
        <w:spacing w:after="80"/>
      </w:pPr>
      <w:r>
        <w:rPr>
          <w:rFonts w:ascii="Arial" w:cs="Arial" w:eastAsia="Arial" w:hAnsi="Arial"/>
          <w:sz w:val="22"/>
          <w:szCs w:val="22"/>
        </w:rPr>
        <w:t xml:space="preserve">市場の盲点（コンセンサスが見落とす致命的リスク）を必須で抽出</w:t>
      </w:r>
    </w:p>
    <w:p>
      <w:pPr>
        <w:pStyle w:val="ListParagraph"/>
        <w:numPr>
          <w:ilvl w:val="0"/>
          <w:numId w:val="2"/>
        </w:numPr>
        <w:spacing w:after="80"/>
      </w:pPr>
      <w:r>
        <w:rPr>
          <w:rFonts w:ascii="Arial" w:cs="Arial" w:eastAsia="Arial" w:hAnsi="Arial"/>
          <w:sz w:val="22"/>
          <w:szCs w:val="22"/>
        </w:rPr>
        <w:t xml:space="preserve">Thesis崩壊の具体的シナリオを時系列で出力</w:t>
      </w:r>
    </w:p>
    <w:p/>
    <w:p>
      <w:pPr>
        <w:pStyle w:val="Heading3"/>
        <w:spacing w:before="200" w:after="100"/>
      </w:pPr>
      <w:r>
        <w:rPr>
          <w:rFonts w:ascii="Arial" w:cs="Arial" w:eastAsia="Arial" w:hAnsi="Arial"/>
          <w:b/>
          <w:bCs/>
          <w:color w:val="4A6A8A"/>
          <w:sz w:val="24"/>
          <w:szCs w:val="24"/>
        </w:rPr>
        <w:t xml:space="preserve">IC-06 否定モード</w:t>
      </w:r>
    </w:p>
    <w:p>
      <w:pPr>
        <w:pStyle w:val="ListParagraph"/>
        <w:numPr>
          <w:ilvl w:val="0"/>
          <w:numId w:val="2"/>
        </w:numPr>
        <w:spacing w:after="80"/>
      </w:pPr>
      <w:r>
        <w:rPr>
          <w:rFonts w:ascii="Arial" w:cs="Arial" w:eastAsia="Arial" w:hAnsi="Arial"/>
          <w:sz w:val="22"/>
          <w:szCs w:val="22"/>
        </w:rPr>
        <w:t xml:space="preserve">「そのEdgeは市場がすでに知っている」という立場で徹底反論</w:t>
      </w:r>
    </w:p>
    <w:p>
      <w:pPr>
        <w:pStyle w:val="ListParagraph"/>
        <w:numPr>
          <w:ilvl w:val="0"/>
          <w:numId w:val="2"/>
        </w:numPr>
        <w:spacing w:after="80"/>
      </w:pPr>
      <w:r>
        <w:rPr>
          <w:rFonts w:ascii="Arial" w:cs="Arial" w:eastAsia="Arial" w:hAnsi="Arial"/>
          <w:sz w:val="22"/>
          <w:szCs w:val="22"/>
        </w:rPr>
        <w:t xml:space="preserve">AIの否定を乗り越えて残ったものだけが本物のEdge</w:t>
      </w:r>
    </w:p>
    <w:p>
      <w:pPr>
        <w:pStyle w:val="ListParagraph"/>
        <w:numPr>
          <w:ilvl w:val="0"/>
          <w:numId w:val="2"/>
        </w:numPr>
        <w:spacing w:after="80"/>
      </w:pPr>
      <w:r>
        <w:rPr>
          <w:rFonts w:ascii="Arial" w:cs="Arial" w:eastAsia="Arial" w:hAnsi="Arial"/>
          <w:sz w:val="22"/>
          <w:szCs w:val="22"/>
        </w:rPr>
        <w:t xml:space="preserve">Edgeのない投資はギャンブルとしてPASSを推奨</w:t>
      </w:r>
    </w:p>
    <w:p/>
    <w:p>
      <w:pPr>
        <w:pStyle w:val="Heading2"/>
        <w:pBdr>
          <w:bottom w:val="single" w:color="00D4FF" w:sz="4" w:space="2"/>
        </w:pBdr>
        <w:spacing w:before="280" w:after="140"/>
      </w:pPr>
      <w:r>
        <w:rPr>
          <w:rFonts w:ascii="Arial" w:cs="Arial" w:eastAsia="Arial" w:hAnsi="Arial"/>
          <w:b/>
          <w:bCs/>
          <w:color w:val="1E3A5F"/>
          <w:sz w:val="28"/>
          <w:szCs w:val="28"/>
        </w:rPr>
        <w:t xml:space="preserve">3.3 バリュエーションゲート（IC-06.5）</w:t>
      </w:r>
    </w:p>
    <w:p>
      <w:r>
        <w:rPr>
          <w:rFonts w:ascii="Arial" w:cs="Arial" w:eastAsia="Arial" w:hAnsi="Arial"/>
          <w:sz w:val="22"/>
          <w:szCs w:val="22"/>
        </w:rPr>
        <w:t xml:space="preserve">いくら良い会社でも過大評価なら投資ではない。Investment = Company × Price という原則を数字で強制します。</w:t>
      </w:r>
    </w:p>
    <w:p/>
    <w:p>
      <w:pPr>
        <w:shd w:fill="0A1520" w:val="clear"/>
        <w:spacing w:after="0"/>
        <w:ind w:left="360"/>
      </w:pPr>
      <w:r>
        <w:rPr>
          <w:rFonts w:ascii="Courier New" w:cs="Courier New" w:eastAsia="Courier New" w:hAnsi="Courier New"/>
          <w:color w:val="00D4FF"/>
          <w:sz w:val="20"/>
          <w:szCs w:val="20"/>
        </w:rPr>
        <w:t xml:space="preserve">入力: 現在売上高 / 年間成長率(%) / 目標営業利益率(%) / 出口倍率 / 投資期間</w:t>
      </w:r>
    </w:p>
    <w:p>
      <w:pPr>
        <w:shd w:fill="0A1520" w:val="clear"/>
        <w:spacing w:after="0"/>
        <w:ind w:left="360"/>
      </w:pPr>
      <w:r>
        <w:rPr>
          <w:rFonts w:ascii="Courier New" w:cs="Courier New" w:eastAsia="Courier New" w:hAnsi="Courier New"/>
          <w:color w:val="00D4FF"/>
          <w:sz w:val="20"/>
          <w:szCs w:val="20"/>
        </w:rPr>
        <w:t xml:space="preserve"/>
      </w:r>
    </w:p>
    <w:p>
      <w:pPr>
        <w:shd w:fill="0A1520" w:val="clear"/>
        <w:spacing w:after="0"/>
        <w:ind w:left="360"/>
      </w:pPr>
      <w:r>
        <w:rPr>
          <w:rFonts w:ascii="Courier New" w:cs="Courier New" w:eastAsia="Courier New" w:hAnsi="Courier New"/>
          <w:color w:val="00D4FF"/>
          <w:sz w:val="20"/>
          <w:szCs w:val="20"/>
        </w:rPr>
        <w:t xml:space="preserve">計算:</w:t>
      </w:r>
    </w:p>
    <w:p>
      <w:pPr>
        <w:shd w:fill="0A1520" w:val="clear"/>
        <w:spacing w:after="0"/>
        <w:ind w:left="360"/>
      </w:pPr>
      <w:r>
        <w:rPr>
          <w:rFonts w:ascii="Courier New" w:cs="Courier New" w:eastAsia="Courier New" w:hAnsi="Courier New"/>
          <w:color w:val="00D4FF"/>
          <w:sz w:val="20"/>
          <w:szCs w:val="20"/>
        </w:rPr>
        <w:t xml:space="preserve">  N年後売上  = 現在売上 × (1 + 成長率)^N</w:t>
      </w:r>
    </w:p>
    <w:p>
      <w:pPr>
        <w:shd w:fill="0A1520" w:val="clear"/>
        <w:spacing w:after="0"/>
        <w:ind w:left="360"/>
      </w:pPr>
      <w:r>
        <w:rPr>
          <w:rFonts w:ascii="Courier New" w:cs="Courier New" w:eastAsia="Courier New" w:hAnsi="Courier New"/>
          <w:color w:val="00D4FF"/>
          <w:sz w:val="20"/>
          <w:szCs w:val="20"/>
        </w:rPr>
        <w:t xml:space="preserve">  N年後利益  = N年後売上 × 利益率</w:t>
      </w:r>
    </w:p>
    <w:p>
      <w:pPr>
        <w:shd w:fill="0A1520" w:val="clear"/>
        <w:spacing w:after="0"/>
        <w:ind w:left="360"/>
      </w:pPr>
      <w:r>
        <w:rPr>
          <w:rFonts w:ascii="Courier New" w:cs="Courier New" w:eastAsia="Courier New" w:hAnsi="Courier New"/>
          <w:color w:val="00D4FF"/>
          <w:sz w:val="20"/>
          <w:szCs w:val="20"/>
        </w:rPr>
        <w:t xml:space="preserve">  N年後時価総額 = N年後利益 × 出口倍率</w:t>
      </w:r>
    </w:p>
    <w:p>
      <w:pPr>
        <w:shd w:fill="0A1520" w:val="clear"/>
        <w:spacing w:after="0"/>
        <w:ind w:left="360"/>
      </w:pPr>
      <w:r>
        <w:rPr>
          <w:rFonts w:ascii="Courier New" w:cs="Courier New" w:eastAsia="Courier New" w:hAnsi="Courier New"/>
          <w:color w:val="00D4FF"/>
          <w:sz w:val="20"/>
          <w:szCs w:val="20"/>
        </w:rPr>
        <w:t xml:space="preserve">  期待CAGR = (N年後時価総額 / 現在時価総額)^(1/N) - 1</w:t>
      </w:r>
    </w:p>
    <w:p>
      <w:pPr>
        <w:shd w:fill="0A1520" w:val="clear"/>
        <w:spacing w:after="0"/>
        <w:ind w:left="360"/>
      </w:pPr>
      <w:r>
        <w:rPr>
          <w:rFonts w:ascii="Courier New" w:cs="Courier New" w:eastAsia="Courier New" w:hAnsi="Courier New"/>
          <w:color w:val="00D4FF"/>
          <w:sz w:val="20"/>
          <w:szCs w:val="20"/>
        </w:rPr>
        <w:t xml:space="preserve"/>
      </w:r>
    </w:p>
    <w:p>
      <w:pPr>
        <w:shd w:fill="0A1520" w:val="clear"/>
        <w:spacing w:after="0"/>
        <w:ind w:left="360"/>
      </w:pPr>
      <w:r>
        <w:rPr>
          <w:rFonts w:ascii="Courier New" w:cs="Courier New" w:eastAsia="Courier New" w:hAnsi="Courier New"/>
          <w:color w:val="00D4FF"/>
          <w:sz w:val="20"/>
          <w:szCs w:val="20"/>
        </w:rPr>
        <w:t xml:space="preserve">ゲート:</w:t>
      </w:r>
    </w:p>
    <w:p>
      <w:pPr>
        <w:shd w:fill="0A1520" w:val="clear"/>
        <w:spacing w:after="0"/>
        <w:ind w:left="360"/>
      </w:pPr>
      <w:r>
        <w:rPr>
          <w:rFonts w:ascii="Courier New" w:cs="Courier New" w:eastAsia="Courier New" w:hAnsi="Courier New"/>
          <w:color w:val="00D4FF"/>
          <w:sz w:val="20"/>
          <w:szCs w:val="20"/>
        </w:rPr>
        <w:t xml:space="preserve">  期待CAGR &lt; 12%  →  BUY禁止（IC-07へ進めない）</w:t>
      </w:r>
    </w:p>
    <w:p>
      <w:pPr>
        <w:shd w:fill="0A1520" w:val="clear"/>
        <w:spacing w:after="0"/>
        <w:ind w:left="360"/>
      </w:pPr>
      <w:r>
        <w:rPr>
          <w:rFonts w:ascii="Courier New" w:cs="Courier New" w:eastAsia="Courier New" w:hAnsi="Courier New"/>
          <w:color w:val="00D4FF"/>
          <w:sz w:val="20"/>
          <w:szCs w:val="20"/>
        </w:rPr>
        <w:t xml:space="preserve">  期待CAGR 12-20% →  WATCH</w:t>
      </w:r>
    </w:p>
    <w:p>
      <w:pPr>
        <w:shd w:fill="0A1520" w:val="clear"/>
        <w:spacing w:after="0"/>
        <w:ind w:left="360"/>
      </w:pPr>
      <w:r>
        <w:rPr>
          <w:rFonts w:ascii="Courier New" w:cs="Courier New" w:eastAsia="Courier New" w:hAnsi="Courier New"/>
          <w:color w:val="00D4FF"/>
          <w:sz w:val="20"/>
          <w:szCs w:val="20"/>
        </w:rPr>
        <w:t xml:space="preserve">  期待CAGR &gt; 20%  →  BUY候補</w:t>
      </w:r>
    </w:p>
    <w:p>
      <w:pPr>
        <w:shd w:fill="0A1520" w:val="clear"/>
        <w:spacing w:after="0"/>
        <w:ind w:left="360"/>
      </w:pPr>
      <w:r>
        <w:rPr>
          <w:rFonts w:ascii="Courier New" w:cs="Courier New" w:eastAsia="Courier New" w:hAnsi="Courier New"/>
          <w:color w:val="00D4FF"/>
          <w:sz w:val="20"/>
          <w:szCs w:val="20"/>
        </w:rPr>
        <w:t xml:space="preserve"/>
      </w:r>
    </w:p>
    <w:p>
      <w:pPr>
        <w:shd w:fill="0A1520" w:val="clear"/>
        <w:spacing w:after="0"/>
        <w:ind w:left="360"/>
      </w:pPr>
      <w:r>
        <w:rPr>
          <w:rFonts w:ascii="Courier New" w:cs="Courier New" w:eastAsia="Courier New" w:hAnsi="Courier New"/>
          <w:color w:val="00D4FF"/>
          <w:sz w:val="20"/>
          <w:szCs w:val="20"/>
        </w:rPr>
        <w:t xml:space="preserve">感応度: ベア(×0.65) / ベース(×1.0) / ブル(×1.4) の3シナリオ</w:t>
      </w:r>
    </w:p>
    <w:p/>
    <w:p>
      <w:pPr>
        <w:pStyle w:val="Heading2"/>
        <w:pBdr>
          <w:bottom w:val="single" w:color="00D4FF" w:sz="4" w:space="2"/>
        </w:pBdr>
        <w:spacing w:before="280" w:after="140"/>
      </w:pPr>
      <w:r>
        <w:rPr>
          <w:rFonts w:ascii="Arial" w:cs="Arial" w:eastAsia="Arial" w:hAnsi="Arial"/>
          <w:b/>
          <w:bCs/>
          <w:color w:val="1E3A5F"/>
          <w:sz w:val="28"/>
          <w:szCs w:val="28"/>
        </w:rPr>
        <w:t xml:space="preserve">3.4 8委員VETOシステム（IC-07）</w:t>
      </w:r>
    </w:p>
    <w:p>
      <w:r>
        <w:rPr>
          <w:rFonts w:ascii="Arial" w:cs="Arial" w:eastAsia="Arial" w:hAnsi="Arial"/>
          <w:sz w:val="22"/>
          <w:szCs w:val="22"/>
        </w:rPr>
        <w:t xml:space="preserve">6/8以上の委員が通過した場合のみBUYを許可します。各委員は独自の思想的フィルターを持ちます。</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委員</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フォーカス</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VETO条件</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審査観点</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バフェット委員</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永続性・安全域</w:t>
            </w:r>
          </w:p>
        </w:tc>
        <w:tc>
          <w:tcPr>
            <w:tcW w:type="dxa" w:w="2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B91C1C"/>
                <w:sz w:val="18"/>
                <w:szCs w:val="18"/>
              </w:rPr>
              <w:t xml:space="preserve">理解不能/過剰負債/流砂構造</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モートは10年後も残るか。ROIC&gt;WACC長期成立するか</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マンガー委員</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認知・構造チェック</w:t>
            </w:r>
          </w:p>
        </w:tc>
        <w:tc>
          <w:tcPr>
            <w:tcW w:type="dxa" w:w="2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B91C1C"/>
                <w:sz w:val="18"/>
                <w:szCs w:val="18"/>
              </w:rPr>
              <w:t xml:space="preserve">歪んだインセンティブ/複雑性</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逆から考えても成立するか。インセンティブは正常か</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ダリオ委員</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マクロ耐性</w:t>
            </w:r>
          </w:p>
        </w:tc>
        <w:tc>
          <w:tcPr>
            <w:tcW w:type="dxa" w:w="2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B91C1C"/>
                <w:sz w:val="18"/>
                <w:szCs w:val="18"/>
              </w:rPr>
              <w:t xml:space="preserve">単一サイクル依存/地政学脆弱</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金利・信用サイクル上の位置。地政学で壊れないか</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フィッシャー委員</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成長の質</w:t>
            </w:r>
          </w:p>
        </w:tc>
        <w:tc>
          <w:tcPr>
            <w:tcW w:type="dxa" w:w="2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B91C1C"/>
                <w:sz w:val="18"/>
                <w:szCs w:val="18"/>
              </w:rPr>
              <w:t xml:space="preserve">数字だけの成長/コスト構造悪化</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需要の質に支えられた成長か。現場情報で裏付けできるか</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バーリ委員</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過熱・歪み検知</w:t>
            </w:r>
          </w:p>
        </w:tc>
        <w:tc>
          <w:tcPr>
            <w:tcW w:type="dxa" w:w="2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B91C1C"/>
                <w:sz w:val="18"/>
                <w:szCs w:val="18"/>
              </w:rPr>
              <w:t xml:space="preserve">ナラティブ先行/ROIC劣化</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コンセンサスが先行しすぎていないか。ROICの劣化兆候</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キャシー委員</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技術・非連続性</w:t>
            </w:r>
          </w:p>
        </w:tc>
        <w:tc>
          <w:tcPr>
            <w:tcW w:type="dxa" w:w="2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B91C1C"/>
                <w:sz w:val="18"/>
                <w:szCs w:val="18"/>
              </w:rPr>
              <w:t xml:space="preserve">収益化が遠すぎる/WTA構造でない</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Winner-take-most構造か。収益化までの距離は現実的か</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伊藤忠委員</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商流・撤退判断</w:t>
            </w:r>
          </w:p>
        </w:tc>
        <w:tc>
          <w:tcPr>
            <w:tcW w:type="dxa" w:w="2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B91C1C"/>
                <w:sz w:val="18"/>
                <w:szCs w:val="18"/>
              </w:rPr>
              <w:t xml:space="preserve">川下を握れない/引き返せない構造</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川下（顧客接点）を握れているか。撤退可能か</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キーエンス委員</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顧客ROI・価格決定権</w:t>
            </w:r>
          </w:p>
        </w:tc>
        <w:tc>
          <w:tcPr>
            <w:tcW w:type="dxa" w:w="2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B91C1C"/>
                <w:sz w:val="18"/>
                <w:szCs w:val="18"/>
              </w:rPr>
              <w:t xml:space="preserve">顧客ROI不明確/価格競争リスク</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顧客ROIが明確か。価格競争に陥らない構造か</w:t>
            </w:r>
          </w:p>
        </w:tc>
      </w:tr>
    </w:tbl>
    <w:p/>
    <w:p>
      <w:pPr>
        <w:pStyle w:val="Heading2"/>
        <w:pBdr>
          <w:bottom w:val="single" w:color="00D4FF" w:sz="4" w:space="2"/>
        </w:pBdr>
        <w:spacing w:before="280" w:after="140"/>
      </w:pPr>
      <w:r>
        <w:rPr>
          <w:rFonts w:ascii="Arial" w:cs="Arial" w:eastAsia="Arial" w:hAnsi="Arial"/>
          <w:b/>
          <w:bCs/>
          <w:color w:val="1E3A5F"/>
          <w:sz w:val="28"/>
          <w:szCs w:val="28"/>
        </w:rPr>
        <w:t xml:space="preserve">3.5 IC-10 → IC-05 学習ループ</w:t>
      </w:r>
    </w:p>
    <w:p>
      <w:r>
        <w:rPr>
          <w:rFonts w:ascii="Arial" w:cs="Arial" w:eastAsia="Arial" w:hAnsi="Arial"/>
          <w:sz w:val="22"/>
          <w:szCs w:val="22"/>
        </w:rPr>
        <w:t xml:space="preserve">失敗研究委員会で記録したLessonは、反証委員会のチェックリストに永続蓄積されます。これにより委員会自体が学習・成長します。</w:t>
      </w:r>
    </w:p>
    <w:p/>
    <w:p>
      <w:pPr>
        <w:shd w:fill="0A1520" w:val="clear"/>
        <w:spacing w:after="0"/>
        <w:ind w:left="360"/>
      </w:pPr>
      <w:r>
        <w:rPr>
          <w:rFonts w:ascii="Courier New" w:cs="Courier New" w:eastAsia="Courier New" w:hAnsi="Courier New"/>
          <w:color w:val="00D4FF"/>
          <w:sz w:val="20"/>
          <w:szCs w:val="20"/>
        </w:rPr>
        <w:t xml:space="preserve">IC-10 失敗研究委員会</w:t>
      </w:r>
    </w:p>
    <w:p>
      <w:pPr>
        <w:shd w:fill="0A1520" w:val="clear"/>
        <w:spacing w:after="0"/>
        <w:ind w:left="360"/>
      </w:pPr>
      <w:r>
        <w:rPr>
          <w:rFonts w:ascii="Courier New" w:cs="Courier New" w:eastAsia="Courier New" w:hAnsi="Courier New"/>
          <w:color w:val="00D4FF"/>
          <w:sz w:val="20"/>
          <w:szCs w:val="20"/>
        </w:rPr>
        <w:t xml:space="preserve">  ↓  Lesson: 「高成長株の反証では必ずバリュエーション崩壊シナリオを書く」</w:t>
      </w:r>
    </w:p>
    <w:p>
      <w:pPr>
        <w:shd w:fill="0A1520" w:val="clear"/>
        <w:spacing w:after="0"/>
        <w:ind w:left="360"/>
      </w:pPr>
      <w:r>
        <w:rPr>
          <w:rFonts w:ascii="Courier New" w:cs="Courier New" w:eastAsia="Courier New" w:hAnsi="Courier New"/>
          <w:color w:val="00D4FF"/>
          <w:sz w:val="20"/>
          <w:szCs w:val="20"/>
        </w:rPr>
        <w:t xml:space="preserve">  ↓  失敗箇所: IC-05</w:t>
      </w:r>
    </w:p>
    <w:p>
      <w:pPr>
        <w:shd w:fill="0A1520" w:val="clear"/>
        <w:spacing w:after="0"/>
        <w:ind w:left="360"/>
      </w:pPr>
      <w:r>
        <w:rPr>
          <w:rFonts w:ascii="Courier New" w:cs="Courier New" w:eastAsia="Courier New" w:hAnsi="Courier New"/>
          <w:color w:val="00D4FF"/>
          <w:sz w:val="20"/>
          <w:szCs w:val="20"/>
        </w:rPr>
        <w:t xml:space="preserve">  ↓  localStorageに永続保存</w:t>
      </w:r>
    </w:p>
    <w:p>
      <w:pPr>
        <w:shd w:fill="0A1520" w:val="clear"/>
        <w:spacing w:after="0"/>
        <w:ind w:left="360"/>
      </w:pPr>
      <w:r>
        <w:rPr>
          <w:rFonts w:ascii="Courier New" w:cs="Courier New" w:eastAsia="Courier New" w:hAnsi="Courier New"/>
          <w:color w:val="00D4FF"/>
          <w:sz w:val="20"/>
          <w:szCs w:val="20"/>
        </w:rPr>
        <w:t xml:space="preserve">IC-05 反証委員会</w:t>
      </w:r>
    </w:p>
    <w:p>
      <w:pPr>
        <w:shd w:fill="0A1520" w:val="clear"/>
        <w:spacing w:after="0"/>
        <w:ind w:left="360"/>
      </w:pPr>
      <w:r>
        <w:rPr>
          <w:rFonts w:ascii="Courier New" w:cs="Courier New" w:eastAsia="Courier New" w:hAnsi="Courier New"/>
          <w:color w:val="00D4FF"/>
          <w:sz w:val="20"/>
          <w:szCs w:val="20"/>
        </w:rPr>
        <w:t xml:space="preserve">  ↑  過去Lessonをチェックリストとして表示（直近5件）</w:t>
      </w:r>
    </w:p>
    <w:p>
      <w:pPr>
        <w:shd w:fill="0A1520" w:val="clear"/>
        <w:spacing w:after="0"/>
        <w:ind w:left="360"/>
      </w:pPr>
      <w:r>
        <w:rPr>
          <w:rFonts w:ascii="Courier New" w:cs="Courier New" w:eastAsia="Courier New" w:hAnsi="Courier New"/>
          <w:color w:val="00D4FF"/>
          <w:sz w:val="20"/>
          <w:szCs w:val="20"/>
        </w:rPr>
        <w:t xml:space="preserve">  ↑  次回分析から自動的に適用される</w:t>
      </w:r>
    </w:p>
    <w:p>
      <w:r>
        <w:br w:type="page"/>
      </w:r>
    </w:p>
    <w:p>
      <w:pPr>
        <w:pStyle w:val="Heading1"/>
        <w:spacing w:before="360" w:after="200"/>
      </w:pPr>
      <w:r>
        <w:rPr>
          <w:rFonts w:ascii="Arial" w:cs="Arial" w:eastAsia="Arial" w:hAnsi="Arial"/>
          <w:b/>
          <w:bCs/>
          <w:color w:val="060A0E"/>
          <w:sz w:val="36"/>
          <w:szCs w:val="36"/>
        </w:rPr>
        <w:t xml:space="preserve">4. セキュリティ設計</w:t>
      </w:r>
    </w:p>
    <w:p>
      <w:r>
        <w:rPr>
          <w:rFonts w:ascii="Arial" w:cs="Arial" w:eastAsia="Arial" w:hAnsi="Arial"/>
          <w:sz w:val="22"/>
          <w:szCs w:val="22"/>
        </w:rPr>
        <w:t xml:space="preserve">個人の資産情報を扱うため、以下の4層のセキュリティを実装しています。</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レイヤー</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実装</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詳細</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① 認証</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22222"/>
                <w:sz w:val="20"/>
                <w:szCs w:val="20"/>
              </w:rPr>
              <w:t xml:space="preserve">ローカルパスワード</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初回起動時にパスワード設定（6文字以上）。ハッシュ化してlocalStorageに保存。外部認証サーバーなし。</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② データ保存</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22222"/>
                <w:sz w:val="20"/>
                <w:szCs w:val="20"/>
              </w:rPr>
              <w:t xml:space="preserve">localStorage（ローカル限定）</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全投資データはブラウザのlocalStorageにのみ保存。外部DBへの送信なし。</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③ API通信</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22222"/>
                <w:sz w:val="20"/>
                <w:szCs w:val="20"/>
              </w:rPr>
              <w:t xml:space="preserve">Anthropic APIのみ</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AI分析時はAnthropicのAPIにのみ通信。分析内容はサーバーに記録されない設計。</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④ 警告表示</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22222"/>
                <w:sz w:val="20"/>
                <w:szCs w:val="20"/>
              </w:rPr>
              <w:t xml:space="preserve">常時表示</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画面右上に「LOCAL ONLY — NO EXTERNAL TRANSMISSION」を常時表示。</w:t>
            </w:r>
          </w:p>
        </w:tc>
      </w:tr>
    </w:tbl>
    <w:p/>
    <w:p>
      <w:r>
        <w:rPr>
          <w:rFonts w:ascii="Arial" w:cs="Arial" w:eastAsia="Arial" w:hAnsi="Arial"/>
          <w:b/>
          <w:bCs/>
          <w:color w:val="B91C1C"/>
          <w:sz w:val="22"/>
          <w:szCs w:val="22"/>
        </w:rPr>
        <w:t xml:space="preserve">⚠ 注意事項:</w:t>
      </w:r>
    </w:p>
    <w:p>
      <w:pPr>
        <w:pStyle w:val="ListParagraph"/>
        <w:numPr>
          <w:ilvl w:val="0"/>
          <w:numId w:val="2"/>
        </w:numPr>
        <w:spacing w:after="80"/>
      </w:pPr>
      <w:r>
        <w:rPr>
          <w:rFonts w:ascii="Arial" w:cs="Arial" w:eastAsia="Arial" w:hAnsi="Arial"/>
          <w:sz w:val="22"/>
          <w:szCs w:val="22"/>
        </w:rPr>
        <w:t xml:space="preserve">ブラウザのキャッシュクリアやlocalStorageの削除でデータが消失します</w:t>
      </w:r>
    </w:p>
    <w:p>
      <w:pPr>
        <w:pStyle w:val="ListParagraph"/>
        <w:numPr>
          <w:ilvl w:val="0"/>
          <w:numId w:val="2"/>
        </w:numPr>
        <w:spacing w:after="80"/>
      </w:pPr>
      <w:r>
        <w:rPr>
          <w:rFonts w:ascii="Arial" w:cs="Arial" w:eastAsia="Arial" w:hAnsi="Arial"/>
          <w:sz w:val="22"/>
          <w:szCs w:val="22"/>
        </w:rPr>
        <w:t xml:space="preserve">本番運用前に定期バックアップの仕組みを実装することを推奨します</w:t>
      </w:r>
    </w:p>
    <w:p>
      <w:pPr>
        <w:pStyle w:val="ListParagraph"/>
        <w:numPr>
          <w:ilvl w:val="0"/>
          <w:numId w:val="2"/>
        </w:numPr>
        <w:spacing w:after="80"/>
      </w:pPr>
      <w:r>
        <w:rPr>
          <w:rFonts w:ascii="Arial" w:cs="Arial" w:eastAsia="Arial" w:hAnsi="Arial"/>
          <w:sz w:val="22"/>
          <w:szCs w:val="22"/>
        </w:rPr>
        <w:t xml:space="preserve">パスワードは単純ハッシュのため、高セキュリティ要件の場合はWebCrypto APIへの移行を推奨します</w:t>
      </w:r>
    </w:p>
    <w:p>
      <w:r>
        <w:br w:type="page"/>
      </w:r>
    </w:p>
    <w:p>
      <w:pPr>
        <w:pStyle w:val="Heading1"/>
        <w:spacing w:before="360" w:after="200"/>
      </w:pPr>
      <w:r>
        <w:rPr>
          <w:rFonts w:ascii="Arial" w:cs="Arial" w:eastAsia="Arial" w:hAnsi="Arial"/>
          <w:b/>
          <w:bCs/>
          <w:color w:val="060A0E"/>
          <w:sz w:val="36"/>
          <w:szCs w:val="36"/>
        </w:rPr>
        <w:t xml:space="preserve">5. データモデル</w:t>
      </w:r>
    </w:p>
    <w:p>
      <w:pPr>
        <w:pStyle w:val="Heading2"/>
        <w:pBdr>
          <w:bottom w:val="single" w:color="00D4FF" w:sz="4" w:space="2"/>
        </w:pBdr>
        <w:spacing w:before="280" w:after="140"/>
      </w:pPr>
      <w:r>
        <w:rPr>
          <w:rFonts w:ascii="Arial" w:cs="Arial" w:eastAsia="Arial" w:hAnsi="Arial"/>
          <w:b/>
          <w:bCs/>
          <w:color w:val="1E3A5F"/>
          <w:sz w:val="28"/>
          <w:szCs w:val="28"/>
        </w:rPr>
        <w:t xml:space="preserve">5.1 ストレージ構造</w:t>
      </w:r>
    </w:p>
    <w:p>
      <w:pPr>
        <w:shd w:fill="0A1520" w:val="clear"/>
        <w:spacing w:after="0"/>
        <w:ind w:left="360"/>
      </w:pPr>
      <w:r>
        <w:rPr>
          <w:rFonts w:ascii="Courier New" w:cs="Courier New" w:eastAsia="Courier New" w:hAnsi="Courier New"/>
          <w:color w:val="00D4FF"/>
          <w:sz w:val="20"/>
          <w:szCs w:val="20"/>
        </w:rPr>
        <w:t xml:space="preserve">localStorage keys:</w:t>
      </w:r>
    </w:p>
    <w:p>
      <w:pPr>
        <w:shd w:fill="0A1520" w:val="clear"/>
        <w:spacing w:after="0"/>
        <w:ind w:left="360"/>
      </w:pPr>
      <w:r>
        <w:rPr>
          <w:rFonts w:ascii="Courier New" w:cs="Courier New" w:eastAsia="Courier New" w:hAnsi="Courier New"/>
          <w:color w:val="00D4FF"/>
          <w:sz w:val="20"/>
          <w:szCs w:val="20"/>
        </w:rPr>
        <w:t xml:space="preserve">  ic4_auth      : ハッシュ化パスワード</w:t>
      </w:r>
    </w:p>
    <w:p>
      <w:pPr>
        <w:shd w:fill="0A1520" w:val="clear"/>
        <w:spacing w:after="0"/>
        <w:ind w:left="360"/>
      </w:pPr>
      <w:r>
        <w:rPr>
          <w:rFonts w:ascii="Courier New" w:cs="Courier New" w:eastAsia="Courier New" w:hAnsi="Courier New"/>
          <w:color w:val="00D4FF"/>
          <w:sz w:val="20"/>
          <w:szCs w:val="20"/>
        </w:rPr>
        <w:t xml:space="preserve">  ic4_log       : 投資ログ（全銘柄・全委員会データ）</w:t>
      </w:r>
    </w:p>
    <w:p>
      <w:pPr>
        <w:shd w:fill="0A1520" w:val="clear"/>
        <w:spacing w:after="0"/>
        <w:ind w:left="360"/>
      </w:pPr>
      <w:r>
        <w:rPr>
          <w:rFonts w:ascii="Courier New" w:cs="Courier New" w:eastAsia="Courier New" w:hAnsi="Courier New"/>
          <w:color w:val="00D4FF"/>
          <w:sz w:val="20"/>
          <w:szCs w:val="20"/>
        </w:rPr>
        <w:t xml:space="preserve">  ic4_lessons   : 蓄積されたLessons（IC-10 → IC-05ループ）</w:t>
      </w:r>
    </w:p>
    <w:p/>
    <w:p>
      <w:pPr>
        <w:pStyle w:val="Heading2"/>
        <w:pBdr>
          <w:bottom w:val="single" w:color="00D4FF" w:sz="4" w:space="2"/>
        </w:pBdr>
        <w:spacing w:before="280" w:after="140"/>
      </w:pPr>
      <w:r>
        <w:rPr>
          <w:rFonts w:ascii="Arial" w:cs="Arial" w:eastAsia="Arial" w:hAnsi="Arial"/>
          <w:b/>
          <w:bCs/>
          <w:color w:val="1E3A5F"/>
          <w:sz w:val="28"/>
          <w:szCs w:val="28"/>
        </w:rPr>
        <w:t xml:space="preserve">5.2 投資ログ構造</w:t>
      </w:r>
    </w:p>
    <w:p>
      <w:pPr>
        <w:shd w:fill="0A1520" w:val="clear"/>
        <w:spacing w:after="0"/>
        <w:ind w:left="360"/>
      </w:pPr>
      <w:r>
        <w:rPr>
          <w:rFonts w:ascii="Courier New" w:cs="Courier New" w:eastAsia="Courier New" w:hAnsi="Courier New"/>
          <w:color w:val="00D4FF"/>
          <w:sz w:val="20"/>
          <w:szCs w:val="20"/>
        </w:rPr>
        <w:t xml:space="preserve">ic4_log: {</w:t>
      </w:r>
    </w:p>
    <w:p>
      <w:pPr>
        <w:shd w:fill="0A1520" w:val="clear"/>
        <w:spacing w:after="0"/>
        <w:ind w:left="360"/>
      </w:pPr>
      <w:r>
        <w:rPr>
          <w:rFonts w:ascii="Courier New" w:cs="Courier New" w:eastAsia="Courier New" w:hAnsi="Courier New"/>
          <w:color w:val="00D4FF"/>
          <w:sz w:val="20"/>
          <w:szCs w:val="20"/>
        </w:rPr>
        <w:t xml:space="preserve">  "NVDA": {</w:t>
      </w:r>
    </w:p>
    <w:p>
      <w:pPr>
        <w:shd w:fill="0A1520" w:val="clear"/>
        <w:spacing w:after="0"/>
        <w:ind w:left="360"/>
      </w:pPr>
      <w:r>
        <w:rPr>
          <w:rFonts w:ascii="Courier New" w:cs="Courier New" w:eastAsia="Courier New" w:hAnsi="Courier New"/>
          <w:color w:val="00D4FF"/>
          <w:sz w:val="20"/>
          <w:szCs w:val="20"/>
        </w:rPr>
        <w:t xml:space="preserve">    "IC-01": { sources: "...", candidates: "..." },</w:t>
      </w:r>
    </w:p>
    <w:p>
      <w:pPr>
        <w:shd w:fill="0A1520" w:val="clear"/>
        <w:spacing w:after="0"/>
        <w:ind w:left="360"/>
      </w:pPr>
      <w:r>
        <w:rPr>
          <w:rFonts w:ascii="Courier New" w:cs="Courier New" w:eastAsia="Courier New" w:hAnsi="Courier New"/>
          <w:color w:val="00D4FF"/>
          <w:sz w:val="20"/>
          <w:szCs w:val="20"/>
        </w:rPr>
        <w:t xml:space="preserve">    "IC-02": { thesis: "NvidiaはAIインフラのOS...", thesis_collapse: "..." },</w:t>
      </w:r>
    </w:p>
    <w:p>
      <w:pPr>
        <w:shd w:fill="0A1520" w:val="clear"/>
        <w:spacing w:after="0"/>
        <w:ind w:left="360"/>
      </w:pPr>
      <w:r>
        <w:rPr>
          <w:rFonts w:ascii="Courier New" w:cs="Courier New" w:eastAsia="Courier New" w:hAnsi="Courier New"/>
          <w:color w:val="00D4FF"/>
          <w:sz w:val="20"/>
          <w:szCs w:val="20"/>
        </w:rPr>
        <w:t xml:space="preserve">    "IC-03": { tam: "$500B / CAGR 35%", ... },</w:t>
      </w:r>
    </w:p>
    <w:p>
      <w:pPr>
        <w:shd w:fill="0A1520" w:val="clear"/>
        <w:spacing w:after="0"/>
        <w:ind w:left="360"/>
      </w:pPr>
      <w:r>
        <w:rPr>
          <w:rFonts w:ascii="Courier New" w:cs="Courier New" w:eastAsia="Courier New" w:hAnsi="Courier New"/>
          <w:color w:val="00D4FF"/>
          <w:sz w:val="20"/>
          <w:szCs w:val="20"/>
        </w:rPr>
        <w:t xml:space="preserve">    "IC-04": { moat: "...", financials: "ROIC: 45%...", ... },</w:t>
      </w:r>
    </w:p>
    <w:p>
      <w:pPr>
        <w:shd w:fill="0A1520" w:val="clear"/>
        <w:spacing w:after="0"/>
        <w:ind w:left="360"/>
      </w:pPr>
      <w:r>
        <w:rPr>
          <w:rFonts w:ascii="Courier New" w:cs="Courier New" w:eastAsia="Courier New" w:hAnsi="Courier New"/>
          <w:color w:val="00D4FF"/>
          <w:sz w:val="20"/>
          <w:szCs w:val="20"/>
        </w:rPr>
        <w:t xml:space="preserve">    "IC-05": { tech_risk: "...", fatal_risk: "...", ai_attack: "..." },</w:t>
      </w:r>
    </w:p>
    <w:p>
      <w:pPr>
        <w:shd w:fill="0A1520" w:val="clear"/>
        <w:spacing w:after="0"/>
        <w:ind w:left="360"/>
      </w:pPr>
      <w:r>
        <w:rPr>
          <w:rFonts w:ascii="Courier New" w:cs="Courier New" w:eastAsia="Courier New" w:hAnsi="Courier New"/>
          <w:color w:val="00D4FF"/>
          <w:sz w:val="20"/>
          <w:szCs w:val="20"/>
        </w:rPr>
        <w:t xml:space="preserve">    "IC-06": { my_edge: "...", edge_strength: "STRONG", ai_edge_denial: "..." },</w:t>
      </w:r>
    </w:p>
    <w:p>
      <w:pPr>
        <w:shd w:fill="0A1520" w:val="clear"/>
        <w:spacing w:after="0"/>
        <w:ind w:left="360"/>
      </w:pPr>
      <w:r>
        <w:rPr>
          <w:rFonts w:ascii="Courier New" w:cs="Courier New" w:eastAsia="Courier New" w:hAnsi="Courier New"/>
          <w:color w:val="00D4FF"/>
          <w:sz w:val="20"/>
          <w:szCs w:val="20"/>
        </w:rPr>
        <w:t xml:space="preserve">    "IC-065": { rev_growth: "20", expected_cagr: "18.3", ai_valuation: "..." },</w:t>
      </w:r>
    </w:p>
    <w:p>
      <w:pPr>
        <w:shd w:fill="0A1520" w:val="clear"/>
        <w:spacing w:after="0"/>
        <w:ind w:left="360"/>
      </w:pPr>
      <w:r>
        <w:rPr>
          <w:rFonts w:ascii="Courier New" w:cs="Courier New" w:eastAsia="Courier New" w:hAnsi="Courier New"/>
          <w:color w:val="00D4FF"/>
          <w:sz w:val="20"/>
          <w:szCs w:val="20"/>
        </w:rPr>
        <w:t xml:space="preserve">    "IC-07": { veto_results: { buffett: {...}, munger: {...}, ... }, conviction: "8" },</w:t>
      </w:r>
    </w:p>
    <w:p>
      <w:pPr>
        <w:shd w:fill="0A1520" w:val="clear"/>
        <w:spacing w:after="0"/>
        <w:ind w:left="360"/>
      </w:pPr>
      <w:r>
        <w:rPr>
          <w:rFonts w:ascii="Courier New" w:cs="Courier New" w:eastAsia="Courier New" w:hAnsi="Courier New"/>
          <w:color w:val="00D4FF"/>
          <w:sz w:val="20"/>
          <w:szCs w:val="20"/>
        </w:rPr>
        <w:t xml:space="preserve">    "IC-08": { position_size: "8%", new_pf: "..." },</w:t>
      </w:r>
    </w:p>
    <w:p>
      <w:pPr>
        <w:shd w:fill="0A1520" w:val="clear"/>
        <w:spacing w:after="0"/>
        <w:ind w:left="360"/>
      </w:pPr>
      <w:r>
        <w:rPr>
          <w:rFonts w:ascii="Courier New" w:cs="Courier New" w:eastAsia="Courier New" w:hAnsi="Courier New"/>
          <w:color w:val="00D4FF"/>
          <w:sz w:val="20"/>
          <w:szCs w:val="20"/>
        </w:rPr>
        <w:t xml:space="preserve">    "IC-09": { exit_decision: "HOLD", thesis_status: "INTACT" },</w:t>
      </w:r>
    </w:p>
    <w:p>
      <w:pPr>
        <w:shd w:fill="0A1520" w:val="clear"/>
        <w:spacing w:after="0"/>
        <w:ind w:left="360"/>
      </w:pPr>
      <w:r>
        <w:rPr>
          <w:rFonts w:ascii="Courier New" w:cs="Courier New" w:eastAsia="Courier New" w:hAnsi="Courier New"/>
          <w:color w:val="00D4FF"/>
          <w:sz w:val="20"/>
          <w:szCs w:val="20"/>
        </w:rPr>
        <w:t xml:space="preserve">  },</w:t>
      </w:r>
    </w:p>
    <w:p>
      <w:pPr>
        <w:shd w:fill="0A1520" w:val="clear"/>
        <w:spacing w:after="0"/>
        <w:ind w:left="360"/>
      </w:pPr>
      <w:r>
        <w:rPr>
          <w:rFonts w:ascii="Courier New" w:cs="Courier New" w:eastAsia="Courier New" w:hAnsi="Courier New"/>
          <w:color w:val="00D4FF"/>
          <w:sz w:val="20"/>
          <w:szCs w:val="20"/>
        </w:rPr>
        <w:t xml:space="preserve">  "AAPL": { ... }</w:t>
      </w:r>
    </w:p>
    <w:p>
      <w:pPr>
        <w:shd w:fill="0A1520" w:val="clear"/>
        <w:spacing w:after="0"/>
        <w:ind w:left="360"/>
      </w:pPr>
      <w:r>
        <w:rPr>
          <w:rFonts w:ascii="Courier New" w:cs="Courier New" w:eastAsia="Courier New" w:hAnsi="Courier New"/>
          <w:color w:val="00D4FF"/>
          <w:sz w:val="20"/>
          <w:szCs w:val="20"/>
        </w:rPr>
        <w:t xml:space="preserve">}</w:t>
      </w:r>
    </w:p>
    <w:p/>
    <w:p>
      <w:pPr>
        <w:pStyle w:val="Heading2"/>
        <w:pBdr>
          <w:bottom w:val="single" w:color="00D4FF" w:sz="4" w:space="2"/>
        </w:pBdr>
        <w:spacing w:before="280" w:after="140"/>
      </w:pPr>
      <w:r>
        <w:rPr>
          <w:rFonts w:ascii="Arial" w:cs="Arial" w:eastAsia="Arial" w:hAnsi="Arial"/>
          <w:b/>
          <w:bCs/>
          <w:color w:val="1E3A5F"/>
          <w:sz w:val="28"/>
          <w:szCs w:val="28"/>
        </w:rPr>
        <w:t xml:space="preserve">5.3 Lessons構造</w:t>
      </w:r>
    </w:p>
    <w:p>
      <w:pPr>
        <w:shd w:fill="0A1520" w:val="clear"/>
        <w:spacing w:after="0"/>
        <w:ind w:left="360"/>
      </w:pPr>
      <w:r>
        <w:rPr>
          <w:rFonts w:ascii="Courier New" w:cs="Courier New" w:eastAsia="Courier New" w:hAnsi="Courier New"/>
          <w:color w:val="00D4FF"/>
          <w:sz w:val="20"/>
          <w:szCs w:val="20"/>
        </w:rPr>
        <w:t xml:space="preserve">ic4_lessons: [</w:t>
      </w:r>
    </w:p>
    <w:p>
      <w:pPr>
        <w:shd w:fill="0A1520" w:val="clear"/>
        <w:spacing w:after="0"/>
        <w:ind w:left="360"/>
      </w:pPr>
      <w:r>
        <w:rPr>
          <w:rFonts w:ascii="Courier New" w:cs="Courier New" w:eastAsia="Courier New" w:hAnsi="Courier New"/>
          <w:color w:val="00D4FF"/>
          <w:sz w:val="20"/>
          <w:szCs w:val="20"/>
        </w:rPr>
        <w:t xml:space="preserve">  {</w:t>
      </w:r>
    </w:p>
    <w:p>
      <w:pPr>
        <w:shd w:fill="0A1520" w:val="clear"/>
        <w:spacing w:after="0"/>
        <w:ind w:left="360"/>
      </w:pPr>
      <w:r>
        <w:rPr>
          <w:rFonts w:ascii="Courier New" w:cs="Courier New" w:eastAsia="Courier New" w:hAnsi="Courier New"/>
          <w:color w:val="00D4FF"/>
          <w:sz w:val="20"/>
          <w:szCs w:val="20"/>
        </w:rPr>
        <w:t xml:space="preserve">    id: 1234567890,</w:t>
      </w:r>
    </w:p>
    <w:p>
      <w:pPr>
        <w:shd w:fill="0A1520" w:val="clear"/>
        <w:spacing w:after="0"/>
        <w:ind w:left="360"/>
      </w:pPr>
      <w:r>
        <w:rPr>
          <w:rFonts w:ascii="Courier New" w:cs="Courier New" w:eastAsia="Courier New" w:hAnsi="Courier New"/>
          <w:color w:val="00D4FF"/>
          <w:sz w:val="20"/>
          <w:szCs w:val="20"/>
        </w:rPr>
        <w:t xml:space="preserve">    ticker: "NVDA",</w:t>
      </w:r>
    </w:p>
    <w:p>
      <w:pPr>
        <w:shd w:fill="0A1520" w:val="clear"/>
        <w:spacing w:after="0"/>
        <w:ind w:left="360"/>
      </w:pPr>
      <w:r>
        <w:rPr>
          <w:rFonts w:ascii="Courier New" w:cs="Courier New" w:eastAsia="Courier New" w:hAnsi="Courier New"/>
          <w:color w:val="00D4FF"/>
          <w:sz w:val="20"/>
          <w:szCs w:val="20"/>
        </w:rPr>
        <w:t xml:space="preserve">    lesson: "高成長株の反証では必ずバリュエーション崩壊シナリオを書く",</w:t>
      </w:r>
    </w:p>
    <w:p>
      <w:pPr>
        <w:shd w:fill="0A1520" w:val="clear"/>
        <w:spacing w:after="0"/>
        <w:ind w:left="360"/>
      </w:pPr>
      <w:r>
        <w:rPr>
          <w:rFonts w:ascii="Courier New" w:cs="Courier New" w:eastAsia="Courier New" w:hAnsi="Courier New"/>
          <w:color w:val="00D4FF"/>
          <w:sz w:val="20"/>
          <w:szCs w:val="20"/>
        </w:rPr>
        <w:t xml:space="preserve">    failedAt: "IC-05 反証",</w:t>
      </w:r>
    </w:p>
    <w:p>
      <w:pPr>
        <w:shd w:fill="0A1520" w:val="clear"/>
        <w:spacing w:after="0"/>
        <w:ind w:left="360"/>
      </w:pPr>
      <w:r>
        <w:rPr>
          <w:rFonts w:ascii="Courier New" w:cs="Courier New" w:eastAsia="Courier New" w:hAnsi="Courier New"/>
          <w:color w:val="00D4FF"/>
          <w:sz w:val="20"/>
          <w:szCs w:val="20"/>
        </w:rPr>
        <w:t xml:space="preserve">    date: "2026-03-12"</w:t>
      </w:r>
    </w:p>
    <w:p>
      <w:pPr>
        <w:shd w:fill="0A1520" w:val="clear"/>
        <w:spacing w:after="0"/>
        <w:ind w:left="360"/>
      </w:pPr>
      <w:r>
        <w:rPr>
          <w:rFonts w:ascii="Courier New" w:cs="Courier New" w:eastAsia="Courier New" w:hAnsi="Courier New"/>
          <w:color w:val="00D4FF"/>
          <w:sz w:val="20"/>
          <w:szCs w:val="20"/>
        </w:rPr>
        <w:t xml:space="preserve">  },</w:t>
      </w:r>
    </w:p>
    <w:p>
      <w:pPr>
        <w:shd w:fill="0A1520" w:val="clear"/>
        <w:spacing w:after="0"/>
        <w:ind w:left="360"/>
      </w:pPr>
      <w:r>
        <w:rPr>
          <w:rFonts w:ascii="Courier New" w:cs="Courier New" w:eastAsia="Courier New" w:hAnsi="Courier New"/>
          <w:color w:val="00D4FF"/>
          <w:sz w:val="20"/>
          <w:szCs w:val="20"/>
        </w:rPr>
        <w:t xml:space="preserve">  ...</w:t>
      </w:r>
    </w:p>
    <w:p>
      <w:pPr>
        <w:shd w:fill="0A1520" w:val="clear"/>
        <w:spacing w:after="0"/>
        <w:ind w:left="360"/>
      </w:pPr>
      <w:r>
        <w:rPr>
          <w:rFonts w:ascii="Courier New" w:cs="Courier New" w:eastAsia="Courier New" w:hAnsi="Courier New"/>
          <w:color w:val="00D4FF"/>
          <w:sz w:val="20"/>
          <w:szCs w:val="20"/>
        </w:rPr>
        <w:t xml:space="preserve">]</w:t>
      </w:r>
    </w:p>
    <w:p>
      <w:r>
        <w:br w:type="page"/>
      </w:r>
    </w:p>
    <w:p>
      <w:pPr>
        <w:pStyle w:val="Heading1"/>
        <w:spacing w:before="360" w:after="200"/>
      </w:pPr>
      <w:r>
        <w:rPr>
          <w:rFonts w:ascii="Arial" w:cs="Arial" w:eastAsia="Arial" w:hAnsi="Arial"/>
          <w:b/>
          <w:bCs/>
          <w:color w:val="060A0E"/>
          <w:sz w:val="36"/>
          <w:szCs w:val="36"/>
        </w:rPr>
        <w:t xml:space="preserve">6. 技術スタック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カテゴリ</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技術</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フロントエンド</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333333"/>
                <w:sz w:val="18"/>
                <w:szCs w:val="18"/>
              </w:rPr>
              <w:t xml:space="preserve">React (JSX)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UIコンポーネント / 状態管理</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スタイリング</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333333"/>
                <w:sz w:val="18"/>
                <w:szCs w:val="18"/>
              </w:rPr>
              <w:t xml:space="preserve">インラインCSS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Tailwind非使用。完全カスタムデザイン</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ストレージ</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333333"/>
                <w:sz w:val="18"/>
                <w:szCs w:val="18"/>
              </w:rPr>
              <w:t xml:space="preserve">localStorage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ローカル永続化（外部DB不使用）</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AI</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333333"/>
                <w:sz w:val="18"/>
                <w:szCs w:val="18"/>
              </w:rPr>
              <w:t xml:space="preserve">Anthropic Claude Sonnet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各委員会のAI分析・8委員VETO判定</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モデル</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333333"/>
                <w:sz w:val="18"/>
                <w:szCs w:val="18"/>
              </w:rPr>
              <w:t xml:space="preserve">claude-sonnet-4-20250514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最新Sonnetモデル（max_tokens: 1200）</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認証</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333333"/>
                <w:sz w:val="18"/>
                <w:szCs w:val="18"/>
              </w:rPr>
              <w:t xml:space="preserve">ローカルハッシュ</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hashPw関数によるローカル認証</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D4ED8"/>
                <w:sz w:val="18"/>
                <w:szCs w:val="18"/>
              </w:rPr>
              <w:t xml:space="preserve">デプロイ</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333333"/>
                <w:sz w:val="18"/>
                <w:szCs w:val="18"/>
              </w:rPr>
              <w:t xml:space="preserve">Claude Artifact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claude.ai上でそのまま動作</w:t>
            </w:r>
          </w:p>
        </w:tc>
      </w:tr>
    </w:tbl>
    <w:p>
      <w:r>
        <w:br w:type="page"/>
      </w:r>
    </w:p>
    <w:p>
      <w:pPr>
        <w:pStyle w:val="Heading1"/>
        <w:spacing w:before="360" w:after="200"/>
      </w:pPr>
      <w:r>
        <w:rPr>
          <w:rFonts w:ascii="Arial" w:cs="Arial" w:eastAsia="Arial" w:hAnsi="Arial"/>
          <w:b/>
          <w:bCs/>
          <w:color w:val="060A0E"/>
          <w:sz w:val="36"/>
          <w:szCs w:val="36"/>
        </w:rPr>
        <w:t xml:space="preserve">7. 今後の改善候補</w:t>
      </w:r>
    </w:p>
    <w:p>
      <w:pPr>
        <w:pStyle w:val="Heading2"/>
        <w:pBdr>
          <w:bottom w:val="single" w:color="00D4FF" w:sz="4" w:space="2"/>
        </w:pBdr>
        <w:spacing w:before="280" w:after="140"/>
      </w:pPr>
      <w:r>
        <w:rPr>
          <w:rFonts w:ascii="Arial" w:cs="Arial" w:eastAsia="Arial" w:hAnsi="Arial"/>
          <w:b/>
          <w:bCs/>
          <w:color w:val="1E3A5F"/>
          <w:sz w:val="28"/>
          <w:szCs w:val="28"/>
        </w:rPr>
        <w:t xml:space="preserve">7.1 優先度：高</w:t>
      </w:r>
    </w:p>
    <w:p>
      <w:pPr>
        <w:pStyle w:val="ListParagraph"/>
        <w:numPr>
          <w:ilvl w:val="0"/>
          <w:numId w:val="2"/>
        </w:numPr>
        <w:spacing w:after="80"/>
      </w:pPr>
      <w:r>
        <w:rPr>
          <w:rFonts w:ascii="Arial" w:cs="Arial" w:eastAsia="Arial" w:hAnsi="Arial"/>
          <w:sz w:val="22"/>
          <w:szCs w:val="22"/>
        </w:rPr>
        <w:t xml:space="preserve">ウェブ検索連携 — ①情報収集委員会でリアルタイムニュース取得</w:t>
      </w:r>
    </w:p>
    <w:p>
      <w:pPr>
        <w:pStyle w:val="ListParagraph"/>
        <w:numPr>
          <w:ilvl w:val="0"/>
          <w:numId w:val="2"/>
        </w:numPr>
        <w:spacing w:after="80"/>
      </w:pPr>
      <w:r>
        <w:rPr>
          <w:rFonts w:ascii="Arial" w:cs="Arial" w:eastAsia="Arial" w:hAnsi="Arial"/>
          <w:sz w:val="22"/>
          <w:szCs w:val="22"/>
        </w:rPr>
        <w:t xml:space="preserve">バックアップ機能 — JSON export/importでデータ保護</w:t>
      </w:r>
    </w:p>
    <w:p>
      <w:pPr>
        <w:pStyle w:val="ListParagraph"/>
        <w:numPr>
          <w:ilvl w:val="0"/>
          <w:numId w:val="2"/>
        </w:numPr>
        <w:spacing w:after="80"/>
      </w:pPr>
      <w:r>
        <w:rPr>
          <w:rFonts w:ascii="Arial" w:cs="Arial" w:eastAsia="Arial" w:hAnsi="Arial"/>
          <w:sz w:val="22"/>
          <w:szCs w:val="22"/>
        </w:rPr>
        <w:t xml:space="preserve">ポートフォリオダッシュボード — 全保有銘柄のthesis状態を一覧表示</w:t>
      </w:r>
    </w:p>
    <w:p/>
    <w:p>
      <w:pPr>
        <w:pStyle w:val="Heading2"/>
        <w:pBdr>
          <w:bottom w:val="single" w:color="00D4FF" w:sz="4" w:space="2"/>
        </w:pBdr>
        <w:spacing w:before="280" w:after="140"/>
      </w:pPr>
      <w:r>
        <w:rPr>
          <w:rFonts w:ascii="Arial" w:cs="Arial" w:eastAsia="Arial" w:hAnsi="Arial"/>
          <w:b/>
          <w:bCs/>
          <w:color w:val="1E3A5F"/>
          <w:sz w:val="28"/>
          <w:szCs w:val="28"/>
        </w:rPr>
        <w:t xml:space="preserve">7.2 優先度：中</w:t>
      </w:r>
    </w:p>
    <w:p>
      <w:pPr>
        <w:pStyle w:val="ListParagraph"/>
        <w:numPr>
          <w:ilvl w:val="0"/>
          <w:numId w:val="2"/>
        </w:numPr>
        <w:spacing w:after="80"/>
      </w:pPr>
      <w:r>
        <w:rPr>
          <w:rFonts w:ascii="Arial" w:cs="Arial" w:eastAsia="Arial" w:hAnsi="Arial"/>
          <w:sz w:val="22"/>
          <w:szCs w:val="22"/>
        </w:rPr>
        <w:t xml:space="preserve">Thesis健全性モニタリング — 定期的にAIがthesis崩壊兆候を自動チェック</w:t>
      </w:r>
    </w:p>
    <w:p>
      <w:pPr>
        <w:pStyle w:val="ListParagraph"/>
        <w:numPr>
          <w:ilvl w:val="0"/>
          <w:numId w:val="2"/>
        </w:numPr>
        <w:spacing w:after="80"/>
      </w:pPr>
      <w:r>
        <w:rPr>
          <w:rFonts w:ascii="Arial" w:cs="Arial" w:eastAsia="Arial" w:hAnsi="Arial"/>
          <w:sz w:val="22"/>
          <w:szCs w:val="22"/>
        </w:rPr>
        <w:t xml:space="preserve">バリュエーション比較 — 複数銘柄の期待CAGRをグラフで比較</w:t>
      </w:r>
    </w:p>
    <w:p>
      <w:pPr>
        <w:pStyle w:val="ListParagraph"/>
        <w:numPr>
          <w:ilvl w:val="0"/>
          <w:numId w:val="2"/>
        </w:numPr>
        <w:spacing w:after="80"/>
      </w:pPr>
      <w:r>
        <w:rPr>
          <w:rFonts w:ascii="Arial" w:cs="Arial" w:eastAsia="Arial" w:hAnsi="Arial"/>
          <w:sz w:val="22"/>
          <w:szCs w:val="22"/>
        </w:rPr>
        <w:t xml:space="preserve">IC-07 VETO重み付け — ポートフォリオ戦略に応じた委員の重み変更機能</w:t>
      </w:r>
    </w:p>
    <w:p/>
    <w:p>
      <w:pPr>
        <w:pStyle w:val="Heading2"/>
        <w:pBdr>
          <w:bottom w:val="single" w:color="00D4FF" w:sz="4" w:space="2"/>
        </w:pBdr>
        <w:spacing w:before="280" w:after="140"/>
      </w:pPr>
      <w:r>
        <w:rPr>
          <w:rFonts w:ascii="Arial" w:cs="Arial" w:eastAsia="Arial" w:hAnsi="Arial"/>
          <w:b/>
          <w:bCs/>
          <w:color w:val="1E3A5F"/>
          <w:sz w:val="28"/>
          <w:szCs w:val="28"/>
        </w:rPr>
        <w:t xml:space="preserve">7.3 優先度：低</w:t>
      </w:r>
    </w:p>
    <w:p>
      <w:pPr>
        <w:pStyle w:val="ListParagraph"/>
        <w:numPr>
          <w:ilvl w:val="0"/>
          <w:numId w:val="2"/>
        </w:numPr>
        <w:spacing w:after="80"/>
      </w:pPr>
      <w:r>
        <w:rPr>
          <w:rFonts w:ascii="Arial" w:cs="Arial" w:eastAsia="Arial" w:hAnsi="Arial"/>
          <w:sz w:val="22"/>
          <w:szCs w:val="22"/>
        </w:rPr>
        <w:t xml:space="preserve">財務データAPI連動 — Financial Modeling Prep等でROIC/FCFを自動入力</w:t>
      </w:r>
    </w:p>
    <w:p>
      <w:pPr>
        <w:pStyle w:val="ListParagraph"/>
        <w:numPr>
          <w:ilvl w:val="0"/>
          <w:numId w:val="2"/>
        </w:numPr>
        <w:spacing w:after="80"/>
      </w:pPr>
      <w:r>
        <w:rPr>
          <w:rFonts w:ascii="Arial" w:cs="Arial" w:eastAsia="Arial" w:hAnsi="Arial"/>
          <w:sz w:val="22"/>
          <w:szCs w:val="22"/>
        </w:rPr>
        <w:t xml:space="preserve">Lesson自動分類 — IC-10のLessonをAIが分類・パターン認識</w:t>
      </w:r>
    </w:p>
    <w:p>
      <w:pPr>
        <w:pStyle w:val="ListParagraph"/>
        <w:numPr>
          <w:ilvl w:val="0"/>
          <w:numId w:val="2"/>
        </w:numPr>
        <w:spacing w:after="80"/>
      </w:pPr>
      <w:r>
        <w:rPr>
          <w:rFonts w:ascii="Arial" w:cs="Arial" w:eastAsia="Arial" w:hAnsi="Arial"/>
          <w:sz w:val="22"/>
          <w:szCs w:val="22"/>
        </w:rPr>
        <w:t xml:space="preserve">売却アラート — Thesis崩壊条件が市場ニュースに一致した場合の通知</w:t>
      </w:r>
    </w:p>
    <w:p>
      <w:r>
        <w:br w:type="page"/>
      </w:r>
    </w:p>
    <w:p>
      <w:pPr>
        <w:pStyle w:val="Heading1"/>
        <w:spacing w:before="360" w:after="200"/>
      </w:pPr>
      <w:r>
        <w:rPr>
          <w:rFonts w:ascii="Arial" w:cs="Arial" w:eastAsia="Arial" w:hAnsi="Arial"/>
          <w:b/>
          <w:bCs/>
          <w:color w:val="060A0E"/>
          <w:sz w:val="36"/>
          <w:szCs w:val="36"/>
        </w:rPr>
        <w:t xml:space="preserve">8. 設計判断ログ</w:t>
      </w:r>
    </w:p>
    <w:p>
      <w:r>
        <w:rPr>
          <w:rFonts w:ascii="Arial" w:cs="Arial" w:eastAsia="Arial" w:hAnsi="Arial"/>
          <w:sz w:val="22"/>
          <w:szCs w:val="22"/>
        </w:rPr>
        <w:t xml:space="preserve">このセクションは壁打ちで決定した重要な設計判断を記録します。</w:t>
      </w:r>
    </w:p>
    <w:p/>
    <w:p>
      <w:pPr>
        <w:pStyle w:val="Heading2"/>
        <w:pBdr>
          <w:bottom w:val="single" w:color="00D4FF" w:sz="4" w:space="2"/>
        </w:pBdr>
        <w:spacing w:before="280" w:after="140"/>
      </w:pPr>
      <w:r>
        <w:rPr>
          <w:rFonts w:ascii="Arial" w:cs="Arial" w:eastAsia="Arial" w:hAnsi="Arial"/>
          <w:b/>
          <w:bCs/>
          <w:color w:val="1E3A5F"/>
          <w:sz w:val="28"/>
          <w:szCs w:val="28"/>
        </w:rPr>
        <w:t xml:space="preserve">決定①：VETOの閾値 = 6/8</w:t>
      </w:r>
    </w:p>
    <w:p>
      <w:r>
        <w:rPr>
          <w:rFonts w:ascii="Arial" w:cs="Arial" w:eastAsia="Arial" w:hAnsi="Arial"/>
          <w:sz w:val="22"/>
          <w:szCs w:val="22"/>
        </w:rPr>
        <w:t xml:space="preserve">全員通過（8/8）では実質的にすべての銘柄が落ちる（バフェットとキャシーが同じ銘柄に賛成する場面はほぼない）。6/8を採用することで、思想的に多様な委員会の中から過半数を超えた合意を必要とする現実的な設計にした。</w:t>
      </w:r>
    </w:p>
    <w:p/>
    <w:p>
      <w:pPr>
        <w:pStyle w:val="Heading2"/>
        <w:pBdr>
          <w:bottom w:val="single" w:color="00D4FF" w:sz="4" w:space="2"/>
        </w:pBdr>
        <w:spacing w:before="280" w:after="140"/>
      </w:pPr>
      <w:r>
        <w:rPr>
          <w:rFonts w:ascii="Arial" w:cs="Arial" w:eastAsia="Arial" w:hAnsi="Arial"/>
          <w:b/>
          <w:bCs/>
          <w:color w:val="1E3A5F"/>
          <w:sz w:val="28"/>
          <w:szCs w:val="28"/>
        </w:rPr>
        <w:t xml:space="preserve">決定②：テーマを固定しない（動的生成）</w:t>
      </w:r>
    </w:p>
    <w:p>
      <w:r>
        <w:rPr>
          <w:rFonts w:ascii="Arial" w:cs="Arial" w:eastAsia="Arial" w:hAnsi="Arial"/>
          <w:sz w:val="22"/>
          <w:szCs w:val="22"/>
        </w:rPr>
        <w:t xml:space="preserve">初期設計では固定5テーマ（AI・エネルギー等）を想定していたが、世界情勢の変化に対応できないため廃止。情報収集委員会でAIがニュースから動的にテーマを生成する設計に変更した。</w:t>
      </w:r>
    </w:p>
    <w:p/>
    <w:p>
      <w:pPr>
        <w:pStyle w:val="Heading2"/>
        <w:pBdr>
          <w:bottom w:val="single" w:color="00D4FF" w:sz="4" w:space="2"/>
        </w:pBdr>
        <w:spacing w:before="280" w:after="140"/>
      </w:pPr>
      <w:r>
        <w:rPr>
          <w:rFonts w:ascii="Arial" w:cs="Arial" w:eastAsia="Arial" w:hAnsi="Arial"/>
          <w:b/>
          <w:bCs/>
          <w:color w:val="1E3A5F"/>
          <w:sz w:val="28"/>
          <w:szCs w:val="28"/>
        </w:rPr>
        <w:t xml:space="preserve">決定③：売却委員会を独立させる</w:t>
      </w:r>
    </w:p>
    <w:p>
      <w:r>
        <w:rPr>
          <w:rFonts w:ascii="Arial" w:cs="Arial" w:eastAsia="Arial" w:hAnsi="Arial"/>
          <w:sz w:val="22"/>
          <w:szCs w:val="22"/>
        </w:rPr>
        <w:t xml:space="preserve">人は売るのが下手。利益確定は感情による売りであり、本来の売却理由ではない。Thesis崩壊・過大評価・業界変化・資本再配分の4条件のみを売却理由として構造化した。IC-02で定義した崩壊条件と自動照合することで、感情を構造で排除する。</w:t>
      </w:r>
    </w:p>
    <w:p/>
    <w:p>
      <w:pPr>
        <w:pStyle w:val="Heading2"/>
        <w:pBdr>
          <w:bottom w:val="single" w:color="00D4FF" w:sz="4" w:space="2"/>
        </w:pBdr>
        <w:spacing w:before="280" w:after="140"/>
      </w:pPr>
      <w:r>
        <w:rPr>
          <w:rFonts w:ascii="Arial" w:cs="Arial" w:eastAsia="Arial" w:hAnsi="Arial"/>
          <w:b/>
          <w:bCs/>
          <w:color w:val="1E3A5F"/>
          <w:sz w:val="28"/>
          <w:szCs w:val="28"/>
        </w:rPr>
        <w:t xml:space="preserve">決定④：AI = コンセンサス排除に使う</w:t>
      </w:r>
    </w:p>
    <w:p>
      <w:r>
        <w:rPr>
          <w:rFonts w:ascii="Arial" w:cs="Arial" w:eastAsia="Arial" w:hAnsi="Arial"/>
          <w:sz w:val="22"/>
          <w:szCs w:val="22"/>
        </w:rPr>
        <w:t xml:space="preserve">AIをThesisの補強に使うのは逆効果。LLMはコンセンサスに引き寄せられるため、Edgeの発見には使えない。攻撃・否定専門の役割に限定することで、市場の盲点を掘り出す道具として機能させる設計にした。</w:t>
      </w:r>
    </w:p>
    <w:p/>
    <w:p>
      <w:pPr>
        <w:pStyle w:val="Heading2"/>
        <w:pBdr>
          <w:bottom w:val="single" w:color="00D4FF" w:sz="4" w:space="2"/>
        </w:pBdr>
        <w:spacing w:before="280" w:after="140"/>
      </w:pPr>
      <w:r>
        <w:rPr>
          <w:rFonts w:ascii="Arial" w:cs="Arial" w:eastAsia="Arial" w:hAnsi="Arial"/>
          <w:b/>
          <w:bCs/>
          <w:color w:val="1E3A5F"/>
          <w:sz w:val="28"/>
          <w:szCs w:val="28"/>
        </w:rPr>
        <w:t xml:space="preserve">決定⑤：IC-06.5バリュエーション委員会を追加</w:t>
      </w:r>
    </w:p>
    <w:p>
      <w:r>
        <w:rPr>
          <w:rFonts w:ascii="Arial" w:cs="Arial" w:eastAsia="Arial" w:hAnsi="Arial"/>
          <w:sz w:val="22"/>
          <w:szCs w:val="22"/>
        </w:rPr>
        <w:t xml:space="preserve">良い会社への投資は必ずしも良い投資ではない。Investment = Company × Price の原則を構造に組み込むため、期待CAGR計算エンジンを追加。12%未満は自動でBUY禁止とすることで、定性評価だけで判断が進まない設計にした。</w:t>
      </w:r>
    </w:p>
    <w:p/>
    <w:p/>
    <w:p/>
    <w:p>
      <w:pPr>
        <w:jc w:val="center"/>
      </w:pPr>
      <w:r>
        <w:rPr>
          <w:rFonts w:ascii="Arial" w:cs="Arial" w:eastAsia="Arial" w:hAnsi="Arial"/>
          <w:b w:val="false"/>
          <w:bCs w:val="false"/>
          <w:color w:val="1E3A5F"/>
          <w:sz w:val="22"/>
          <w:szCs w:val="22"/>
        </w:rPr>
        <w:t xml:space="preserve">━━━━━━━━━━━━━━━━━━━━━━━━━━━━━━━━━━━━━━━━━━━━━━━━━━━━━━━━━━━━━━━</w:t>
      </w:r>
    </w:p>
    <w:p/>
    <w:p>
      <w:pPr>
        <w:jc w:val="center"/>
      </w:pPr>
      <w:r>
        <w:rPr>
          <w:rFonts w:ascii="Arial" w:cs="Arial" w:eastAsia="Arial" w:hAnsi="Arial"/>
          <w:color w:val="4A6A8A"/>
          <w:sz w:val="18"/>
          <w:szCs w:val="18"/>
        </w:rPr>
        <w:t xml:space="preserve">Investment Committee System Design v4  |  2026-03-12  |  CLASSIFIED</w:t>
      </w:r>
    </w:p>
    <w:p>
      <w:pPr>
        <w:jc w:val="center"/>
      </w:pPr>
      <w:r>
        <w:rPr>
          <w:rFonts w:ascii="Arial" w:cs="Arial" w:eastAsia="Arial" w:hAnsi="Arial"/>
          <w:color w:val="4A6A8A"/>
          <w:sz w:val="18"/>
          <w:szCs w:val="18"/>
        </w:rPr>
        <w:t xml:space="preserve">意思決定の質を上げること。勝つことではない。</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60A0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6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2026-03-11T15:52:47.775Z</dcterms:created>
  <dcterms:modified xsi:type="dcterms:W3CDTF">2026-03-11T15:52:47.776Z</dcterms:modified>
</cp:coreProperties>
</file>

<file path=docProps/custom.xml><?xml version="1.0" encoding="utf-8"?>
<Properties xmlns="http://schemas.openxmlformats.org/officeDocument/2006/custom-properties" xmlns:vt="http://schemas.openxmlformats.org/officeDocument/2006/docPropsVTypes"/>
</file>