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24/04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Ong Di Sheng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on the current class diagram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Finalize the class diagram by making the format properly</w:t>
            </w:r>
          </w:p>
        </w:tc>
      </w:tr>
    </w:tbl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2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Kuah Jia Chen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format of the design rationale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Everyone proofread the design rationale and edited the format properly</w:t>
            </w:r>
          </w:p>
        </w:tc>
      </w:tr>
    </w:tbl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40"/>
        <w:gridCol w:w="2250"/>
        <w:gridCol w:w="285"/>
        <w:gridCol w:w="855"/>
        <w:gridCol w:w="2025"/>
        <w:tblGridChange w:id="0">
          <w:tblGrid>
            <w:gridCol w:w="3840"/>
            <w:gridCol w:w="2250"/>
            <w:gridCol w:w="285"/>
            <w:gridCol w:w="855"/>
            <w:gridCol w:w="202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3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20mins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Tee Shun Yao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ways of doing class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See which one is better in next sprint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7F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27/04/2023(Thursday)</w:t>
      </w:r>
    </w:p>
    <w:p w:rsidR="00000000" w:rsidDel="00000000" w:rsidP="00000000" w:rsidRDefault="00000000" w:rsidRPr="00000000" w14:paraId="00000080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4 pm</w:t>
        <w:br w:type="textWrapping"/>
        <w:t xml:space="preserve">Place: Monash University</w:t>
      </w:r>
    </w:p>
    <w:p w:rsidR="00000000" w:rsidDel="00000000" w:rsidP="00000000" w:rsidRDefault="00000000" w:rsidRPr="00000000" w14:paraId="00000081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orkC6dQOTlvS5CkZlIcHDK+zlnA==">AMUW2mWcnYjMADypfqne4NWa/JxztmXz7Lp/VAlmupp0nLZI14oLLIqQn77nxwRFCDtQRi7LHSYXNXzF4PmyCraY4JCGcGGzJ2UpwBlB+L36mY9JtLLiu81ub18+p6S77Oi4UzBGv9b6F9mnO6iNRQYDYl8ZdiXH4t9L1STCIKgp0VIkPmYvG0A=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