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1.png" ContentType="image/png"/>
  <Override PartName="/word/media/rId25.png" ContentType="image/png"/>
  <Override PartName="/word/media/rId32.png" ContentType="image/png"/>
  <Override PartName="/word/media/rId40.png" ContentType="image/png"/>
  <Override PartName="/word/media/rId44.png" ContentType="image/png"/>
  <Override PartName="/word/media/rId36.png" ContentType="image/png"/>
  <Override PartName="/word/media/rId55.png" ContentType="image/png"/>
  <Override PartName="/word/media/rId58.png" ContentType="image/png"/>
  <Override PartName="/word/media/rId61.png" ContentType="image/png"/>
  <Override PartName="/word/media/rId6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orting-information-for"/>
    <w:p>
      <w:pPr>
        <w:pStyle w:val="Heading1"/>
      </w:pPr>
      <w:r>
        <w:t xml:space="preserve">Supporting Information for</w:t>
      </w:r>
    </w:p>
    <w:bookmarkEnd w:id="9"/>
    <w:bookmarkStart w:id="11" w:name="X2753c32b9e0dd6ec22881e381abc8b123d689c0"/>
    <w:p>
      <w:pPr>
        <w:pStyle w:val="Heading1"/>
      </w:pPr>
      <w:r>
        <w:t xml:space="preserve">CESM–SCRAM: A Configurable Size–Composition-Resolved Aerosol Framework for Prognostic Mixing State in CESM2</w:t>
      </w:r>
    </w:p>
    <w:bookmarkStart w:id="10" w:name="contents"/>
    <w:p>
      <w:pPr>
        <w:pStyle w:val="Heading2"/>
      </w:pPr>
      <w:r>
        <w:t xml:space="preserve">Contents</w:t>
      </w:r>
    </w:p>
    <w:p>
      <w:pPr>
        <w:pStyle w:val="FirstParagraph"/>
      </w:pPr>
      <w:r>
        <w:t xml:space="preserve">Text S1. Production code and configuration provenance</w:t>
      </w:r>
      <w:r>
        <w:t xml:space="preserve"> </w:t>
      </w:r>
      <w:r>
        <w:t xml:space="preserve">Text S2. Prognostic aerosol state and species definitions</w:t>
      </w:r>
      <w:r>
        <w:t xml:space="preserve"> </w:t>
      </w:r>
      <w:r>
        <w:t xml:space="preserve">Text S3. Size discretization and composition classification</w:t>
      </w:r>
      <w:r>
        <w:t xml:space="preserve"> </w:t>
      </w:r>
      <w:r>
        <w:t xml:space="preserve">Text S4. Analytical coagulation product placement</w:t>
      </w:r>
      <w:r>
        <w:t xml:space="preserve"> </w:t>
      </w:r>
      <w:r>
        <w:t xml:space="preserve">Text S5. Moving-center/dual-pivot size redistribution and composition reclassification</w:t>
      </w:r>
      <w:r>
        <w:t xml:space="preserve"> </w:t>
      </w:r>
      <w:r>
        <w:t xml:space="preserve">Text S6. Gas–particle thermodynamics and five-bin VBS organic aerosol</w:t>
      </w:r>
      <w:r>
        <w:t xml:space="preserve"> </w:t>
      </w:r>
      <w:r>
        <w:t xml:space="preserve">Text S7. CAM–SCRAM gas mapping and tendency exchange</w:t>
      </w:r>
      <w:r>
        <w:t xml:space="preserve"> </w:t>
      </w:r>
      <w:r>
        <w:t xml:space="preserve">Text S8. Emission routing and moment-conserving source allocation</w:t>
      </w:r>
      <w:r>
        <w:t xml:space="preserve"> </w:t>
      </w:r>
      <w:r>
        <w:t xml:space="preserve">Text S9. Unified warm-start and tropopause exchange</w:t>
      </w:r>
      <w:r>
        <w:t xml:space="preserve"> </w:t>
      </w:r>
      <w:r>
        <w:t xml:space="preserve">Text S10. Gravitational settling, dry deposition, and wet scavenging</w:t>
      </w:r>
      <w:r>
        <w:t xml:space="preserve"> </w:t>
      </w:r>
      <w:r>
        <w:t xml:space="preserve">Text S11. Reduced-shell optical closure</w:t>
      </w:r>
      <w:r>
        <w:t xml:space="preserve"> </w:t>
      </w:r>
      <w:r>
        <w:t xml:space="preserve">Text S12. Sectional CCN activation and prognostic cloud-borne aerosol lifecycle</w:t>
      </w:r>
      <w:r>
        <w:t xml:space="preserve"> </w:t>
      </w:r>
      <w:r>
        <w:t xml:space="preserve">Text S13. Common-window construction and diagnostic-variable contract</w:t>
      </w:r>
      <w:r>
        <w:t xml:space="preserve"> </w:t>
      </w:r>
      <w:r>
        <w:t xml:space="preserve">Text S14. Numerical integrity, restart, and conservation tests</w:t>
      </w:r>
      <w:r>
        <w:t xml:space="preserve"> </w:t>
      </w:r>
      <w:r>
        <w:t xml:space="preserve">Text S15. Observation processing and statistical methods</w:t>
      </w:r>
      <w:r>
        <w:t xml:space="preserve"> </w:t>
      </w:r>
      <w:r>
        <w:t xml:space="preserve">Text S16. Physical-group and chemical-species mixing-state metrics</w:t>
      </w:r>
      <w:r>
        <w:t xml:space="preserve"> </w:t>
      </w:r>
      <w:r>
        <w:t xml:space="preserve">Text S17. Additional meteorological, vertical, cloud, and climate-state diagnostics</w:t>
      </w:r>
      <w:r>
        <w:t xml:space="preserve"> </w:t>
      </w:r>
      <w:r>
        <w:t xml:space="preserve">Text S18. Performance and computational cost</w:t>
      </w:r>
      <w:r>
        <w:t xml:space="preserve"> </w:t>
      </w:r>
      <w:r>
        <w:t xml:space="preserve">Tables S1–S7 and machine-readable production tables</w:t>
      </w:r>
      <w:r>
        <w:t xml:space="preserve"> </w:t>
      </w:r>
      <w:r>
        <w:t xml:space="preserve">Figures S1–S13 plus result/validation figures</w:t>
      </w:r>
    </w:p>
    <w:bookmarkEnd w:id="10"/>
    <w:bookmarkEnd w:id="11"/>
    <w:bookmarkStart w:id="12" w:name="X2de9356d92aab21fefec30cea308ffbcb3306f2"/>
    <w:p>
      <w:pPr>
        <w:pStyle w:val="Heading1"/>
      </w:pPr>
      <w:r>
        <w:t xml:space="preserve">Text S1. Production code and configuration provenance</w:t>
      </w:r>
    </w:p>
    <w:p>
      <w:pPr>
        <w:pStyle w:val="FirstParagraph"/>
      </w:pPr>
      <w:r>
        <w:t xml:space="preserve">CESM–SCRAM is configuration driven; the runtime profiles used for this paper define one demonstration realization rather than the intrinsic dimensionality of the framework. All numerical model-description values reported for the demonstration are derived from the production CESM–SCRAM repository and the exact runtime profiles used to construct the formal Internal and External simulations. Historical development reports are not treated as model-definition sources. The manuscript analysis records the Git revision, runtime-file hashes, formal case paths, CAM history-file inventories, and common retained-date hash in machine-readable provenance files under</w:t>
      </w:r>
      <w:r>
        <w:t xml:space="preserve"> </w:t>
      </w:r>
      <w:r>
        <w:rPr>
          <w:rStyle w:val="VerbatimChar"/>
        </w:rPr>
        <w:t xml:space="preserve">paper/james_2026/provenance/</w:t>
      </w:r>
      <w:r>
        <w:t xml:space="preserve">.</w:t>
      </w:r>
    </w:p>
    <w:p>
      <w:pPr>
        <w:pStyle w:val="BodyText"/>
      </w:pPr>
      <w:r>
        <w:t xml:space="preserve">The paper-specific production runtime profiles are:</w:t>
      </w:r>
    </w:p>
    <w:p>
      <w:pPr>
        <w:pStyle w:val="Compact"/>
        <w:numPr>
          <w:ilvl w:val="0"/>
          <w:numId w:val="1001"/>
        </w:numPr>
      </w:pPr>
      <w:r>
        <w:t xml:space="preserve">Internal SCRAM:</w:t>
      </w:r>
      <w:r>
        <w:t xml:space="preserve"> </w:t>
      </w:r>
      <w:r>
        <w:rPr>
          <w:rStyle w:val="VerbatimChar"/>
        </w:rPr>
        <w:t xml:space="preserve">scram/install_package/runtime/scram_cesm_nc1_internal.cfg</w:t>
      </w:r>
    </w:p>
    <w:p>
      <w:pPr>
        <w:pStyle w:val="Compact"/>
        <w:numPr>
          <w:ilvl w:val="0"/>
          <w:numId w:val="1001"/>
        </w:numPr>
      </w:pPr>
      <w:r>
        <w:t xml:space="preserve">External SCRAM:</w:t>
      </w:r>
      <w:r>
        <w:t xml:space="preserve"> </w:t>
      </w:r>
      <w:r>
        <w:rPr>
          <w:rStyle w:val="VerbatimChar"/>
        </w:rPr>
        <w:t xml:space="preserve">scram/install_package/runtime/scram_cesm_7bin_nc11_external.cfg</w:t>
      </w:r>
    </w:p>
    <w:p>
      <w:pPr>
        <w:pStyle w:val="Compact"/>
        <w:numPr>
          <w:ilvl w:val="0"/>
          <w:numId w:val="1001"/>
        </w:numPr>
      </w:pPr>
      <w:r>
        <w:t xml:space="preserve">particle species table:</w:t>
      </w:r>
      <w:r>
        <w:t xml:space="preserve"> </w:t>
      </w:r>
      <w:r>
        <w:rPr>
          <w:rStyle w:val="VerbatimChar"/>
        </w:rPr>
        <w:t xml:space="preserve">scram/install_package/runtime/scram_species.dat</w:t>
      </w:r>
    </w:p>
    <w:p>
      <w:pPr>
        <w:pStyle w:val="Compact"/>
        <w:numPr>
          <w:ilvl w:val="0"/>
          <w:numId w:val="1001"/>
        </w:numPr>
      </w:pPr>
      <w:r>
        <w:t xml:space="preserve">CAM–SCRAM gas mapping:</w:t>
      </w:r>
      <w:r>
        <w:t xml:space="preserve"> </w:t>
      </w:r>
      <w:r>
        <w:rPr>
          <w:rStyle w:val="VerbatimChar"/>
        </w:rPr>
        <w:t xml:space="preserve">scram/install_package/runtime/scram_gas_map.txt</w:t>
      </w:r>
    </w:p>
    <w:p>
      <w:pPr>
        <w:pStyle w:val="Compact"/>
        <w:numPr>
          <w:ilvl w:val="0"/>
          <w:numId w:val="1001"/>
        </w:numPr>
      </w:pPr>
      <w:r>
        <w:t xml:space="preserve">aerosol emission mapping:</w:t>
      </w:r>
      <w:r>
        <w:t xml:space="preserve"> </w:t>
      </w:r>
      <w:r>
        <w:rPr>
          <w:rStyle w:val="VerbatimChar"/>
        </w:rPr>
        <w:t xml:space="preserve">scram/install_package/runtime/scram_emis_map.txt</w:t>
      </w:r>
    </w:p>
    <w:p>
      <w:pPr>
        <w:pStyle w:val="FirstParagraph"/>
      </w:pPr>
      <w:r>
        <w:t xml:space="preserve">The current source/runtime SHA256 values used to audit these method descriptions are reported in Table S1. They will be regenerated from the frozen submission revision before final archival.</w:t>
      </w:r>
    </w:p>
    <w:bookmarkEnd w:id="12"/>
    <w:bookmarkStart w:id="13" w:name="X2eeaba70a0193c408a06b11f95998b569dc784b"/>
    <w:p>
      <w:pPr>
        <w:pStyle w:val="Heading1"/>
      </w:pPr>
      <w:r>
        <w:t xml:space="preserve">Text S2. Prognostic aerosol state and species definitions</w:t>
      </w:r>
    </w:p>
    <w:p>
      <w:pPr>
        <w:pStyle w:val="FirstParagraph"/>
      </w:pPr>
      <w:r>
        <w:t xml:space="preserve">The particle-species inventory is user configurable. The production demonstration evaluated in this paper uses 14 particle-phase species:</w:t>
      </w:r>
    </w:p>
    <w:p>
      <w:pPr>
        <w:pStyle w:val="Compact"/>
        <w:numPr>
          <w:ilvl w:val="0"/>
          <w:numId w:val="1002"/>
        </w:numPr>
      </w:pPr>
      <w:r>
        <w:rPr>
          <w:rStyle w:val="VerbatimChar"/>
        </w:rPr>
        <w:t xml:space="preserve">PMD</w:t>
      </w:r>
      <w:r>
        <w:t xml:space="preserve"> </w:t>
      </w:r>
      <w:r>
        <w:t xml:space="preserve">— mineral dust</w:t>
      </w:r>
    </w:p>
    <w:p>
      <w:pPr>
        <w:pStyle w:val="Compact"/>
        <w:numPr>
          <w:ilvl w:val="0"/>
          <w:numId w:val="1002"/>
        </w:numPr>
      </w:pPr>
      <w:r>
        <w:rPr>
          <w:rStyle w:val="VerbatimChar"/>
        </w:rPr>
        <w:t xml:space="preserve">PBC</w:t>
      </w:r>
      <w:r>
        <w:t xml:space="preserve"> </w:t>
      </w:r>
      <w:r>
        <w:t xml:space="preserve">— black carbon</w:t>
      </w:r>
    </w:p>
    <w:p>
      <w:pPr>
        <w:pStyle w:val="Compact"/>
        <w:numPr>
          <w:ilvl w:val="0"/>
          <w:numId w:val="1002"/>
        </w:numPr>
      </w:pPr>
      <w:r>
        <w:rPr>
          <w:rStyle w:val="VerbatimChar"/>
        </w:rPr>
        <w:t xml:space="preserve">PNA</w:t>
      </w:r>
      <w:r>
        <w:t xml:space="preserve"> </w:t>
      </w:r>
      <w:r>
        <w:t xml:space="preserve">— sodium / sea-salt cation representation</w:t>
      </w:r>
    </w:p>
    <w:p>
      <w:pPr>
        <w:pStyle w:val="Compact"/>
        <w:numPr>
          <w:ilvl w:val="0"/>
          <w:numId w:val="1002"/>
        </w:numPr>
      </w:pPr>
      <w:r>
        <w:rPr>
          <w:rStyle w:val="VerbatimChar"/>
        </w:rPr>
        <w:t xml:space="preserve">PSO4</w:t>
      </w:r>
      <w:r>
        <w:t xml:space="preserve"> </w:t>
      </w:r>
      <w:r>
        <w:t xml:space="preserve">— sulfate</w:t>
      </w:r>
    </w:p>
    <w:p>
      <w:pPr>
        <w:pStyle w:val="Compact"/>
        <w:numPr>
          <w:ilvl w:val="0"/>
          <w:numId w:val="1002"/>
        </w:numPr>
      </w:pPr>
      <w:r>
        <w:rPr>
          <w:rStyle w:val="VerbatimChar"/>
        </w:rPr>
        <w:t xml:space="preserve">PNH4</w:t>
      </w:r>
      <w:r>
        <w:t xml:space="preserve"> </w:t>
      </w:r>
      <w:r>
        <w:t xml:space="preserve">— ammonium</w:t>
      </w:r>
    </w:p>
    <w:p>
      <w:pPr>
        <w:pStyle w:val="Compact"/>
        <w:numPr>
          <w:ilvl w:val="0"/>
          <w:numId w:val="1002"/>
        </w:numPr>
      </w:pPr>
      <w:r>
        <w:rPr>
          <w:rStyle w:val="VerbatimChar"/>
        </w:rPr>
        <w:t xml:space="preserve">PNO3</w:t>
      </w:r>
      <w:r>
        <w:t xml:space="preserve"> </w:t>
      </w:r>
      <w:r>
        <w:t xml:space="preserve">— nitrate</w:t>
      </w:r>
    </w:p>
    <w:p>
      <w:pPr>
        <w:pStyle w:val="Compact"/>
        <w:numPr>
          <w:ilvl w:val="0"/>
          <w:numId w:val="1002"/>
        </w:numPr>
      </w:pPr>
      <w:r>
        <w:rPr>
          <w:rStyle w:val="VerbatimChar"/>
        </w:rPr>
        <w:t xml:space="preserve">PHCL</w:t>
      </w:r>
      <w:r>
        <w:t xml:space="preserve"> </w:t>
      </w:r>
      <w:r>
        <w:t xml:space="preserve">— chloride/HCl-equivalent particle component</w:t>
      </w:r>
    </w:p>
    <w:p>
      <w:pPr>
        <w:pStyle w:val="Compact"/>
        <w:numPr>
          <w:ilvl w:val="0"/>
          <w:numId w:val="1002"/>
        </w:numPr>
      </w:pPr>
      <w:r>
        <w:rPr>
          <w:rStyle w:val="VerbatimChar"/>
        </w:rPr>
        <w:t xml:space="preserve">PSOA1P</w:t>
      </w:r>
      <w:r>
        <w:t xml:space="preserve"> </w:t>
      </w:r>
      <w:r>
        <w:t xml:space="preserve">— VBS SOA particle bin 1</w:t>
      </w:r>
    </w:p>
    <w:p>
      <w:pPr>
        <w:pStyle w:val="Compact"/>
        <w:numPr>
          <w:ilvl w:val="0"/>
          <w:numId w:val="1002"/>
        </w:numPr>
      </w:pPr>
      <w:r>
        <w:rPr>
          <w:rStyle w:val="VerbatimChar"/>
        </w:rPr>
        <w:t xml:space="preserve">PSOA2P</w:t>
      </w:r>
      <w:r>
        <w:t xml:space="preserve"> </w:t>
      </w:r>
      <w:r>
        <w:t xml:space="preserve">— VBS SOA particle bin 2</w:t>
      </w:r>
    </w:p>
    <w:p>
      <w:pPr>
        <w:pStyle w:val="Compact"/>
        <w:numPr>
          <w:ilvl w:val="0"/>
          <w:numId w:val="1002"/>
        </w:numPr>
      </w:pPr>
      <w:r>
        <w:rPr>
          <w:rStyle w:val="VerbatimChar"/>
        </w:rPr>
        <w:t xml:space="preserve">PSOA3P</w:t>
      </w:r>
      <w:r>
        <w:t xml:space="preserve"> </w:t>
      </w:r>
      <w:r>
        <w:t xml:space="preserve">— VBS SOA particle bin 3</w:t>
      </w:r>
    </w:p>
    <w:p>
      <w:pPr>
        <w:pStyle w:val="Compact"/>
        <w:numPr>
          <w:ilvl w:val="0"/>
          <w:numId w:val="1002"/>
        </w:numPr>
      </w:pPr>
      <w:r>
        <w:rPr>
          <w:rStyle w:val="VerbatimChar"/>
        </w:rPr>
        <w:t xml:space="preserve">PSOA4P</w:t>
      </w:r>
      <w:r>
        <w:t xml:space="preserve"> </w:t>
      </w:r>
      <w:r>
        <w:t xml:space="preserve">— VBS SOA particle bin 4</w:t>
      </w:r>
    </w:p>
    <w:p>
      <w:pPr>
        <w:pStyle w:val="Compact"/>
        <w:numPr>
          <w:ilvl w:val="0"/>
          <w:numId w:val="1002"/>
        </w:numPr>
      </w:pPr>
      <w:r>
        <w:rPr>
          <w:rStyle w:val="VerbatimChar"/>
        </w:rPr>
        <w:t xml:space="preserve">PSOA5P</w:t>
      </w:r>
      <w:r>
        <w:t xml:space="preserve"> </w:t>
      </w:r>
      <w:r>
        <w:t xml:space="preserve">— VBS SOA particle bin 5</w:t>
      </w:r>
    </w:p>
    <w:p>
      <w:pPr>
        <w:pStyle w:val="Compact"/>
        <w:numPr>
          <w:ilvl w:val="0"/>
          <w:numId w:val="1002"/>
        </w:numPr>
      </w:pPr>
      <w:r>
        <w:rPr>
          <w:rStyle w:val="VerbatimChar"/>
        </w:rPr>
        <w:t xml:space="preserve">PPOAlP</w:t>
      </w:r>
      <w:r>
        <w:t xml:space="preserve"> </w:t>
      </w:r>
      <w:r>
        <w:t xml:space="preserve">— nonvolatile primary organic aerosol</w:t>
      </w:r>
    </w:p>
    <w:p>
      <w:pPr>
        <w:pStyle w:val="Compact"/>
        <w:numPr>
          <w:ilvl w:val="0"/>
          <w:numId w:val="1002"/>
        </w:numPr>
      </w:pPr>
      <w:r>
        <w:rPr>
          <w:rStyle w:val="VerbatimChar"/>
        </w:rPr>
        <w:t xml:space="preserve">PH2O</w:t>
      </w:r>
      <w:r>
        <w:t xml:space="preserve"> </w:t>
      </w:r>
      <w:r>
        <w:t xml:space="preserve">— particle water</w:t>
      </w:r>
    </w:p>
    <w:p>
      <w:pPr>
        <w:pStyle w:val="FirstParagraph"/>
      </w:pPr>
      <w:r>
        <w:t xml:space="preserve">Each size–composition cell carries particle number plus the 14 species masses. Thus the SCRAM aerosol carrier count is</w:t>
      </w:r>
    </w:p>
    <w:p>
      <w:pPr>
        <w:pStyle w:val="BodyText"/>
      </w:pPr>
      <m:oMathPara>
        <m:oMathParaPr>
          <m:jc m:val="center"/>
        </m:oMathParaPr>
        <m:oMath>
          <m:sSub>
            <m:e>
              <m:r>
                <m:t>N</m:t>
              </m:r>
            </m:e>
            <m:sub>
              <m:r>
                <m:rPr>
                  <m:sty m:val="p"/>
                </m:rPr>
                <m:t>S</m:t>
              </m:r>
              <m:r>
                <m:rPr>
                  <m:sty m:val="p"/>
                </m:rPr>
                <m:t>C</m:t>
              </m:r>
              <m:r>
                <m:rPr>
                  <m:sty m:val="p"/>
                </m:rPr>
                <m:t>R</m:t>
              </m:r>
              <m:r>
                <m:rPr>
                  <m:sty m:val="p"/>
                </m:rPr>
                <m:t>A</m:t>
              </m:r>
              <m:r>
                <m:rPr>
                  <m:sty m:val="p"/>
                </m:rPr>
                <m:t>M</m:t>
              </m:r>
            </m:sub>
          </m:sSub>
          <m:r>
            <m:rPr>
              <m:sty m:val="p"/>
            </m:rPr>
            <m:t>=</m:t>
          </m:r>
          <m:sSub>
            <m:e>
              <m:r>
                <m:t>N</m:t>
              </m:r>
            </m:e>
            <m:sub>
              <m:r>
                <m:t>b</m:t>
              </m:r>
            </m:sub>
          </m:sSub>
          <m:sSub>
            <m:e>
              <m:r>
                <m:t>N</m:t>
              </m:r>
            </m:e>
            <m:sub>
              <m:r>
                <m:t>c</m:t>
              </m:r>
            </m:sub>
          </m:sSub>
          <m:r>
            <m:rPr>
              <m:sty m:val="p"/>
            </m:rPr>
            <m:t>(</m:t>
          </m:r>
          <m:r>
            <m:t>1</m:t>
          </m:r>
          <m:r>
            <m:rPr>
              <m:sty m:val="p"/>
            </m:rPr>
            <m:t>+</m:t>
          </m:r>
          <m:sSub>
            <m:e>
              <m:r>
                <m:t>N</m:t>
              </m:r>
            </m:e>
            <m:sub>
              <m:r>
                <m:t>s</m:t>
              </m:r>
            </m:sub>
          </m:sSub>
          <m:r>
            <m:rPr>
              <m:sty m:val="p"/>
            </m:rPr>
            <m:t>)</m:t>
          </m:r>
          <m:r>
            <m:rPr>
              <m:sty m:val="p"/>
            </m:rPr>
            <m:t>.</m:t>
          </m:r>
        </m:oMath>
      </m:oMathPara>
    </w:p>
    <w:p>
      <w:pPr>
        <w:pStyle w:val="FirstParagraph"/>
      </w:pPr>
      <w:r>
        <w:t xml:space="preserve">For the seven-bin demonstration grid used here, this gives 105 SCRAM carriers for Internal (</w:t>
      </w:r>
      <m:oMath>
        <m:sSub>
          <m:e>
            <m:r>
              <m:t>N</m:t>
            </m:r>
          </m:e>
          <m:sub>
            <m:r>
              <m:t>c</m:t>
            </m:r>
          </m:sub>
        </m:sSub>
        <m:r>
          <m:rPr>
            <m:sty m:val="p"/>
          </m:rPr>
          <m:t>=</m:t>
        </m:r>
        <m:r>
          <m:t>1</m:t>
        </m:r>
      </m:oMath>
      <w:r>
        <w:t xml:space="preserve">) and 1,155 for External (</w:t>
      </w:r>
      <m:oMath>
        <m:sSub>
          <m:e>
            <m:r>
              <m:t>N</m:t>
            </m:r>
          </m:e>
          <m:sub>
            <m:r>
              <m:t>c</m:t>
            </m:r>
          </m:sub>
        </m:sSub>
        <m:r>
          <m:rPr>
            <m:sty m:val="p"/>
          </m:rPr>
          <m:t>=</m:t>
        </m:r>
        <m:r>
          <m:t>11</m:t>
        </m:r>
      </m:oMath>
      <w:r>
        <w:t xml:space="preserve">). These numbers characterize the present validation cases only: user-defined changes in size bins, particle species, or composition/property classes change the SCRAM state dimension accordingly. The full CAM constituent count additionally contains host-model tracers and should not be confused with the SCRAM-only state dimension.</w:t>
      </w:r>
    </w:p>
    <w:bookmarkEnd w:id="13"/>
    <w:bookmarkStart w:id="20" w:name="Xdc5516421fdc14a154a104a9575ed8e2475f424"/>
    <w:p>
      <w:pPr>
        <w:pStyle w:val="Heading1"/>
      </w:pPr>
      <w:r>
        <w:t xml:space="preserve">Text S3. Size discretization and composition classification</w:t>
      </w:r>
    </w:p>
    <w:p>
      <w:pPr>
        <w:pStyle w:val="FirstParagraph"/>
      </w:pPr>
      <w:r>
        <w:t xml:space="preserve">Size-bin number and boundaries are runtime configuration inputs. For the demonstration and validation presented here, the dry-diameter boundaries are 0.003, 0.01, 0.0398, 0.1585, 0.631, 2.5, 5.0, and 10.0 µm, defining seven bins. Internal and External SCRAM intentionally use identical boundaries to isolate the effect of the composition/property dimension.</w:t>
      </w:r>
    </w:p>
    <w:p>
      <w:pPr>
        <w:pStyle w:val="BodyText"/>
      </w:pPr>
      <w:r>
        <w:t xml:space="preserve">The particle-property/composition coordinate and class boundaries are also user configurable. In the demonstration External runtime profile, three primary-fraction and three secondary-fraction intervals with boundaries 0, 0.5, 0.9, and 1.0 are used; physically feasible combinations yield 11 active composition classes for this experiment. The matched Internal profile disables external mixing and collapses the same composition dimension to one class.</w:t>
      </w:r>
    </w:p>
    <w:p>
      <w:pPr>
        <w:pStyle w:val="BodyText"/>
      </w:pPr>
      <w:r>
        <w:t xml:space="preserve">The classifier operates on six reduced dry-composition groups:</w:t>
      </w:r>
      <w:r>
        <w:t xml:space="preserve"> </w:t>
      </w:r>
      <w:r>
        <w:rPr>
          <w:rStyle w:val="VerbatimChar"/>
        </w:rPr>
        <w:t xml:space="preserve">BC</w:t>
      </w:r>
      <w:r>
        <w:t xml:space="preserve">,</w:t>
      </w:r>
      <w:r>
        <w:t xml:space="preserve"> </w:t>
      </w:r>
      <w:r>
        <w:rPr>
          <w:rStyle w:val="VerbatimChar"/>
        </w:rPr>
        <w:t xml:space="preserve">DU</w:t>
      </w:r>
      <w:r>
        <w:t xml:space="preserve">,</w:t>
      </w:r>
      <w:r>
        <w:t xml:space="preserve"> </w:t>
      </w:r>
      <w:r>
        <w:rPr>
          <w:rStyle w:val="VerbatimChar"/>
        </w:rPr>
        <w:t xml:space="preserve">SLT</w:t>
      </w:r>
      <w:r>
        <w:t xml:space="preserve">,</w:t>
      </w:r>
      <w:r>
        <w:t xml:space="preserve"> </w:t>
      </w:r>
      <w:r>
        <w:rPr>
          <w:rStyle w:val="VerbatimChar"/>
        </w:rPr>
        <w:t xml:space="preserve">SUF</w:t>
      </w:r>
      <w:r>
        <w:t xml:space="preserve">,</w:t>
      </w:r>
      <w:r>
        <w:t xml:space="preserve"> </w:t>
      </w:r>
      <w:r>
        <w:rPr>
          <w:rStyle w:val="VerbatimChar"/>
        </w:rPr>
        <w:t xml:space="preserve">POA</w:t>
      </w:r>
      <w:r>
        <w:t xml:space="preserve">, and</w:t>
      </w:r>
      <w:r>
        <w:t xml:space="preserve"> </w:t>
      </w:r>
      <w:r>
        <w:rPr>
          <w:rStyle w:val="VerbatimChar"/>
        </w:rPr>
        <w:t xml:space="preserve">SED</w:t>
      </w:r>
      <w:r>
        <w:t xml:space="preserve">. The exact production mapping is</w:t>
      </w:r>
      <w:r>
        <w:t xml:space="preserve"> </w:t>
      </w:r>
      <w:r>
        <w:rPr>
          <w:rStyle w:val="VerbatimChar"/>
        </w:rPr>
        <w:t xml:space="preserve">PBC→BC</w:t>
      </w:r>
      <w:r>
        <w:t xml:space="preserve">,</w:t>
      </w:r>
      <w:r>
        <w:t xml:space="preserve"> </w:t>
      </w:r>
      <w:r>
        <w:rPr>
          <w:rStyle w:val="VerbatimChar"/>
        </w:rPr>
        <w:t xml:space="preserve">PMD→DU</w:t>
      </w:r>
      <w:r>
        <w:t xml:space="preserve">,</w:t>
      </w:r>
      <w:r>
        <w:t xml:space="preserve"> </w:t>
      </w:r>
      <w:r>
        <w:rPr>
          <w:rStyle w:val="VerbatimChar"/>
        </w:rPr>
        <w:t xml:space="preserve">PNA/PHCL→SLT</w:t>
      </w:r>
      <w:r>
        <w:t xml:space="preserve">,</w:t>
      </w:r>
      <w:r>
        <w:t xml:space="preserve"> </w:t>
      </w:r>
      <w:r>
        <w:rPr>
          <w:rStyle w:val="VerbatimChar"/>
        </w:rPr>
        <w:t xml:space="preserve">PSO4→SUF</w:t>
      </w:r>
      <w:r>
        <w:t xml:space="preserve">,</w:t>
      </w:r>
      <w:r>
        <w:t xml:space="preserve"> </w:t>
      </w:r>
      <w:r>
        <w:rPr>
          <w:rStyle w:val="VerbatimChar"/>
        </w:rPr>
        <w:t xml:space="preserve">PPOAlP→POA</w:t>
      </w:r>
      <w:r>
        <w:t xml:space="preserve">, and</w:t>
      </w:r>
      <w:r>
        <w:t xml:space="preserve"> </w:t>
      </w:r>
      <w:r>
        <w:rPr>
          <w:rStyle w:val="VerbatimChar"/>
        </w:rPr>
        <w:t xml:space="preserve">PNH4/PNO3/PSOA1P–PSOA5P→SED</w:t>
      </w:r>
      <w:r>
        <w:t xml:space="preserve">;</w:t>
      </w:r>
      <w:r>
        <w:t xml:space="preserve"> </w:t>
      </w:r>
      <w:r>
        <w:rPr>
          <w:rStyle w:val="VerbatimChar"/>
        </w:rPr>
        <w:t xml:space="preserve">PH2O</w:t>
      </w:r>
      <w:r>
        <w:t xml:space="preserve"> </w:t>
      </w:r>
      <w:r>
        <w:t xml:space="preserve">is excluded from dry class assignment. The first five groups preserve source-character information, whereas</w:t>
      </w:r>
      <w:r>
        <w:t xml:space="preserve"> </w:t>
      </w:r>
      <w:r>
        <w:rPr>
          <w:rStyle w:val="VerbatimChar"/>
        </w:rPr>
        <w:t xml:space="preserve">SED</w:t>
      </w:r>
      <w:r>
        <w:t xml:space="preserve"> </w:t>
      </w:r>
      <w:r>
        <w:t xml:space="preserve">serves as the secondary/background residual. With fraction bounds 0, 0.5, 0.9, and 1.0, the production classifier yields one class in which none of the five source-character groups exceeds 0.5 plus two enrichment states (0.5–0.9 and 0.9–1.0) for each source-character group, giving 11 feasible classes. The “fresh-like”, “aged/partially mixed”, and “well mixed” labels used in the manuscript are physical interpretations of these group-fraction ranges rather than explicit age diagnostics.</w:t>
      </w:r>
    </w:p>
    <w:p>
      <w:pPr>
        <w:pStyle w:val="CaptionedFigure"/>
      </w:pPr>
      <w:r>
        <w:drawing>
          <wp:inline>
            <wp:extent cx="5334000" cy="1414669"/>
            <wp:effectExtent b="0" l="0" r="0" t="0"/>
            <wp:docPr descr="Figure S1. Production seven-bin dry-diameter grid." title="" id="15" name="Picture"/>
            <a:graphic>
              <a:graphicData uri="http://schemas.openxmlformats.org/drawingml/2006/picture">
                <pic:pic>
                  <pic:nvPicPr>
                    <pic:cNvPr descr="../figures/figS01_production_size_grid.png" id="16" name="Picture"/>
                    <pic:cNvPicPr>
                      <a:picLocks noChangeArrowheads="1" noChangeAspect="1"/>
                    </pic:cNvPicPr>
                  </pic:nvPicPr>
                  <pic:blipFill>
                    <a:blip r:embed="rId14"/>
                    <a:stretch>
                      <a:fillRect/>
                    </a:stretch>
                  </pic:blipFill>
                  <pic:spPr bwMode="auto">
                    <a:xfrm>
                      <a:off x="0" y="0"/>
                      <a:ext cx="5334000" cy="1414669"/>
                    </a:xfrm>
                    <a:prstGeom prst="rect">
                      <a:avLst/>
                    </a:prstGeom>
                    <a:noFill/>
                    <a:ln w="9525">
                      <a:noFill/>
                      <a:headEnd/>
                      <a:tailEnd/>
                    </a:ln>
                  </pic:spPr>
                </pic:pic>
              </a:graphicData>
            </a:graphic>
          </wp:inline>
        </w:drawing>
      </w:r>
    </w:p>
    <w:p>
      <w:pPr>
        <w:pStyle w:val="ImageCaption"/>
      </w:pPr>
      <w:r>
        <w:t xml:space="preserve">Figure S1. Production seven-bin dry-diameter grid.</w:t>
      </w:r>
    </w:p>
    <w:p>
      <w:pPr>
        <w:pStyle w:val="BodyText"/>
      </w:pPr>
      <w:r>
        <w:rPr>
          <w:b/>
          <w:bCs/>
        </w:rPr>
        <w:t xml:space="preserve">Figure S1.</w:t>
      </w:r>
      <w:r>
        <w:t xml:space="preserve"> </w:t>
      </w:r>
      <w:r>
        <w:t xml:space="preserve">Seven-bin dry-diameter grid used for the initial demonstration. Bin number and boundaries are runtime configuration inputs rather than fixed framework limits.</w:t>
      </w:r>
    </w:p>
    <w:p>
      <w:pPr>
        <w:pStyle w:val="CaptionedFigure"/>
      </w:pPr>
      <w:r>
        <w:drawing>
          <wp:inline>
            <wp:extent cx="5334000" cy="3425919"/>
            <wp:effectExtent b="0" l="0" r="0" t="0"/>
            <wp:docPr descr="Figure S2. Production External composition classes." title="" id="18" name="Picture"/>
            <a:graphic>
              <a:graphicData uri="http://schemas.openxmlformats.org/drawingml/2006/picture">
                <pic:pic>
                  <pic:nvPicPr>
                    <pic:cNvPr descr="../figures/figS02_production_composition_classes.png" id="19" name="Picture"/>
                    <pic:cNvPicPr>
                      <a:picLocks noChangeArrowheads="1" noChangeAspect="1"/>
                    </pic:cNvPicPr>
                  </pic:nvPicPr>
                  <pic:blipFill>
                    <a:blip r:embed="rId17"/>
                    <a:stretch>
                      <a:fillRect/>
                    </a:stretch>
                  </pic:blipFill>
                  <pic:spPr bwMode="auto">
                    <a:xfrm>
                      <a:off x="0" y="0"/>
                      <a:ext cx="5334000" cy="3425919"/>
                    </a:xfrm>
                    <a:prstGeom prst="rect">
                      <a:avLst/>
                    </a:prstGeom>
                    <a:noFill/>
                    <a:ln w="9525">
                      <a:noFill/>
                      <a:headEnd/>
                      <a:tailEnd/>
                    </a:ln>
                  </pic:spPr>
                </pic:pic>
              </a:graphicData>
            </a:graphic>
          </wp:inline>
        </w:drawing>
      </w:r>
    </w:p>
    <w:p>
      <w:pPr>
        <w:pStyle w:val="ImageCaption"/>
      </w:pPr>
      <w:r>
        <w:t xml:space="preserve">Figure S2. Production External composition classes.</w:t>
      </w:r>
    </w:p>
    <w:p>
      <w:pPr>
        <w:pStyle w:val="BodyText"/>
      </w:pPr>
      <w:r>
        <w:rPr>
          <w:b/>
          <w:bCs/>
        </w:rPr>
        <w:t xml:space="preserve">Figure S2.</w:t>
      </w:r>
      <w:r>
        <w:t xml:space="preserve"> </w:t>
      </w:r>
      <w:r>
        <w:t xml:space="preserve">Eleven External composition classes used in the demonstration. The labels summarize dry group-mass-fraction intervals; the prognostic state retains the individual species masses within each class.</w:t>
      </w:r>
    </w:p>
    <w:bookmarkEnd w:id="20"/>
    <w:bookmarkStart w:id="24" w:name="X8d0b18c33a54439cf04dd15cd7af1c923352b3a"/>
    <w:p>
      <w:pPr>
        <w:pStyle w:val="Heading1"/>
      </w:pPr>
      <w:r>
        <w:t xml:space="preserve">Text S4. Analytical coagulation product placement</w:t>
      </w:r>
    </w:p>
    <w:p>
      <w:pPr>
        <w:pStyle w:val="FirstParagraph"/>
      </w:pPr>
      <w:r>
        <w:t xml:space="preserve">The formal production cases use</w:t>
      </w:r>
      <w:r>
        <w:t xml:space="preserve"> </w:t>
      </w:r>
      <w:r>
        <w:rPr>
          <w:rStyle w:val="VerbatimChar"/>
        </w:rPr>
        <w:t xml:space="preserve">Coagulation_repartition_mode = 1</w:t>
      </w:r>
      <w:r>
        <w:t xml:space="preserve">, implemented by</w:t>
      </w:r>
      <w:r>
        <w:t xml:space="preserve"> </w:t>
      </w:r>
      <w:r>
        <w:rPr>
          <w:rStyle w:val="VerbatimChar"/>
        </w:rPr>
        <w:t xml:space="preserve">ModuleCoeffRepartitionNearest.F90</w:t>
      </w:r>
      <w:r>
        <w:t xml:space="preserve">. Despite the historical option name “nearest,” the current production implementation does</w:t>
      </w:r>
      <w:r>
        <w:t xml:space="preserve"> </w:t>
      </w:r>
      <w:r>
        <w:rPr>
          <w:b/>
          <w:bCs/>
        </w:rPr>
        <w:t xml:space="preserve">not</w:t>
      </w:r>
      <w:r>
        <w:t xml:space="preserve"> </w:t>
      </w:r>
      <w:r>
        <w:t xml:space="preserve">place a product at the nearest state-space centroid. Instead, it constructs the physical product particle analytically and assigns it to the configured diameter and composition</w:t>
      </w:r>
      <w:r>
        <w:t xml:space="preserve"> </w:t>
      </w:r>
      <w:r>
        <w:rPr>
          <w:i/>
          <w:iCs/>
        </w:rPr>
        <w:t xml:space="preserve">bands</w:t>
      </w:r>
      <w:r>
        <w:t xml:space="preserve">.</w:t>
      </w:r>
    </w:p>
    <w:p>
      <w:pPr>
        <w:pStyle w:val="BodyText"/>
      </w:pPr>
      <w:r>
        <w:t xml:space="preserve">For two parent states</w:t>
      </w:r>
      <w:r>
        <w:t xml:space="preserve"> </w:t>
      </w:r>
      <m:oMath>
        <m:r>
          <m:t>i</m:t>
        </m:r>
      </m:oMath>
      <w:r>
        <w:t xml:space="preserve"> </w:t>
      </w:r>
      <w:r>
        <w:t xml:space="preserve">and</w:t>
      </w:r>
      <w:r>
        <w:t xml:space="preserve"> </w:t>
      </w:r>
      <m:oMath>
        <m:r>
          <m:t>j</m:t>
        </m:r>
      </m:oMath>
      <w:r>
        <w:t xml:space="preserve">, the coagulation event rate is</w:t>
      </w:r>
    </w:p>
    <w:p>
      <w:pPr>
        <w:pStyle w:val="BodyText"/>
      </w:pPr>
      <m:oMathPara>
        <m:oMathParaPr>
          <m:jc m:val="center"/>
        </m:oMathParaPr>
        <m:oMath>
          <m:sSub>
            <m:e>
              <m:r>
                <m:t>R</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K</m:t>
                        </m:r>
                      </m:e>
                      <m:sub>
                        <m:r>
                          <m:t>i</m:t>
                        </m:r>
                        <m:r>
                          <m:t>j</m:t>
                        </m:r>
                      </m:sub>
                    </m:sSub>
                    <m:sSub>
                      <m:e>
                        <m:r>
                          <m:t>N</m:t>
                        </m:r>
                      </m:e>
                      <m:sub>
                        <m:r>
                          <m:t>i</m:t>
                        </m:r>
                      </m:sub>
                    </m:sSub>
                    <m:sSub>
                      <m:e>
                        <m:r>
                          <m:t>N</m:t>
                        </m:r>
                      </m:e>
                      <m:sub>
                        <m:r>
                          <m:t>j</m:t>
                        </m:r>
                      </m:sub>
                    </m:sSub>
                    <m:r>
                      <m:rPr>
                        <m:sty m:val="p"/>
                      </m:rPr>
                      <m:t>,</m:t>
                    </m:r>
                  </m:e>
                  <m:e>
                    <m:r>
                      <m:t>i</m:t>
                    </m:r>
                    <m:r>
                      <m:rPr>
                        <m:sty m:val="p"/>
                      </m:rPr>
                      <m:t>≠</m:t>
                    </m:r>
                    <m:r>
                      <m:t>j</m:t>
                    </m:r>
                    <m:r>
                      <m:rPr>
                        <m:sty m:val="p"/>
                      </m:rPr>
                      <m:t>,</m:t>
                    </m:r>
                  </m:e>
                </m:mr>
                <m:mr>
                  <m:e>
                    <m:f>
                      <m:fPr>
                        <m:type m:val="bar"/>
                      </m:fPr>
                      <m:num>
                        <m:r>
                          <m:t>1</m:t>
                        </m:r>
                      </m:num>
                      <m:den>
                        <m:r>
                          <m:t>2</m:t>
                        </m:r>
                      </m:den>
                    </m:f>
                    <m:sSub>
                      <m:e>
                        <m:r>
                          <m:t>K</m:t>
                        </m:r>
                      </m:e>
                      <m:sub>
                        <m:r>
                          <m:t>i</m:t>
                        </m:r>
                        <m:r>
                          <m:t>i</m:t>
                        </m:r>
                      </m:sub>
                    </m:sSub>
                    <m:sSubSup>
                      <m:e>
                        <m:r>
                          <m:t>N</m:t>
                        </m:r>
                      </m:e>
                      <m:sub>
                        <m:r>
                          <m:t>i</m:t>
                        </m:r>
                      </m:sub>
                      <m:sup>
                        <m:r>
                          <m:t>2</m:t>
                        </m:r>
                      </m:sup>
                    </m:sSubSup>
                    <m:r>
                      <m:rPr>
                        <m:sty m:val="p"/>
                      </m:rPr>
                      <m:t>,</m:t>
                    </m:r>
                  </m:e>
                  <m:e>
                    <m:r>
                      <m:t>i</m:t>
                    </m:r>
                    <m:r>
                      <m:rPr>
                        <m:sty m:val="p"/>
                      </m:rPr>
                      <m:t>=</m:t>
                    </m:r>
                    <m:r>
                      <m:t>j</m:t>
                    </m:r>
                    <m:r>
                      <m:rPr>
                        <m:sty m:val="p"/>
                      </m:rPr>
                      <m:t>,</m:t>
                    </m:r>
                  </m:e>
                </m:mr>
              </m:m>
            </m:e>
          </m:d>
        </m:oMath>
      </m:oMathPara>
    </w:p>
    <w:p>
      <w:pPr>
        <w:pStyle w:val="FirstParagraph"/>
      </w:pPr>
      <w:r>
        <w:t xml:space="preserve">where</w:t>
      </w:r>
      <w:r>
        <w:t xml:space="preserve"> </w:t>
      </w:r>
      <m:oMath>
        <m:sSub>
          <m:e>
            <m:r>
              <m:t>K</m:t>
            </m:r>
          </m:e>
          <m:sub>
            <m:r>
              <m:t>i</m:t>
            </m:r>
            <m:r>
              <m:t>j</m:t>
            </m:r>
          </m:sub>
        </m:sSub>
      </m:oMath>
      <w:r>
        <w:t xml:space="preserve"> </w:t>
      </w:r>
      <w:r>
        <w:t xml:space="preserve">is the instantaneous coagulation kernel and</w:t>
      </w:r>
      <w:r>
        <w:t xml:space="preserve"> </w:t>
      </w:r>
      <m:oMath>
        <m:sSub>
          <m:e>
            <m:r>
              <m:t>N</m:t>
            </m:r>
          </m:e>
          <m:sub>
            <m:r>
              <m:t>i</m:t>
            </m:r>
          </m:sub>
        </m:sSub>
      </m:oMath>
      <w:r>
        <w:t xml:space="preserve"> </w:t>
      </w:r>
      <w:r>
        <w:t xml:space="preserve">and</w:t>
      </w:r>
      <w:r>
        <w:t xml:space="preserve"> </w:t>
      </w:r>
      <m:oMath>
        <m:sSub>
          <m:e>
            <m:r>
              <m:t>N</m:t>
            </m:r>
          </m:e>
          <m:sub>
            <m:r>
              <m:t>j</m:t>
            </m:r>
          </m:sub>
        </m:sSub>
      </m:oMath>
      <w:r>
        <w:t xml:space="preserve"> </w:t>
      </w:r>
      <w:r>
        <w:t xml:space="preserve">are particle number concentrations. For species</w:t>
      </w:r>
      <w:r>
        <w:t xml:space="preserve"> </w:t>
      </w:r>
      <m:oMath>
        <m:r>
          <m:t>s</m:t>
        </m:r>
      </m:oMath>
      <w:r>
        <w:t xml:space="preserve">, the mass carried by one particle from each parent is</w:t>
      </w:r>
      <w:r>
        <w:t xml:space="preserve"> </w:t>
      </w:r>
      <m:oMath>
        <m:sSub>
          <m:e>
            <m:r>
              <m:t>M</m:t>
            </m:r>
          </m:e>
          <m:sub>
            <m:r>
              <m:t>i</m:t>
            </m:r>
            <m:r>
              <m:rPr>
                <m:sty m:val="p"/>
              </m:rPr>
              <m:t>,</m:t>
            </m:r>
            <m:r>
              <m:t>s</m:t>
            </m:r>
          </m:sub>
        </m:sSub>
        <m:r>
          <m:rPr>
            <m:sty m:val="p"/>
          </m:rPr>
          <m:t>/</m:t>
        </m:r>
        <m:sSub>
          <m:e>
            <m:r>
              <m:t>N</m:t>
            </m:r>
          </m:e>
          <m:sub>
            <m:r>
              <m:t>i</m:t>
            </m:r>
          </m:sub>
        </m:sSub>
      </m:oMath>
      <w:r>
        <w:t xml:space="preserve"> </w:t>
      </w:r>
      <w:r>
        <w:t xml:space="preserve">and</w:t>
      </w:r>
      <w:r>
        <w:t xml:space="preserve"> </w:t>
      </w:r>
      <m:oMath>
        <m:sSub>
          <m:e>
            <m:r>
              <m:t>M</m:t>
            </m:r>
          </m:e>
          <m:sub>
            <m:r>
              <m:t>j</m:t>
            </m:r>
            <m:r>
              <m:rPr>
                <m:sty m:val="p"/>
              </m:rPr>
              <m:t>,</m:t>
            </m:r>
            <m:r>
              <m:t>s</m:t>
            </m:r>
          </m:sub>
        </m:sSub>
        <m:r>
          <m:rPr>
            <m:sty m:val="p"/>
          </m:rPr>
          <m:t>/</m:t>
        </m:r>
        <m:sSub>
          <m:e>
            <m:r>
              <m:t>N</m:t>
            </m:r>
          </m:e>
          <m:sub>
            <m:r>
              <m:t>j</m:t>
            </m:r>
          </m:sub>
        </m:sSub>
      </m:oMath>
      <w:r>
        <w:t xml:space="preserve">; therefore the product-particle composition is</w:t>
      </w:r>
    </w:p>
    <w:p>
      <w:pPr>
        <w:pStyle w:val="BodyText"/>
      </w:pPr>
      <m:oMathPara>
        <m:oMathParaPr>
          <m:jc m:val="center"/>
        </m:oMathParaPr>
        <m:oMath>
          <m:sSub>
            <m:e>
              <m:r>
                <m:t>m</m:t>
              </m:r>
            </m:e>
            <m:sub>
              <m:r>
                <m:t>p</m:t>
              </m:r>
              <m:r>
                <m:rPr>
                  <m:sty m:val="p"/>
                </m:rPr>
                <m:t>,</m:t>
              </m:r>
              <m:r>
                <m:t>s</m:t>
              </m:r>
            </m:sub>
          </m:sSub>
          <m:r>
            <m:rPr>
              <m:sty m:val="p"/>
            </m:rPr>
            <m:t>=</m:t>
          </m:r>
          <m:f>
            <m:fPr>
              <m:type m:val="bar"/>
            </m:fPr>
            <m:num>
              <m:sSub>
                <m:e>
                  <m:r>
                    <m:t>M</m:t>
                  </m:r>
                </m:e>
                <m:sub>
                  <m:r>
                    <m:t>i</m:t>
                  </m:r>
                  <m:r>
                    <m:rPr>
                      <m:sty m:val="p"/>
                    </m:rPr>
                    <m:t>,</m:t>
                  </m:r>
                  <m:r>
                    <m:t>s</m:t>
                  </m:r>
                </m:sub>
              </m:sSub>
            </m:num>
            <m:den>
              <m:sSub>
                <m:e>
                  <m:r>
                    <m:t>N</m:t>
                  </m:r>
                </m:e>
                <m:sub>
                  <m:r>
                    <m:t>i</m:t>
                  </m:r>
                </m:sub>
              </m:sSub>
            </m:den>
          </m:f>
          <m:r>
            <m:rPr>
              <m:sty m:val="p"/>
            </m:rPr>
            <m:t>+</m:t>
          </m:r>
          <m:f>
            <m:fPr>
              <m:type m:val="bar"/>
            </m:fPr>
            <m:num>
              <m:sSub>
                <m:e>
                  <m:r>
                    <m:t>M</m:t>
                  </m:r>
                </m:e>
                <m:sub>
                  <m:r>
                    <m:t>j</m:t>
                  </m:r>
                  <m:r>
                    <m:rPr>
                      <m:sty m:val="p"/>
                    </m:rPr>
                    <m:t>,</m:t>
                  </m:r>
                  <m:r>
                    <m:t>s</m:t>
                  </m:r>
                </m:sub>
              </m:sSub>
            </m:num>
            <m:den>
              <m:sSub>
                <m:e>
                  <m:r>
                    <m:t>N</m:t>
                  </m:r>
                </m:e>
                <m:sub>
                  <m:r>
                    <m:t>j</m:t>
                  </m:r>
                </m:sub>
              </m:sSub>
            </m:den>
          </m:f>
          <m:r>
            <m:rPr>
              <m:sty m:val="p"/>
            </m:rPr>
            <m:t>.</m:t>
          </m:r>
        </m:oMath>
      </m:oMathPara>
    </w:p>
    <w:p>
      <w:pPr>
        <w:pStyle w:val="FirstParagraph"/>
      </w:pPr>
      <w:r>
        <w:t xml:space="preserve">The total dry product mass, volume, and equivalent-volume dry diameter are</w:t>
      </w:r>
    </w:p>
    <w:p>
      <w:pPr>
        <w:pStyle w:val="BodyText"/>
      </w:pPr>
      <m:oMathPara>
        <m:oMathParaPr>
          <m:jc m:val="center"/>
        </m:oMathParaPr>
        <m:oMath>
          <m:sSub>
            <m:e>
              <m:r>
                <m:t>m</m:t>
              </m:r>
            </m:e>
            <m:sub>
              <m:r>
                <m:t>p</m:t>
              </m:r>
            </m:sub>
          </m:sSub>
          <m:r>
            <m:rPr>
              <m:sty m:val="p"/>
            </m:rPr>
            <m:t>=</m:t>
          </m:r>
          <m:nary>
            <m:naryPr>
              <m:chr m:val="∑"/>
              <m:limLoc m:val="undOvr"/>
              <m:subHide m:val="off"/>
              <m:supHide m:val="on"/>
            </m:naryPr>
            <m:sub>
              <m:r>
                <m:t>s</m:t>
              </m:r>
            </m:sub>
            <m:sup>
              <m:r>
                <m:t>​</m:t>
              </m:r>
            </m:sup>
            <m:e>
              <m:sSub>
                <m:e>
                  <m:r>
                    <m:t>m</m:t>
                  </m:r>
                </m:e>
                <m:sub>
                  <m:r>
                    <m:t>p</m:t>
                  </m:r>
                  <m:r>
                    <m:rPr>
                      <m:sty m:val="p"/>
                    </m:rPr>
                    <m:t>,</m:t>
                  </m:r>
                  <m:r>
                    <m:t>s</m:t>
                  </m:r>
                </m:sub>
              </m:sSub>
            </m:e>
          </m:nary>
          <m:r>
            <m:rPr>
              <m:sty m:val="p"/>
            </m:rPr>
            <m:t>,</m:t>
          </m:r>
          <m:r>
            <m:t>  </m:t>
          </m:r>
          <m:sSub>
            <m:e>
              <m:r>
                <m:t>V</m:t>
              </m:r>
            </m:e>
            <m:sub>
              <m:r>
                <m:t>p</m:t>
              </m:r>
            </m:sub>
          </m:sSub>
          <m:r>
            <m:rPr>
              <m:sty m:val="p"/>
            </m:rPr>
            <m:t>=</m:t>
          </m:r>
          <m:nary>
            <m:naryPr>
              <m:chr m:val="∑"/>
              <m:limLoc m:val="undOvr"/>
              <m:subHide m:val="off"/>
              <m:supHide m:val="on"/>
            </m:naryPr>
            <m:sub>
              <m:r>
                <m:t>s</m:t>
              </m:r>
            </m:sub>
            <m:sup>
              <m:r>
                <m:t>​</m:t>
              </m:r>
            </m:sup>
            <m:e>
              <m:f>
                <m:fPr>
                  <m:type m:val="bar"/>
                </m:fPr>
                <m:num>
                  <m:sSub>
                    <m:e>
                      <m:r>
                        <m:t>m</m:t>
                      </m:r>
                    </m:e>
                    <m:sub>
                      <m:r>
                        <m:t>p</m:t>
                      </m:r>
                      <m:r>
                        <m:rPr>
                          <m:sty m:val="p"/>
                        </m:rPr>
                        <m:t>,</m:t>
                      </m:r>
                      <m:r>
                        <m:t>s</m:t>
                      </m:r>
                    </m:sub>
                  </m:sSub>
                </m:num>
                <m:den>
                  <m:sSub>
                    <m:e>
                      <m:r>
                        <m:t>ρ</m:t>
                      </m:r>
                    </m:e>
                    <m:sub>
                      <m:r>
                        <m:t>s</m:t>
                      </m:r>
                    </m:sub>
                  </m:sSub>
                </m:den>
              </m:f>
            </m:e>
          </m:nary>
          <m:r>
            <m:rPr>
              <m:sty m:val="p"/>
            </m:rPr>
            <m:t>,</m:t>
          </m:r>
          <m:r>
            <m:t>  </m:t>
          </m:r>
          <m:sSub>
            <m:e>
              <m:r>
                <m:t>D</m:t>
              </m:r>
            </m:e>
            <m:sub>
              <m:r>
                <m:t>p</m:t>
              </m:r>
            </m:sub>
          </m:sSub>
          <m:r>
            <m:rPr>
              <m:sty m:val="p"/>
            </m:rPr>
            <m:t>=</m:t>
          </m:r>
          <m:sSup>
            <m:e>
              <m:d>
                <m:dPr>
                  <m:begChr m:val="("/>
                  <m:sepChr m:val=""/>
                  <m:endChr m:val=")"/>
                  <m:grow/>
                </m:dPr>
                <m:e>
                  <m:f>
                    <m:fPr>
                      <m:type m:val="bar"/>
                    </m:fPr>
                    <m:num>
                      <m:r>
                        <m:t>6</m:t>
                      </m:r>
                      <m:sSub>
                        <m:e>
                          <m:r>
                            <m:t>V</m:t>
                          </m:r>
                        </m:e>
                        <m:sub>
                          <m:r>
                            <m:t>p</m:t>
                          </m:r>
                        </m:sub>
                      </m:sSub>
                    </m:num>
                    <m:den>
                      <m:r>
                        <m:t>π</m:t>
                      </m:r>
                    </m:den>
                  </m:f>
                </m:e>
              </m:d>
            </m:e>
            <m:sup>
              <m:r>
                <m:t>1</m:t>
              </m:r>
              <m:r>
                <m:rPr>
                  <m:sty m:val="p"/>
                </m:rPr>
                <m:t>/</m:t>
              </m:r>
              <m:r>
                <m:t>3</m:t>
              </m:r>
            </m:sup>
          </m:sSup>
          <m:r>
            <m:rPr>
              <m:sty m:val="p"/>
            </m:rPr>
            <m:t>.</m:t>
          </m:r>
        </m:oMath>
      </m:oMathPara>
    </w:p>
    <w:p>
      <w:pPr>
        <w:pStyle w:val="FirstParagraph"/>
      </w:pPr>
      <w:r>
        <w:t xml:space="preserve">The same product species masses are summed into the configured dry-composition groups to obtain</w:t>
      </w:r>
    </w:p>
    <w:p>
      <w:pPr>
        <w:pStyle w:val="BodyText"/>
      </w:pPr>
      <m:oMathPara>
        <m:oMathParaPr>
          <m:jc m:val="center"/>
        </m:oMathParaPr>
        <m:oMath>
          <m:sSub>
            <m:e>
              <m:r>
                <m:t>f</m:t>
              </m:r>
            </m:e>
            <m:sub>
              <m:r>
                <m:t>p</m:t>
              </m:r>
              <m:r>
                <m:rPr>
                  <m:sty m:val="p"/>
                </m:rPr>
                <m:t>,</m:t>
              </m:r>
              <m:r>
                <m:t>g</m:t>
              </m:r>
            </m:sub>
          </m:sSub>
          <m:r>
            <m:rPr>
              <m:sty m:val="p"/>
            </m:rPr>
            <m:t>=</m:t>
          </m:r>
          <m:f>
            <m:fPr>
              <m:type m:val="bar"/>
            </m:fPr>
            <m:num>
              <m:nary>
                <m:naryPr>
                  <m:chr m:val="∑"/>
                  <m:limLoc m:val="undOvr"/>
                  <m:subHide m:val="off"/>
                  <m:supHide m:val="on"/>
                </m:naryPr>
                <m:sub>
                  <m:r>
                    <m:t>s</m:t>
                  </m:r>
                  <m:r>
                    <m:rPr>
                      <m:sty m:val="p"/>
                    </m:rPr>
                    <m:t>∈</m:t>
                  </m:r>
                  <m:r>
                    <m:t>g</m:t>
                  </m:r>
                </m:sub>
                <m:sup>
                  <m:r>
                    <m:t>​</m:t>
                  </m:r>
                </m:sup>
                <m:e>
                  <m:sSub>
                    <m:e>
                      <m:r>
                        <m:t>m</m:t>
                      </m:r>
                    </m:e>
                    <m:sub>
                      <m:r>
                        <m:t>p</m:t>
                      </m:r>
                      <m:r>
                        <m:rPr>
                          <m:sty m:val="p"/>
                        </m:rPr>
                        <m:t>,</m:t>
                      </m:r>
                      <m:r>
                        <m:t>s</m:t>
                      </m:r>
                    </m:sub>
                  </m:sSub>
                </m:e>
              </m:nary>
            </m:num>
            <m:den>
              <m:sSub>
                <m:e>
                  <m:r>
                    <m:t>m</m:t>
                  </m:r>
                </m:e>
                <m:sub>
                  <m:r>
                    <m:t>p</m:t>
                  </m:r>
                </m:sub>
              </m:sSub>
            </m:den>
          </m:f>
          <m:r>
            <m:rPr>
              <m:sty m:val="p"/>
            </m:rPr>
            <m:t>.</m:t>
          </m:r>
        </m:oMath>
      </m:oMathPara>
    </w:p>
    <w:p>
      <w:pPr>
        <w:pStyle w:val="FirstParagraph"/>
      </w:pPr>
      <w:r>
        <w:t xml:space="preserve">The target cell is then selected using</w:t>
      </w:r>
      <w:r>
        <w:t xml:space="preserve"> </w:t>
      </w:r>
      <m:oMath>
        <m:sSub>
          <m:e>
            <m:r>
              <m:t>D</m:t>
            </m:r>
          </m:e>
          <m:sub>
            <m:r>
              <m:t>p</m:t>
            </m:r>
          </m:sub>
        </m:sSub>
      </m:oMath>
      <w:r>
        <w:t xml:space="preserve"> </w:t>
      </w:r>
      <w:r>
        <w:t xml:space="preserve">and</w:t>
      </w:r>
      <w:r>
        <w:t xml:space="preserve"> </w:t>
      </w:r>
      <m:oMath>
        <m:r>
          <m:rPr>
            <m:sty m:val="p"/>
          </m:rPr>
          <m:t>{</m:t>
        </m:r>
        <m:sSub>
          <m:e>
            <m:r>
              <m:t>f</m:t>
            </m:r>
          </m:e>
          <m:sub>
            <m:r>
              <m:t>p</m:t>
            </m:r>
            <m:r>
              <m:rPr>
                <m:sty m:val="p"/>
              </m:rPr>
              <m:t>,</m:t>
            </m:r>
            <m:r>
              <m:t>g</m:t>
            </m:r>
          </m:sub>
        </m:sSub>
        <m:r>
          <m:rPr>
            <m:sty m:val="p"/>
          </m:rPr>
          <m:t>}</m:t>
        </m:r>
      </m:oMath>
      <w:r>
        <w:t xml:space="preserve">. Size-bin ownership is deterministic: the first size interval owns its lower boundary, subsequent bins use left-open/right-closed intervals, and products larger than the configured top diameter are saturated into the largest represented size bin. Composition-band ownership uses the same boundary convention as the composition-redistribution operator. Invalid or non-normalized product states are rejected rather than silently routed to a default bin.</w:t>
      </w:r>
    </w:p>
    <w:p>
      <w:pPr>
        <w:pStyle w:val="BodyText"/>
      </w:pPr>
      <w:r>
        <w:t xml:space="preserve">The unbounded event rate is additionally constrained by the available parent inventories during the physics step. For parent</w:t>
      </w:r>
      <w:r>
        <w:t xml:space="preserve"> </w:t>
      </w:r>
      <m:oMath>
        <m:r>
          <m:t>a</m:t>
        </m:r>
      </m:oMath>
      <w:r>
        <w:t xml:space="preserve">, an upper bound on removable number is approximately</w:t>
      </w:r>
    </w:p>
    <w:p>
      <w:pPr>
        <w:pStyle w:val="BodyText"/>
      </w:pPr>
      <m:oMathPara>
        <m:oMathParaPr>
          <m:jc m:val="center"/>
        </m:oMathParaPr>
        <m:oMath>
          <m:sSubSup>
            <m:e>
              <m:r>
                <m:t>F</m:t>
              </m:r>
            </m:e>
            <m:sub>
              <m:r>
                <m:t>N</m:t>
              </m:r>
              <m:r>
                <m:rPr>
                  <m:sty m:val="p"/>
                </m:rPr>
                <m:t>,</m:t>
              </m:r>
              <m:r>
                <m:t>a</m:t>
              </m:r>
            </m:sub>
            <m:sup>
              <m:r>
                <m:rPr>
                  <m:sty m:val="p"/>
                </m:rPr>
                <m:t>max</m:t>
              </m:r>
            </m:sup>
          </m:sSubSup>
          <m:r>
            <m:rPr>
              <m:sty m:val="p"/>
            </m:rPr>
            <m:t>=</m:t>
          </m:r>
          <m:r>
            <m:rPr>
              <m:sty m:val="p"/>
            </m:rPr>
            <m:t>(</m:t>
          </m:r>
          <m:r>
            <m:t>1</m:t>
          </m:r>
          <m:r>
            <m:rPr>
              <m:sty m:val="p"/>
            </m:rPr>
            <m:t>−</m:t>
          </m:r>
          <m:sSup>
            <m:e>
              <m:r>
                <m:t>10</m:t>
              </m:r>
            </m:e>
            <m:sup>
              <m:r>
                <m:rPr>
                  <m:sty m:val="p"/>
                </m:rPr>
                <m:t>−</m:t>
              </m:r>
              <m:r>
                <m:t>12</m:t>
              </m:r>
            </m:sup>
          </m:sSup>
          <m:r>
            <m:rPr>
              <m:sty m:val="p"/>
            </m:rPr>
            <m:t>)</m:t>
          </m:r>
          <m:f>
            <m:fPr>
              <m:type m:val="bar"/>
            </m:fPr>
            <m:num>
              <m:sSub>
                <m:e>
                  <m:r>
                    <m:t>N</m:t>
                  </m:r>
                </m:e>
                <m:sub>
                  <m:r>
                    <m:t>a</m:t>
                  </m:r>
                </m:sub>
              </m:sSub>
            </m:num>
            <m:den>
              <m:r>
                <m:rPr>
                  <m:sty m:val="p"/>
                </m:rPr>
                <m:t>Δ</m:t>
              </m:r>
              <m:r>
                <m:t>t</m:t>
              </m:r>
            </m:den>
          </m:f>
          <m:r>
            <m:rPr>
              <m:sty m:val="p"/>
            </m:rPr>
            <m:t>,</m:t>
          </m:r>
        </m:oMath>
      </m:oMathPara>
    </w:p>
    <w:p>
      <w:pPr>
        <w:pStyle w:val="FirstParagraph"/>
      </w:pPr>
      <w:r>
        <w:t xml:space="preserve">and an analogous limit is calculated for every species mass that is required by a collision. The accepted event flux is the minimum of the physical kernel rate and all source-number/species-mass budgets. This prevents negative concentrations while retaining the collision stoichiometry. Each accepted collision removes two parent particles and creates one product particle, so net particle number changes by one per event while the mass of every chemical species is conserved.</w:t>
      </w:r>
    </w:p>
    <w:p>
      <w:pPr>
        <w:pStyle w:val="CaptionedFigure"/>
      </w:pPr>
      <w:r>
        <w:drawing>
          <wp:inline>
            <wp:extent cx="5334000" cy="2507583"/>
            <wp:effectExtent b="0" l="0" r="0" t="0"/>
            <wp:docPr descr="Figure S3. Analytical coagulation product placement." title="" id="22" name="Picture"/>
            <a:graphic>
              <a:graphicData uri="http://schemas.openxmlformats.org/drawingml/2006/picture">
                <pic:pic>
                  <pic:nvPicPr>
                    <pic:cNvPr descr="../figures/figS03_coagulation_nearest_state.png" id="23" name="Picture"/>
                    <pic:cNvPicPr>
                      <a:picLocks noChangeArrowheads="1" noChangeAspect="1"/>
                    </pic:cNvPicPr>
                  </pic:nvPicPr>
                  <pic:blipFill>
                    <a:blip r:embed="rId21"/>
                    <a:stretch>
                      <a:fillRect/>
                    </a:stretch>
                  </pic:blipFill>
                  <pic:spPr bwMode="auto">
                    <a:xfrm>
                      <a:off x="0" y="0"/>
                      <a:ext cx="5334000" cy="2507583"/>
                    </a:xfrm>
                    <a:prstGeom prst="rect">
                      <a:avLst/>
                    </a:prstGeom>
                    <a:noFill/>
                    <a:ln w="9525">
                      <a:noFill/>
                      <a:headEnd/>
                      <a:tailEnd/>
                    </a:ln>
                  </pic:spPr>
                </pic:pic>
              </a:graphicData>
            </a:graphic>
          </wp:inline>
        </w:drawing>
      </w:r>
    </w:p>
    <w:p>
      <w:pPr>
        <w:pStyle w:val="ImageCaption"/>
      </w:pPr>
      <w:r>
        <w:t xml:space="preserve">Figure S3. Analytical coagulation product placement.</w:t>
      </w:r>
    </w:p>
    <w:p>
      <w:pPr>
        <w:pStyle w:val="BodyText"/>
      </w:pPr>
      <w:r>
        <w:rPr>
          <w:b/>
          <w:bCs/>
        </w:rPr>
        <w:t xml:space="preserve">Figure S3.</w:t>
      </w:r>
      <w:r>
        <w:t xml:space="preserve"> </w:t>
      </w:r>
      <w:r>
        <w:t xml:space="preserve">Analytical coagulation product placement. The product dry diameter and reduced composition fractions are calculated from the two parent particles and are then located in the configured size–composition bands. The diagram shows the logical operator, not the geometric spacing of the production composition classes.</w:t>
      </w:r>
    </w:p>
    <w:bookmarkEnd w:id="24"/>
    <w:bookmarkStart w:id="28" w:name="X0ab53b6d0dcbcd2f834c1c9eba4fffc857024f7"/>
    <w:p>
      <w:pPr>
        <w:pStyle w:val="Heading1"/>
      </w:pPr>
      <w:r>
        <w:t xml:space="preserve">Text S5. Moving-center/dual-pivot size redistribution and composition reclassification</w:t>
      </w:r>
    </w:p>
    <w:p>
      <w:pPr>
        <w:pStyle w:val="FirstParagraph"/>
      </w:pPr>
      <w:r>
        <w:t xml:space="preserve">Condensation, evaporation, aqueous processing, and chemical partitioning change particle mass without directly changing the number of particles in a size–composition cell. A fixed-center sectional method would therefore require frequent remapping even when the updated mean particle remains physically inside its existing size interval. CESM–SCRAM instead uses a true moving-center representation within each size section and applies a conservative dual-pivot remap only when the prognostic center exits the section.</w:t>
      </w:r>
    </w:p>
    <w:p>
      <w:pPr>
        <w:pStyle w:val="BodyText"/>
      </w:pPr>
      <w:r>
        <w:t xml:space="preserve">For section</w:t>
      </w:r>
      <w:r>
        <w:t xml:space="preserve"> </w:t>
      </w:r>
      <m:oMath>
        <m:r>
          <m:t>k</m:t>
        </m:r>
      </m:oMath>
      <w:r>
        <w:t xml:space="preserve">, the total dry particle volume and mean particle volume are</w:t>
      </w:r>
    </w:p>
    <w:p>
      <w:pPr>
        <w:pStyle w:val="BodyText"/>
      </w:pPr>
      <m:oMathPara>
        <m:oMathParaPr>
          <m:jc m:val="center"/>
        </m:oMathParaPr>
        <m:oMath>
          <m:sSub>
            <m:e>
              <m:r>
                <m:t>V</m:t>
              </m:r>
            </m:e>
            <m:sub>
              <m:r>
                <m:t>k</m:t>
              </m:r>
            </m:sub>
          </m:sSub>
          <m:r>
            <m:rPr>
              <m:sty m:val="p"/>
            </m:rPr>
            <m:t>=</m:t>
          </m:r>
          <m:nary>
            <m:naryPr>
              <m:chr m:val="∑"/>
              <m:limLoc m:val="undOvr"/>
              <m:subHide m:val="off"/>
              <m:supHide m:val="on"/>
            </m:naryPr>
            <m:sub>
              <m:r>
                <m:t>s</m:t>
              </m:r>
            </m:sub>
            <m:sup>
              <m:r>
                <m:t>​</m:t>
              </m:r>
            </m:sup>
            <m:e>
              <m:f>
                <m:fPr>
                  <m:type m:val="bar"/>
                </m:fPr>
                <m:num>
                  <m:sSub>
                    <m:e>
                      <m:r>
                        <m:t>M</m:t>
                      </m:r>
                    </m:e>
                    <m:sub>
                      <m:r>
                        <m:t>k</m:t>
                      </m:r>
                      <m:r>
                        <m:rPr>
                          <m:sty m:val="p"/>
                        </m:rPr>
                        <m:t>,</m:t>
                      </m:r>
                      <m:r>
                        <m:t>s</m:t>
                      </m:r>
                    </m:sub>
                  </m:sSub>
                </m:num>
                <m:den>
                  <m:sSub>
                    <m:e>
                      <m:r>
                        <m:t>ρ</m:t>
                      </m:r>
                    </m:e>
                    <m:sub>
                      <m:r>
                        <m:t>s</m:t>
                      </m:r>
                    </m:sub>
                  </m:sSub>
                </m:den>
              </m:f>
            </m:e>
          </m:nary>
          <m:r>
            <m:rPr>
              <m:sty m:val="p"/>
            </m:rPr>
            <m:t>,</m:t>
          </m:r>
          <m:r>
            <m:t>  </m:t>
          </m:r>
          <m:sSub>
            <m:e>
              <m:r>
                <m:t>v</m:t>
              </m:r>
            </m:e>
            <m:sub>
              <m:r>
                <m:t>k</m:t>
              </m:r>
            </m:sub>
          </m:sSub>
          <m:r>
            <m:rPr>
              <m:sty m:val="p"/>
            </m:rPr>
            <m:t>=</m:t>
          </m:r>
          <m:f>
            <m:fPr>
              <m:type m:val="bar"/>
            </m:fPr>
            <m:num>
              <m:sSub>
                <m:e>
                  <m:r>
                    <m:t>V</m:t>
                  </m:r>
                </m:e>
                <m:sub>
                  <m:r>
                    <m:t>k</m:t>
                  </m:r>
                </m:sub>
              </m:sSub>
            </m:num>
            <m:den>
              <m:sSub>
                <m:e>
                  <m:r>
                    <m:t>N</m:t>
                  </m:r>
                </m:e>
                <m:sub>
                  <m:r>
                    <m:t>k</m:t>
                  </m:r>
                </m:sub>
              </m:sSub>
            </m:den>
          </m:f>
          <m:r>
            <m:rPr>
              <m:sty m:val="p"/>
            </m:rPr>
            <m:t>,</m:t>
          </m:r>
        </m:oMath>
      </m:oMathPara>
    </w:p>
    <w:p>
      <w:pPr>
        <w:pStyle w:val="FirstParagraph"/>
      </w:pPr>
      <w:r>
        <w:t xml:space="preserve">and the corresponding moving dry diameter is</w:t>
      </w:r>
    </w:p>
    <w:p>
      <w:pPr>
        <w:pStyle w:val="BodyText"/>
      </w:pPr>
      <m:oMathPara>
        <m:oMathParaPr>
          <m:jc m:val="center"/>
        </m:oMathParaPr>
        <m:oMath>
          <m:sSub>
            <m:e>
              <m:r>
                <m:t>D</m:t>
              </m:r>
            </m:e>
            <m:sub>
              <m:r>
                <m:t>k</m:t>
              </m:r>
            </m:sub>
          </m:sSub>
          <m:r>
            <m:rPr>
              <m:sty m:val="p"/>
            </m:rPr>
            <m:t>=</m:t>
          </m:r>
          <m:sSup>
            <m:e>
              <m:d>
                <m:dPr>
                  <m:begChr m:val="("/>
                  <m:sepChr m:val=""/>
                  <m:endChr m:val=")"/>
                  <m:grow/>
                </m:dPr>
                <m:e>
                  <m:f>
                    <m:fPr>
                      <m:type m:val="bar"/>
                    </m:fPr>
                    <m:num>
                      <m:r>
                        <m:t>6</m:t>
                      </m:r>
                      <m:sSub>
                        <m:e>
                          <m:r>
                            <m:t>v</m:t>
                          </m:r>
                        </m:e>
                        <m:sub>
                          <m:r>
                            <m:t>k</m:t>
                          </m:r>
                        </m:sub>
                      </m:sSub>
                    </m:num>
                    <m:den>
                      <m:r>
                        <m:t>π</m:t>
                      </m:r>
                    </m:den>
                  </m:f>
                </m:e>
              </m:d>
            </m:e>
            <m:sup>
              <m:r>
                <m:t>1</m:t>
              </m:r>
              <m:r>
                <m:rPr>
                  <m:sty m:val="p"/>
                </m:rPr>
                <m:t>/</m:t>
              </m:r>
              <m:r>
                <m:t>3</m:t>
              </m:r>
            </m:sup>
          </m:sSup>
          <m:r>
            <m:rPr>
              <m:sty m:val="p"/>
            </m:rPr>
            <m:t>.</m:t>
          </m:r>
        </m:oMath>
      </m:oMathPara>
    </w:p>
    <w:p>
      <w:pPr>
        <w:pStyle w:val="FirstParagraph"/>
      </w:pPr>
      <w:r>
        <w:t xml:space="preserve">The fixed pivot diameter associated with an explicit size interval</w:t>
      </w:r>
      <w:r>
        <w:t xml:space="preserve"> </w:t>
      </w:r>
      <m:oMath>
        <m:r>
          <m:rPr>
            <m:sty m:val="p"/>
          </m:rPr>
          <m:t>[</m:t>
        </m:r>
        <m:sSub>
          <m:e>
            <m:r>
              <m:t>D</m:t>
            </m:r>
          </m:e>
          <m:sub>
            <m:r>
              <m:t>k</m:t>
            </m:r>
            <m:r>
              <m:rPr>
                <m:sty m:val="p"/>
              </m:rPr>
              <m:t>,</m:t>
            </m:r>
            <m:r>
              <m:t>l</m:t>
            </m:r>
          </m:sub>
        </m:sSub>
        <m:r>
          <m:rPr>
            <m:sty m:val="p"/>
          </m:rPr>
          <m:t>,</m:t>
        </m:r>
        <m:sSub>
          <m:e>
            <m:r>
              <m:t>D</m:t>
            </m:r>
          </m:e>
          <m:sub>
            <m:r>
              <m:t>k</m:t>
            </m:r>
            <m:r>
              <m:rPr>
                <m:sty m:val="p"/>
              </m:rPr>
              <m:t>,</m:t>
            </m:r>
            <m:r>
              <m:t>u</m:t>
            </m:r>
          </m:sub>
        </m:sSub>
        <m:r>
          <m:rPr>
            <m:sty m:val="p"/>
          </m:rPr>
          <m:t>]</m:t>
        </m:r>
      </m:oMath>
      <w:r>
        <w:t xml:space="preserve"> </w:t>
      </w:r>
      <w:r>
        <w:t xml:space="preserve">is the logarithmic midpoint,</w:t>
      </w:r>
    </w:p>
    <w:p>
      <w:pPr>
        <w:pStyle w:val="BodyText"/>
      </w:pPr>
      <m:oMathPara>
        <m:oMathParaPr>
          <m:jc m:val="center"/>
        </m:oMathParaPr>
        <m:oMath>
          <m:sSubSup>
            <m:e>
              <m:r>
                <m:t>D</m:t>
              </m:r>
            </m:e>
            <m:sub>
              <m:r>
                <m:t>k</m:t>
              </m:r>
            </m:sub>
            <m:sup>
              <m:r>
                <m:rPr>
                  <m:sty m:val="p"/>
                </m:rPr>
                <m:t>*</m:t>
              </m:r>
            </m:sup>
          </m:sSubSup>
          <m:r>
            <m:rPr>
              <m:sty m:val="p"/>
            </m:rPr>
            <m:t>=</m:t>
          </m:r>
          <m:rad>
            <m:radPr>
              <m:degHide m:val="on"/>
            </m:radPr>
            <m:deg/>
            <m:e>
              <m:sSub>
                <m:e>
                  <m:r>
                    <m:t>D</m:t>
                  </m:r>
                </m:e>
                <m:sub>
                  <m:r>
                    <m:t>k</m:t>
                  </m:r>
                  <m:r>
                    <m:rPr>
                      <m:sty m:val="p"/>
                    </m:rPr>
                    <m:t>,</m:t>
                  </m:r>
                  <m:r>
                    <m:t>l</m:t>
                  </m:r>
                </m:sub>
              </m:sSub>
              <m:sSub>
                <m:e>
                  <m:r>
                    <m:t>D</m:t>
                  </m:r>
                </m:e>
                <m:sub>
                  <m:r>
                    <m:t>k</m:t>
                  </m:r>
                  <m:r>
                    <m:rPr>
                      <m:sty m:val="p"/>
                    </m:rPr>
                    <m:t>,</m:t>
                  </m:r>
                  <m:r>
                    <m:t>u</m:t>
                  </m:r>
                </m:sub>
              </m:sSub>
            </m:e>
          </m:rad>
          <m:r>
            <m:rPr>
              <m:sty m:val="p"/>
            </m:rPr>
            <m:t>,</m:t>
          </m:r>
          <m:r>
            <m:t>  </m:t>
          </m:r>
          <m:sSubSup>
            <m:e>
              <m:r>
                <m:t>v</m:t>
              </m:r>
            </m:e>
            <m:sub>
              <m:r>
                <m:t>k</m:t>
              </m:r>
            </m:sub>
            <m:sup>
              <m:r>
                <m:rPr>
                  <m:sty m:val="p"/>
                </m:rPr>
                <m:t>*</m:t>
              </m:r>
            </m:sup>
          </m:sSubSup>
          <m:r>
            <m:rPr>
              <m:sty m:val="p"/>
            </m:rPr>
            <m:t>=</m:t>
          </m:r>
          <m:f>
            <m:fPr>
              <m:type m:val="bar"/>
            </m:fPr>
            <m:num>
              <m:r>
                <m:t>π</m:t>
              </m:r>
            </m:num>
            <m:den>
              <m:r>
                <m:t>6</m:t>
              </m:r>
            </m:den>
          </m:f>
          <m:r>
            <m:rPr>
              <m:sty m:val="p"/>
            </m:rPr>
            <m:t>(</m:t>
          </m:r>
          <m:sSubSup>
            <m:e>
              <m:r>
                <m:t>D</m:t>
              </m:r>
            </m:e>
            <m:sub>
              <m:r>
                <m:t>k</m:t>
              </m:r>
            </m:sub>
            <m:sup>
              <m:r>
                <m:rPr>
                  <m:sty m:val="p"/>
                </m:rPr>
                <m:t>*</m:t>
              </m:r>
            </m:sup>
          </m:sSubSup>
          <m:sSup>
            <m:e>
              <m:r>
                <m:rPr>
                  <m:sty m:val="p"/>
                </m:rPr>
                <m:t>)</m:t>
              </m:r>
            </m:e>
            <m:sup>
              <m:r>
                <m:t>3</m:t>
              </m:r>
            </m:sup>
          </m:sSup>
          <m:r>
            <m:rPr>
              <m:sty m:val="p"/>
            </m:rPr>
            <m:t>.</m:t>
          </m:r>
        </m:oMath>
      </m:oMathPara>
    </w:p>
    <w:p>
      <w:pPr>
        <w:pStyle w:val="FirstParagraph"/>
      </w:pPr>
      <w:r>
        <w:t xml:space="preserve">When</w:t>
      </w:r>
      <w:r>
        <w:t xml:space="preserve"> </w:t>
      </w:r>
      <m:oMath>
        <m:sSub>
          <m:e>
            <m:r>
              <m:t>D</m:t>
            </m:r>
          </m:e>
          <m:sub>
            <m:r>
              <m:t>k</m:t>
            </m:r>
          </m:sub>
        </m:sSub>
      </m:oMath>
      <w:r>
        <w:t xml:space="preserve"> </w:t>
      </w:r>
      <w:r>
        <w:t xml:space="preserve">remains within its current section, no size redistribution is performed. If the moving center exits, the two pivot volumes</w:t>
      </w:r>
      <w:r>
        <w:t xml:space="preserve"> </w:t>
      </w:r>
      <m:oMath>
        <m:sSubSup>
          <m:e>
            <m:r>
              <m:t>v</m:t>
            </m:r>
          </m:e>
          <m:sub>
            <m:r>
              <m:t>l</m:t>
            </m:r>
          </m:sub>
          <m:sup>
            <m:r>
              <m:rPr>
                <m:sty m:val="p"/>
              </m:rPr>
              <m:t>*</m:t>
            </m:r>
          </m:sup>
        </m:sSubSup>
      </m:oMath>
      <w:r>
        <w:t xml:space="preserve"> </w:t>
      </w:r>
      <w:r>
        <w:t xml:space="preserve">and</w:t>
      </w:r>
      <w:r>
        <w:t xml:space="preserve"> </w:t>
      </w:r>
      <m:oMath>
        <m:sSubSup>
          <m:e>
            <m:r>
              <m:t>v</m:t>
            </m:r>
          </m:e>
          <m:sub>
            <m:r>
              <m:t>h</m:t>
            </m:r>
          </m:sub>
          <m:sup>
            <m:r>
              <m:rPr>
                <m:sty m:val="p"/>
              </m:rPr>
              <m:t>*</m:t>
            </m:r>
          </m:sup>
        </m:sSubSup>
      </m:oMath>
      <w:r>
        <w:t xml:space="preserve"> </w:t>
      </w:r>
      <w:r>
        <w:t xml:space="preserve">bracketing</w:t>
      </w:r>
      <w:r>
        <w:t xml:space="preserve"> </w:t>
      </w:r>
      <m:oMath>
        <m:sSub>
          <m:e>
            <m:r>
              <m:t>v</m:t>
            </m:r>
          </m:e>
          <m:sub>
            <m:r>
              <m:t>k</m:t>
            </m:r>
          </m:sub>
        </m:sSub>
      </m:oMath>
      <w:r>
        <w:t xml:space="preserve"> </w:t>
      </w:r>
      <w:r>
        <w:t xml:space="preserve">are selected. Number is split with</w:t>
      </w:r>
    </w:p>
    <w:p>
      <w:pPr>
        <w:pStyle w:val="BodyText"/>
      </w:pPr>
      <m:oMathPara>
        <m:oMathParaPr>
          <m:jc m:val="center"/>
        </m:oMathParaPr>
        <m:oMath>
          <m:sSub>
            <m:e>
              <m:r>
                <m:t>w</m:t>
              </m:r>
            </m:e>
            <m:sub>
              <m:r>
                <m:t>N</m:t>
              </m:r>
              <m:r>
                <m:rPr>
                  <m:sty m:val="p"/>
                </m:rPr>
                <m:t>,</m:t>
              </m:r>
              <m:r>
                <m:t>h</m:t>
              </m:r>
            </m:sub>
          </m:sSub>
          <m:r>
            <m:rPr>
              <m:sty m:val="p"/>
            </m:rPr>
            <m:t>=</m:t>
          </m:r>
          <m:f>
            <m:fPr>
              <m:type m:val="bar"/>
            </m:fPr>
            <m:num>
              <m:sSub>
                <m:e>
                  <m:r>
                    <m:t>v</m:t>
                  </m:r>
                </m:e>
                <m:sub>
                  <m:r>
                    <m:t>k</m:t>
                  </m:r>
                </m:sub>
              </m:sSub>
              <m:r>
                <m:rPr>
                  <m:sty m:val="p"/>
                </m:rPr>
                <m:t>−</m:t>
              </m:r>
              <m:sSubSup>
                <m:e>
                  <m:r>
                    <m:t>v</m:t>
                  </m:r>
                </m:e>
                <m:sub>
                  <m:r>
                    <m:t>l</m:t>
                  </m:r>
                </m:sub>
                <m:sup>
                  <m:r>
                    <m:rPr>
                      <m:sty m:val="p"/>
                    </m:rPr>
                    <m:t>*</m:t>
                  </m:r>
                </m:sup>
              </m:sSubSup>
            </m:num>
            <m:den>
              <m:sSubSup>
                <m:e>
                  <m:r>
                    <m:t>v</m:t>
                  </m:r>
                </m:e>
                <m:sub>
                  <m:r>
                    <m:t>h</m:t>
                  </m:r>
                </m:sub>
                <m:sup>
                  <m:r>
                    <m:rPr>
                      <m:sty m:val="p"/>
                    </m:rPr>
                    <m:t>*</m:t>
                  </m:r>
                </m:sup>
              </m:sSubSup>
              <m:r>
                <m:rPr>
                  <m:sty m:val="p"/>
                </m:rPr>
                <m:t>−</m:t>
              </m:r>
              <m:sSubSup>
                <m:e>
                  <m:r>
                    <m:t>v</m:t>
                  </m:r>
                </m:e>
                <m:sub>
                  <m:r>
                    <m:t>l</m:t>
                  </m:r>
                </m:sub>
                <m:sup>
                  <m:r>
                    <m:rPr>
                      <m:sty m:val="p"/>
                    </m:rPr>
                    <m:t>*</m:t>
                  </m:r>
                </m:sup>
              </m:sSubSup>
            </m:den>
          </m:f>
          <m:r>
            <m:rPr>
              <m:sty m:val="p"/>
            </m:rPr>
            <m:t>,</m:t>
          </m:r>
          <m:r>
            <m:t>  </m:t>
          </m:r>
          <m:sSub>
            <m:e>
              <m:r>
                <m:t>w</m:t>
              </m:r>
            </m:e>
            <m:sub>
              <m:r>
                <m:t>N</m:t>
              </m:r>
              <m:r>
                <m:rPr>
                  <m:sty m:val="p"/>
                </m:rPr>
                <m:t>,</m:t>
              </m:r>
              <m:r>
                <m:t>l</m:t>
              </m:r>
            </m:sub>
          </m:sSub>
          <m:r>
            <m:rPr>
              <m:sty m:val="p"/>
            </m:rPr>
            <m:t>=</m:t>
          </m:r>
          <m:r>
            <m:t>1</m:t>
          </m:r>
          <m:r>
            <m:rPr>
              <m:sty m:val="p"/>
            </m:rPr>
            <m:t>−</m:t>
          </m:r>
          <m:sSub>
            <m:e>
              <m:r>
                <m:t>w</m:t>
              </m:r>
            </m:e>
            <m:sub>
              <m:r>
                <m:t>N</m:t>
              </m:r>
              <m:r>
                <m:rPr>
                  <m:sty m:val="p"/>
                </m:rPr>
                <m:t>,</m:t>
              </m:r>
              <m:r>
                <m:t>h</m:t>
              </m:r>
            </m:sub>
          </m:sSub>
          <m:r>
            <m:rPr>
              <m:sty m:val="p"/>
            </m:rPr>
            <m:t>.</m:t>
          </m:r>
        </m:oMath>
      </m:oMathPara>
    </w:p>
    <w:p>
      <w:pPr>
        <w:pStyle w:val="FirstParagraph"/>
      </w:pPr>
      <w:r>
        <w:t xml:space="preserve">Species mass must use different weights because each target population must possess the target pivot volume per particle. The unnormalized mass weights are</w:t>
      </w:r>
    </w:p>
    <w:p>
      <w:pPr>
        <w:pStyle w:val="BodyText"/>
      </w:pPr>
      <m:oMathPara>
        <m:oMathParaPr>
          <m:jc m:val="center"/>
        </m:oMathParaPr>
        <m:oMath>
          <m:sSub>
            <m:e>
              <m:acc>
                <m:accPr>
                  <m:chr m:val="̃"/>
                </m:accPr>
                <m:e>
                  <m:r>
                    <m:t>w</m:t>
                  </m:r>
                </m:e>
              </m:acc>
            </m:e>
            <m:sub>
              <m:r>
                <m:t>M</m:t>
              </m:r>
              <m:r>
                <m:rPr>
                  <m:sty m:val="p"/>
                </m:rPr>
                <m:t>,</m:t>
              </m:r>
              <m:r>
                <m:t>l</m:t>
              </m:r>
            </m:sub>
          </m:sSub>
          <m:r>
            <m:rPr>
              <m:sty m:val="p"/>
            </m:rPr>
            <m:t>=</m:t>
          </m:r>
          <m:sSub>
            <m:e>
              <m:r>
                <m:t>w</m:t>
              </m:r>
            </m:e>
            <m:sub>
              <m:r>
                <m:t>N</m:t>
              </m:r>
              <m:r>
                <m:rPr>
                  <m:sty m:val="p"/>
                </m:rPr>
                <m:t>,</m:t>
              </m:r>
              <m:r>
                <m:t>l</m:t>
              </m:r>
            </m:sub>
          </m:sSub>
          <m:f>
            <m:fPr>
              <m:type m:val="bar"/>
            </m:fPr>
            <m:num>
              <m:sSubSup>
                <m:e>
                  <m:r>
                    <m:t>v</m:t>
                  </m:r>
                </m:e>
                <m:sub>
                  <m:r>
                    <m:t>l</m:t>
                  </m:r>
                </m:sub>
                <m:sup>
                  <m:r>
                    <m:rPr>
                      <m:sty m:val="p"/>
                    </m:rPr>
                    <m:t>*</m:t>
                  </m:r>
                </m:sup>
              </m:sSubSup>
            </m:num>
            <m:den>
              <m:sSub>
                <m:e>
                  <m:r>
                    <m:t>v</m:t>
                  </m:r>
                </m:e>
                <m:sub>
                  <m:r>
                    <m:t>k</m:t>
                  </m:r>
                </m:sub>
              </m:sSub>
            </m:den>
          </m:f>
          <m:r>
            <m:rPr>
              <m:sty m:val="p"/>
            </m:rPr>
            <m:t>,</m:t>
          </m:r>
          <m:r>
            <m:t>  </m:t>
          </m:r>
          <m:sSub>
            <m:e>
              <m:acc>
                <m:accPr>
                  <m:chr m:val="̃"/>
                </m:accPr>
                <m:e>
                  <m:r>
                    <m:t>w</m:t>
                  </m:r>
                </m:e>
              </m:acc>
            </m:e>
            <m:sub>
              <m:r>
                <m:t>M</m:t>
              </m:r>
              <m:r>
                <m:rPr>
                  <m:sty m:val="p"/>
                </m:rPr>
                <m:t>,</m:t>
              </m:r>
              <m:r>
                <m:t>h</m:t>
              </m:r>
            </m:sub>
          </m:sSub>
          <m:r>
            <m:rPr>
              <m:sty m:val="p"/>
            </m:rPr>
            <m:t>=</m:t>
          </m:r>
          <m:sSub>
            <m:e>
              <m:r>
                <m:t>w</m:t>
              </m:r>
            </m:e>
            <m:sub>
              <m:r>
                <m:t>N</m:t>
              </m:r>
              <m:r>
                <m:rPr>
                  <m:sty m:val="p"/>
                </m:rPr>
                <m:t>,</m:t>
              </m:r>
              <m:r>
                <m:t>h</m:t>
              </m:r>
            </m:sub>
          </m:sSub>
          <m:f>
            <m:fPr>
              <m:type m:val="bar"/>
            </m:fPr>
            <m:num>
              <m:sSubSup>
                <m:e>
                  <m:r>
                    <m:t>v</m:t>
                  </m:r>
                </m:e>
                <m:sub>
                  <m:r>
                    <m:t>h</m:t>
                  </m:r>
                </m:sub>
                <m:sup>
                  <m:r>
                    <m:rPr>
                      <m:sty m:val="p"/>
                    </m:rPr>
                    <m:t>*</m:t>
                  </m:r>
                </m:sup>
              </m:sSubSup>
            </m:num>
            <m:den>
              <m:sSub>
                <m:e>
                  <m:r>
                    <m:t>v</m:t>
                  </m:r>
                </m:e>
                <m:sub>
                  <m:r>
                    <m:t>k</m:t>
                  </m:r>
                </m:sub>
              </m:sSub>
            </m:den>
          </m:f>
          <m:r>
            <m:rPr>
              <m:sty m:val="p"/>
            </m:rPr>
            <m:t>,</m:t>
          </m:r>
        </m:oMath>
      </m:oMathPara>
    </w:p>
    <w:p>
      <w:pPr>
        <w:pStyle w:val="FirstParagraph"/>
      </w:pPr>
      <w:r>
        <w:t xml:space="preserve">followed by normalization</w:t>
      </w:r>
      <w:r>
        <w:t xml:space="preserve"> </w:t>
      </w:r>
      <m:oMath>
        <m:sSub>
          <m:e>
            <m:r>
              <m:t>w</m:t>
            </m:r>
          </m:e>
          <m:sub>
            <m:r>
              <m:t>M</m:t>
            </m:r>
            <m:r>
              <m:rPr>
                <m:sty m:val="p"/>
              </m:rPr>
              <m:t>,</m:t>
            </m:r>
            <m:r>
              <m:t>q</m:t>
            </m:r>
          </m:sub>
        </m:sSub>
        <m:r>
          <m:rPr>
            <m:sty m:val="p"/>
          </m:rPr>
          <m:t>=</m:t>
        </m:r>
        <m:sSub>
          <m:e>
            <m:acc>
              <m:accPr>
                <m:chr m:val="̃"/>
              </m:accPr>
              <m:e>
                <m:r>
                  <m:t>w</m:t>
                </m:r>
              </m:e>
            </m:acc>
          </m:e>
          <m:sub>
            <m:r>
              <m:t>M</m:t>
            </m:r>
            <m:r>
              <m:rPr>
                <m:sty m:val="p"/>
              </m:rPr>
              <m:t>,</m:t>
            </m:r>
            <m:r>
              <m:t>q</m:t>
            </m:r>
          </m:sub>
        </m:sSub>
        <m:r>
          <m:rPr>
            <m:sty m:val="p"/>
          </m:rPr>
          <m:t>/</m:t>
        </m:r>
        <m:r>
          <m:rPr>
            <m:sty m:val="p"/>
          </m:rPr>
          <m:t>(</m:t>
        </m:r>
        <m:sSub>
          <m:e>
            <m:acc>
              <m:accPr>
                <m:chr m:val="̃"/>
              </m:accPr>
              <m:e>
                <m:r>
                  <m:t>w</m:t>
                </m:r>
              </m:e>
            </m:acc>
          </m:e>
          <m:sub>
            <m:r>
              <m:t>M</m:t>
            </m:r>
            <m:r>
              <m:rPr>
                <m:sty m:val="p"/>
              </m:rPr>
              <m:t>,</m:t>
            </m:r>
            <m:r>
              <m:t>l</m:t>
            </m:r>
          </m:sub>
        </m:sSub>
        <m:r>
          <m:rPr>
            <m:sty m:val="p"/>
          </m:rPr>
          <m:t>+</m:t>
        </m:r>
        <m:sSub>
          <m:e>
            <m:acc>
              <m:accPr>
                <m:chr m:val="̃"/>
              </m:accPr>
              <m:e>
                <m:r>
                  <m:t>w</m:t>
                </m:r>
              </m:e>
            </m:acc>
          </m:e>
          <m:sub>
            <m:r>
              <m:t>M</m:t>
            </m:r>
            <m:r>
              <m:rPr>
                <m:sty m:val="p"/>
              </m:rPr>
              <m:t>,</m:t>
            </m:r>
            <m:r>
              <m:t>h</m:t>
            </m:r>
          </m:sub>
        </m:sSub>
        <m:r>
          <m:rPr>
            <m:sty m:val="p"/>
          </m:rPr>
          <m:t>)</m:t>
        </m:r>
      </m:oMath>
      <w:r>
        <w:t xml:space="preserve">. The transfer is</w:t>
      </w:r>
    </w:p>
    <w:p>
      <w:pPr>
        <w:pStyle w:val="BodyText"/>
      </w:pPr>
      <m:oMathPara>
        <m:oMathParaPr>
          <m:jc m:val="center"/>
        </m:oMathParaPr>
        <m:oMath>
          <m:sSub>
            <m:e>
              <m:r>
                <m:t>N</m:t>
              </m:r>
            </m:e>
            <m:sub>
              <m:r>
                <m:t>l</m:t>
              </m:r>
            </m:sub>
          </m:sSub>
          <m:r>
            <m:rPr>
              <m:sty m:val="p"/>
            </m:rPr>
            <m:t>+</m:t>
          </m:r>
          <m:r>
            <m:rPr>
              <m:sty m:val="p"/>
            </m:rPr>
            <m:t>=</m:t>
          </m:r>
          <m:sSub>
            <m:e>
              <m:r>
                <m:t>w</m:t>
              </m:r>
            </m:e>
            <m:sub>
              <m:r>
                <m:t>N</m:t>
              </m:r>
              <m:r>
                <m:rPr>
                  <m:sty m:val="p"/>
                </m:rPr>
                <m:t>,</m:t>
              </m:r>
              <m:r>
                <m:t>l</m:t>
              </m:r>
            </m:sub>
          </m:sSub>
          <m:sSub>
            <m:e>
              <m:r>
                <m:t>N</m:t>
              </m:r>
            </m:e>
            <m:sub>
              <m:r>
                <m:t>k</m:t>
              </m:r>
            </m:sub>
          </m:sSub>
          <m:r>
            <m:rPr>
              <m:sty m:val="p"/>
            </m:rPr>
            <m:t>,</m:t>
          </m:r>
          <m:r>
            <m:t> </m:t>
          </m:r>
          <m:sSub>
            <m:e>
              <m:r>
                <m:t>N</m:t>
              </m:r>
            </m:e>
            <m:sub>
              <m:r>
                <m:t>h</m:t>
              </m:r>
            </m:sub>
          </m:sSub>
          <m:r>
            <m:rPr>
              <m:sty m:val="p"/>
            </m:rPr>
            <m:t>+</m:t>
          </m:r>
          <m:r>
            <m:rPr>
              <m:sty m:val="p"/>
            </m:rPr>
            <m:t>=</m:t>
          </m:r>
          <m:sSub>
            <m:e>
              <m:r>
                <m:t>w</m:t>
              </m:r>
            </m:e>
            <m:sub>
              <m:r>
                <m:t>N</m:t>
              </m:r>
              <m:r>
                <m:rPr>
                  <m:sty m:val="p"/>
                </m:rPr>
                <m:t>,</m:t>
              </m:r>
              <m:r>
                <m:t>h</m:t>
              </m:r>
            </m:sub>
          </m:sSub>
          <m:sSub>
            <m:e>
              <m:r>
                <m:t>N</m:t>
              </m:r>
            </m:e>
            <m:sub>
              <m:r>
                <m:t>k</m:t>
              </m:r>
            </m:sub>
          </m:sSub>
          <m:r>
            <m:rPr>
              <m:sty m:val="p"/>
            </m:rPr>
            <m:t>,</m:t>
          </m:r>
        </m:oMath>
      </m:oMathPara>
    </w:p>
    <w:p>
      <w:pPr>
        <w:pStyle w:val="FirstParagraph"/>
      </w:pPr>
      <m:oMathPara>
        <m:oMathParaPr>
          <m:jc m:val="center"/>
        </m:oMathParaPr>
        <m:oMath>
          <m:sSub>
            <m:e>
              <m:r>
                <m:t>M</m:t>
              </m:r>
            </m:e>
            <m:sub>
              <m:r>
                <m:t>l</m:t>
              </m:r>
              <m:r>
                <m:rPr>
                  <m:sty m:val="p"/>
                </m:rPr>
                <m:t>,</m:t>
              </m:r>
              <m:r>
                <m:t>s</m:t>
              </m:r>
            </m:sub>
          </m:sSub>
          <m:r>
            <m:rPr>
              <m:sty m:val="p"/>
            </m:rPr>
            <m:t>+</m:t>
          </m:r>
          <m:r>
            <m:rPr>
              <m:sty m:val="p"/>
            </m:rPr>
            <m:t>=</m:t>
          </m:r>
          <m:sSub>
            <m:e>
              <m:r>
                <m:t>w</m:t>
              </m:r>
            </m:e>
            <m:sub>
              <m:r>
                <m:t>M</m:t>
              </m:r>
              <m:r>
                <m:rPr>
                  <m:sty m:val="p"/>
                </m:rPr>
                <m:t>,</m:t>
              </m:r>
              <m:r>
                <m:t>l</m:t>
              </m:r>
            </m:sub>
          </m:sSub>
          <m:sSub>
            <m:e>
              <m:r>
                <m:t>M</m:t>
              </m:r>
            </m:e>
            <m:sub>
              <m:r>
                <m:t>k</m:t>
              </m:r>
              <m:r>
                <m:rPr>
                  <m:sty m:val="p"/>
                </m:rPr>
                <m:t>,</m:t>
              </m:r>
              <m:r>
                <m:t>s</m:t>
              </m:r>
            </m:sub>
          </m:sSub>
          <m:r>
            <m:rPr>
              <m:sty m:val="p"/>
            </m:rPr>
            <m:t>,</m:t>
          </m:r>
          <m:r>
            <m:t> </m:t>
          </m:r>
          <m:sSub>
            <m:e>
              <m:r>
                <m:t>M</m:t>
              </m:r>
            </m:e>
            <m:sub>
              <m:r>
                <m:t>h</m:t>
              </m:r>
              <m:r>
                <m:rPr>
                  <m:sty m:val="p"/>
                </m:rPr>
                <m:t>,</m:t>
              </m:r>
              <m:r>
                <m:t>s</m:t>
              </m:r>
            </m:sub>
          </m:sSub>
          <m:r>
            <m:rPr>
              <m:sty m:val="p"/>
            </m:rPr>
            <m:t>+</m:t>
          </m:r>
          <m:r>
            <m:rPr>
              <m:sty m:val="p"/>
            </m:rPr>
            <m:t>=</m:t>
          </m:r>
          <m:sSub>
            <m:e>
              <m:r>
                <m:t>w</m:t>
              </m:r>
            </m:e>
            <m:sub>
              <m:r>
                <m:t>M</m:t>
              </m:r>
              <m:r>
                <m:rPr>
                  <m:sty m:val="p"/>
                </m:rPr>
                <m:t>,</m:t>
              </m:r>
              <m:r>
                <m:t>h</m:t>
              </m:r>
            </m:sub>
          </m:sSub>
          <m:sSub>
            <m:e>
              <m:r>
                <m:t>M</m:t>
              </m:r>
            </m:e>
            <m:sub>
              <m:r>
                <m:t>k</m:t>
              </m:r>
              <m:r>
                <m:rPr>
                  <m:sty m:val="p"/>
                </m:rPr>
                <m:t>,</m:t>
              </m:r>
              <m:r>
                <m:t>s</m:t>
              </m:r>
            </m:sub>
          </m:sSub>
          <m:r>
            <m:rPr>
              <m:sty m:val="p"/>
            </m:rPr>
            <m:t>.</m:t>
          </m:r>
        </m:oMath>
      </m:oMathPara>
    </w:p>
    <w:p>
      <w:pPr>
        <w:pStyle w:val="FirstParagraph"/>
      </w:pPr>
      <w:r>
        <w:t xml:space="preserve">This construction preserves total number and every species mass while recovering legal moving centers in the target sections. It is related to fixed- and moving-pivot moment-preserving methods (Kumar &amp; Ramkrishna, 1996a, 1996b), but the implementation here is a CESM–SCRAM-specific moving-center/dual-moment operator rather than a direct reproduction of either published algorithm.</w:t>
      </w:r>
    </w:p>
    <w:p>
      <w:pPr>
        <w:pStyle w:val="BodyText"/>
      </w:pPr>
      <w:r>
        <w:t xml:space="preserve">Size redistribution and composition redistribution are deliberately separated. After chemistry or microphysics changes the species vector,</w:t>
      </w:r>
      <w:r>
        <w:t xml:space="preserve"> </w:t>
      </w:r>
      <w:r>
        <w:rPr>
          <w:rStyle w:val="VerbatimChar"/>
        </w:rPr>
        <w:t xml:space="preserve">redistribution_fraction()</w:t>
      </w:r>
      <w:r>
        <w:t xml:space="preserve"> </w:t>
      </w:r>
      <w:r>
        <w:t xml:space="preserve">recomputes dry group masses and group fractions in each occupied cell. The</w:t>
      </w:r>
      <w:r>
        <w:t xml:space="preserve"> </w:t>
      </w:r>
      <w:r>
        <w:rPr>
          <w:b/>
          <w:bCs/>
        </w:rPr>
        <w:t xml:space="preserve">entire</w:t>
      </w:r>
      <w:r>
        <w:t xml:space="preserve"> </w:t>
      </w:r>
      <w:r>
        <w:t xml:space="preserve">number and species-mass state is then moved to the composition class whose configured fraction intervals contain the new group fractions. Thus composition-space movement does not interpolate chemical mass between artificial class centroids; the class boundary is used only as a reduced-state label for the fully prognostic species vector.</w:t>
      </w:r>
    </w:p>
    <w:p>
      <w:pPr>
        <w:pStyle w:val="CaptionedFigure"/>
      </w:pPr>
      <w:r>
        <w:drawing>
          <wp:inline>
            <wp:extent cx="5334000" cy="2668230"/>
            <wp:effectExtent b="0" l="0" r="0" t="0"/>
            <wp:docPr descr="Figure S4. Moving-center/dual-pivot redistribution." title="" id="26" name="Picture"/>
            <a:graphic>
              <a:graphicData uri="http://schemas.openxmlformats.org/drawingml/2006/picture">
                <pic:pic>
                  <pic:nvPicPr>
                    <pic:cNvPr descr="../figures/figS04_moving_center_dualpivot.png" id="27" name="Picture"/>
                    <pic:cNvPicPr>
                      <a:picLocks noChangeArrowheads="1" noChangeAspect="1"/>
                    </pic:cNvPicPr>
                  </pic:nvPicPr>
                  <pic:blipFill>
                    <a:blip r:embed="rId25"/>
                    <a:stretch>
                      <a:fillRect/>
                    </a:stretch>
                  </pic:blipFill>
                  <pic:spPr bwMode="auto">
                    <a:xfrm>
                      <a:off x="0" y="0"/>
                      <a:ext cx="5334000" cy="2668230"/>
                    </a:xfrm>
                    <a:prstGeom prst="rect">
                      <a:avLst/>
                    </a:prstGeom>
                    <a:noFill/>
                    <a:ln w="9525">
                      <a:noFill/>
                      <a:headEnd/>
                      <a:tailEnd/>
                    </a:ln>
                  </pic:spPr>
                </pic:pic>
              </a:graphicData>
            </a:graphic>
          </wp:inline>
        </w:drawing>
      </w:r>
    </w:p>
    <w:p>
      <w:pPr>
        <w:pStyle w:val="ImageCaption"/>
      </w:pPr>
      <w:r>
        <w:t xml:space="preserve">Figure S4. Moving-center/dual-pivot redistribution.</w:t>
      </w:r>
    </w:p>
    <w:p>
      <w:pPr>
        <w:pStyle w:val="BodyText"/>
      </w:pPr>
      <w:r>
        <w:rPr>
          <w:b/>
          <w:bCs/>
        </w:rPr>
        <w:t xml:space="preserve">Figure S4.</w:t>
      </w:r>
      <w:r>
        <w:t xml:space="preserve"> </w:t>
      </w:r>
      <w:r>
        <w:t xml:space="preserve">Moving-center/dual-pivot size redistribution. The population retains its prognostic moving center until it leaves its current size section; only then are number and mass split between bracketing legal pivots with different conservative moment weights.</w:t>
      </w:r>
    </w:p>
    <w:bookmarkEnd w:id="28"/>
    <w:bookmarkStart w:id="29" w:name="Xfb4daa9fce93b567e2575af4c97c7a0524b3e5a"/>
    <w:p>
      <w:pPr>
        <w:pStyle w:val="Heading1"/>
      </w:pPr>
      <w:r>
        <w:t xml:space="preserve">Text S6. Gas–particle thermodynamics and five-bin VBS organic aerosol</w:t>
      </w:r>
    </w:p>
    <w:p>
      <w:pPr>
        <w:pStyle w:val="FirstParagraph"/>
      </w:pPr>
      <w:r>
        <w:t xml:space="preserve">Inorganic equilibrium uses ISORROPIA (Fountoukis &amp; Nenes, 2007). The current CESM–SCRAM chemistry includes sulfate, ammonium, nitrate, sodium/chloride, and aerosol water in the coupled inorganic calculation. The present implementation additionally uses a five-bin volatility basis set for semivolatile organic aerosol. Gas bins</w:t>
      </w:r>
      <w:r>
        <w:t xml:space="preserve"> </w:t>
      </w:r>
      <w:r>
        <w:rPr>
          <w:rStyle w:val="VerbatimChar"/>
        </w:rPr>
        <w:t xml:space="preserve">SOAG0</w:t>
      </w:r>
      <w:r>
        <w:t xml:space="preserve">–</w:t>
      </w:r>
      <w:r>
        <w:rPr>
          <w:rStyle w:val="VerbatimChar"/>
        </w:rPr>
        <w:t xml:space="preserve">SOAG4</w:t>
      </w:r>
      <w:r>
        <w:t xml:space="preserve"> </w:t>
      </w:r>
      <w:r>
        <w:t xml:space="preserve">exchange with particle species</w:t>
      </w:r>
      <w:r>
        <w:t xml:space="preserve"> </w:t>
      </w:r>
      <w:r>
        <w:rPr>
          <w:rStyle w:val="VerbatimChar"/>
        </w:rPr>
        <w:t xml:space="preserve">PSOA1P</w:t>
      </w:r>
      <w:r>
        <w:t xml:space="preserve">–</w:t>
      </w:r>
      <w:r>
        <w:rPr>
          <w:rStyle w:val="VerbatimChar"/>
        </w:rPr>
        <w:t xml:space="preserve">PSOA5P</w:t>
      </w:r>
      <w:r>
        <w:t xml:space="preserve"> </w:t>
      </w:r>
      <w:r>
        <w:t xml:space="preserve">with</w:t>
      </w:r>
      <w:r>
        <w:t xml:space="preserve"> </w:t>
      </w:r>
      <m:oMath>
        <m:sSubSup>
          <m:e>
            <m:r>
              <m:t>C</m:t>
            </m:r>
          </m:e>
          <m:sub>
            <m:r>
              <m:t>298</m:t>
            </m:r>
          </m:sub>
          <m:sup>
            <m:r>
              <m:rPr>
                <m:sty m:val="p"/>
              </m:rPr>
              <m:t>*</m:t>
            </m:r>
          </m:sup>
        </m:sSubSup>
      </m:oMath>
      <w:r>
        <w:t xml:space="preserve"> </w:t>
      </w:r>
      <w:r>
        <w:t xml:space="preserve">of 0.01, 0.1, 1, 10, and 100</w:t>
      </w:r>
      <w:r>
        <w:t xml:space="preserve"> </w:t>
      </w:r>
      <m:oMath>
        <m:r>
          <m:t>μ</m:t>
        </m:r>
        <m:r>
          <m:rPr>
            <m:sty m:val="p"/>
          </m:rPr>
          <m:t>g</m:t>
        </m:r>
        <m:r>
          <m:rPr>
            <m:sty m:val="p"/>
          </m:rPr>
          <m:t> </m:t>
        </m:r>
        <m:sSup>
          <m:e>
            <m:r>
              <m:rPr>
                <m:sty m:val="p"/>
              </m:rPr>
              <m:t>m</m:t>
            </m:r>
          </m:e>
          <m:sup>
            <m:r>
              <m:rPr>
                <m:sty m:val="p"/>
              </m:rPr>
              <m:t>−</m:t>
            </m:r>
            <m:r>
              <m:rPr>
                <m:sty m:val="p"/>
              </m:rPr>
              <m:t>3</m:t>
            </m:r>
          </m:sup>
        </m:sSup>
      </m:oMath>
      <w:r>
        <w:t xml:space="preserve">, respectively. The partitioning follows absorptive-partitioning theory (Pankow, 1994a, 1994b) in the VBS representation (Donahue et al., 2006).</w:t>
      </w:r>
    </w:p>
    <w:p>
      <w:pPr>
        <w:pStyle w:val="BodyText"/>
      </w:pPr>
      <w:r>
        <w:t xml:space="preserve">For volatility bin</w:t>
      </w:r>
      <w:r>
        <w:t xml:space="preserve"> </w:t>
      </w:r>
      <m:oMath>
        <m:r>
          <m:t>i</m:t>
        </m:r>
      </m:oMath>
      <w:r>
        <w:t xml:space="preserve">, the production configuration stores</w:t>
      </w:r>
      <w:r>
        <w:t xml:space="preserve"> </w:t>
      </w:r>
      <m:oMath>
        <m:sSub>
          <m:e>
            <m:r>
              <m:t>K</m:t>
            </m:r>
          </m:e>
          <m:sub>
            <m:r>
              <m:t>p</m:t>
            </m:r>
            <m:r>
              <m:rPr>
                <m:sty m:val="p"/>
              </m:rPr>
              <m:t>,</m:t>
            </m:r>
            <m:r>
              <m:t>i</m:t>
            </m:r>
          </m:sub>
        </m:sSub>
        <m:r>
          <m:rPr>
            <m:sty m:val="p"/>
          </m:rPr>
          <m:t>(</m:t>
        </m:r>
        <m:r>
          <m:t>298</m:t>
        </m:r>
        <m:r>
          <m:rPr>
            <m:sty m:val="p"/>
          </m:rPr>
          <m:t>)</m:t>
        </m:r>
        <m:r>
          <m:rPr>
            <m:sty m:val="p"/>
          </m:rPr>
          <m:t>=</m:t>
        </m:r>
        <m:r>
          <m:t>1</m:t>
        </m:r>
        <m:r>
          <m:rPr>
            <m:sty m:val="p"/>
          </m:rPr>
          <m:t>/</m:t>
        </m:r>
        <m:sSubSup>
          <m:e>
            <m:r>
              <m:t>C</m:t>
            </m:r>
          </m:e>
          <m:sub>
            <m:r>
              <m:t>i</m:t>
            </m:r>
          </m:sub>
          <m:sup>
            <m:r>
              <m:rPr>
                <m:sty m:val="p"/>
              </m:rPr>
              <m:t>*</m:t>
            </m:r>
          </m:sup>
        </m:sSubSup>
        <m:r>
          <m:rPr>
            <m:sty m:val="p"/>
          </m:rPr>
          <m:t>(</m:t>
        </m:r>
        <m:r>
          <m:t>298</m:t>
        </m:r>
        <m:r>
          <m:rPr>
            <m:sty m:val="p"/>
          </m:rPr>
          <m:t>)</m:t>
        </m:r>
      </m:oMath>
      <w:r>
        <w:t xml:space="preserve">. Its temperature dependence is</w:t>
      </w:r>
    </w:p>
    <w:p>
      <w:pPr>
        <w:pStyle w:val="BodyText"/>
      </w:pPr>
      <m:oMathPara>
        <m:oMathParaPr>
          <m:jc m:val="center"/>
        </m:oMathParaPr>
        <m:oMath>
          <m:sSub>
            <m:e>
              <m:r>
                <m:t>K</m:t>
              </m:r>
            </m:e>
            <m:sub>
              <m:r>
                <m:t>p</m:t>
              </m:r>
              <m:r>
                <m:rPr>
                  <m:sty m:val="p"/>
                </m:rPr>
                <m:t>,</m:t>
              </m:r>
              <m:r>
                <m:t>i</m:t>
              </m:r>
            </m:sub>
          </m:sSub>
          <m:r>
            <m:rPr>
              <m:sty m:val="p"/>
            </m:rPr>
            <m:t>(</m:t>
          </m:r>
          <m:r>
            <m:t>T</m:t>
          </m:r>
          <m:r>
            <m:rPr>
              <m:sty m:val="p"/>
            </m:rPr>
            <m:t>)</m:t>
          </m:r>
          <m:r>
            <m:rPr>
              <m:sty m:val="p"/>
            </m:rPr>
            <m:t>=</m:t>
          </m:r>
          <m:f>
            <m:fPr>
              <m:type m:val="bar"/>
            </m:fPr>
            <m:num>
              <m:r>
                <m:t>T</m:t>
              </m:r>
            </m:num>
            <m:den>
              <m:r>
                <m:t>298</m:t>
              </m:r>
            </m:den>
          </m:f>
          <m:sSub>
            <m:e>
              <m:r>
                <m:t>K</m:t>
              </m:r>
            </m:e>
            <m:sub>
              <m:r>
                <m:t>p</m:t>
              </m:r>
              <m:r>
                <m:rPr>
                  <m:sty m:val="p"/>
                </m:rPr>
                <m:t>,</m:t>
              </m:r>
              <m:r>
                <m:t>i</m:t>
              </m:r>
            </m:sub>
          </m:sSub>
          <m:r>
            <m:rPr>
              <m:sty m:val="p"/>
            </m:rPr>
            <m:t>(</m:t>
          </m:r>
          <m:r>
            <m:t>298</m:t>
          </m:r>
          <m:r>
            <m:rPr>
              <m:sty m:val="p"/>
            </m:rPr>
            <m:t>)</m:t>
          </m:r>
          <m:r>
            <m:rPr>
              <m:sty m:val="p"/>
            </m:rPr>
            <m:t>exp</m:t>
          </m:r>
          <m:d>
            <m:dPr>
              <m:begChr m:val="["/>
              <m:sepChr m:val=""/>
              <m:endChr m:val="]"/>
              <m:grow/>
            </m:dPr>
            <m:e>
              <m:f>
                <m:fPr>
                  <m:type m:val="bar"/>
                </m:fPr>
                <m:num>
                  <m:r>
                    <m:rPr>
                      <m:sty m:val="p"/>
                    </m:rPr>
                    <m:t>Δ</m:t>
                  </m:r>
                  <m:sSub>
                    <m:e>
                      <m:r>
                        <m:t>H</m:t>
                      </m:r>
                    </m:e>
                    <m:sub>
                      <m:r>
                        <m:t>v</m:t>
                      </m:r>
                      <m:r>
                        <m:rPr>
                          <m:sty m:val="p"/>
                        </m:rPr>
                        <m:t>,</m:t>
                      </m:r>
                      <m:r>
                        <m:t>i</m:t>
                      </m:r>
                    </m:sub>
                  </m:sSub>
                </m:num>
                <m:den>
                  <m:r>
                    <m:t>R</m:t>
                  </m:r>
                </m:den>
              </m:f>
              <m:d>
                <m:dPr>
                  <m:begChr m:val="("/>
                  <m:sepChr m:val=""/>
                  <m:endChr m:val=")"/>
                  <m:grow/>
                </m:dPr>
                <m:e>
                  <m:f>
                    <m:fPr>
                      <m:type m:val="bar"/>
                    </m:fPr>
                    <m:num>
                      <m:r>
                        <m:t>1</m:t>
                      </m:r>
                    </m:num>
                    <m:den>
                      <m:r>
                        <m:t>T</m:t>
                      </m:r>
                    </m:den>
                  </m:f>
                  <m:r>
                    <m:rPr>
                      <m:sty m:val="p"/>
                    </m:rPr>
                    <m:t>−</m:t>
                  </m:r>
                  <m:f>
                    <m:fPr>
                      <m:type m:val="bar"/>
                    </m:fPr>
                    <m:num>
                      <m:r>
                        <m:t>1</m:t>
                      </m:r>
                    </m:num>
                    <m:den>
                      <m:r>
                        <m:t>298</m:t>
                      </m:r>
                    </m:den>
                  </m:f>
                </m:e>
              </m:d>
            </m:e>
          </m:d>
          <m:r>
            <m:rPr>
              <m:sty m:val="p"/>
            </m:rPr>
            <m:t>.</m:t>
          </m:r>
        </m:oMath>
      </m:oMathPara>
    </w:p>
    <w:p>
      <w:pPr>
        <w:pStyle w:val="FirstParagraph"/>
      </w:pPr>
      <w:r>
        <w:t xml:space="preserve">For total organic concentration</w:t>
      </w:r>
      <w:r>
        <w:t xml:space="preserve"> </w:t>
      </w:r>
      <m:oMath>
        <m:sSub>
          <m:e>
            <m:r>
              <m:t>C</m:t>
            </m:r>
          </m:e>
          <m:sub>
            <m:r>
              <m:t>t</m:t>
            </m:r>
            <m:r>
              <m:t>o</m:t>
            </m:r>
            <m:r>
              <m:t>t</m:t>
            </m:r>
            <m:r>
              <m:rPr>
                <m:sty m:val="p"/>
              </m:rPr>
              <m:t>,</m:t>
            </m:r>
            <m:r>
              <m:t>i</m:t>
            </m:r>
          </m:sub>
        </m:sSub>
        <m:r>
          <m:rPr>
            <m:sty m:val="p"/>
          </m:rPr>
          <m:t>=</m:t>
        </m:r>
        <m:sSub>
          <m:e>
            <m:r>
              <m:t>C</m:t>
            </m:r>
          </m:e>
          <m:sub>
            <m:r>
              <m:t>g</m:t>
            </m:r>
            <m:r>
              <m:rPr>
                <m:sty m:val="p"/>
              </m:rPr>
              <m:t>,</m:t>
            </m:r>
            <m:r>
              <m:t>i</m:t>
            </m:r>
          </m:sub>
        </m:sSub>
        <m:r>
          <m:rPr>
            <m:sty m:val="p"/>
          </m:rPr>
          <m:t>+</m:t>
        </m:r>
        <m:sSub>
          <m:e>
            <m:r>
              <m:t>C</m:t>
            </m:r>
          </m:e>
          <m:sub>
            <m:r>
              <m:t>p</m:t>
            </m:r>
            <m:r>
              <m:rPr>
                <m:sty m:val="p"/>
              </m:rPr>
              <m:t>,</m:t>
            </m:r>
            <m:r>
              <m:t>i</m:t>
            </m:r>
          </m:sub>
        </m:sSub>
      </m:oMath>
      <w:r>
        <w:t xml:space="preserve">, the equilibrium condensed fraction is</w:t>
      </w:r>
    </w:p>
    <w:p>
      <w:pPr>
        <w:pStyle w:val="BodyText"/>
      </w:pPr>
      <m:oMathPara>
        <m:oMathParaPr>
          <m:jc m:val="center"/>
        </m:oMathParaPr>
        <m:oMath>
          <m:sSub>
            <m:e>
              <m:r>
                <m:t>ξ</m:t>
              </m:r>
            </m:e>
            <m:sub>
              <m:r>
                <m:t>i</m:t>
              </m:r>
            </m:sub>
          </m:sSub>
          <m:r>
            <m:rPr>
              <m:sty m:val="p"/>
            </m:rPr>
            <m:t>=</m:t>
          </m:r>
          <m:f>
            <m:fPr>
              <m:type m:val="bar"/>
            </m:fPr>
            <m:num>
              <m:sSub>
                <m:e>
                  <m:r>
                    <m:t>K</m:t>
                  </m:r>
                </m:e>
                <m:sub>
                  <m:r>
                    <m:t>p</m:t>
                  </m:r>
                  <m:r>
                    <m:rPr>
                      <m:sty m:val="p"/>
                    </m:rPr>
                    <m:t>,</m:t>
                  </m:r>
                  <m:r>
                    <m:t>i</m:t>
                  </m:r>
                </m:sub>
              </m:sSub>
              <m:r>
                <m:rPr>
                  <m:sty m:val="p"/>
                </m:rPr>
                <m:t>(</m:t>
              </m:r>
              <m:r>
                <m:t>T</m:t>
              </m:r>
              <m:r>
                <m:rPr>
                  <m:sty m:val="p"/>
                </m:rPr>
                <m:t>)</m:t>
              </m:r>
              <m:sSub>
                <m:e>
                  <m:r>
                    <m:t>C</m:t>
                  </m:r>
                </m:e>
                <m:sub>
                  <m:r>
                    <m:t>O</m:t>
                  </m:r>
                  <m:r>
                    <m:t>A</m:t>
                  </m:r>
                </m:sub>
              </m:sSub>
            </m:num>
            <m:den>
              <m:r>
                <m:t>1</m:t>
              </m:r>
              <m:r>
                <m:rPr>
                  <m:sty m:val="p"/>
                </m:rPr>
                <m:t>+</m:t>
              </m:r>
              <m:sSub>
                <m:e>
                  <m:r>
                    <m:t>K</m:t>
                  </m:r>
                </m:e>
                <m:sub>
                  <m:r>
                    <m:t>p</m:t>
                  </m:r>
                  <m:r>
                    <m:rPr>
                      <m:sty m:val="p"/>
                    </m:rPr>
                    <m:t>,</m:t>
                  </m:r>
                  <m:r>
                    <m:t>i</m:t>
                  </m:r>
                </m:sub>
              </m:sSub>
              <m:r>
                <m:rPr>
                  <m:sty m:val="p"/>
                </m:rPr>
                <m:t>(</m:t>
              </m:r>
              <m:r>
                <m:t>T</m:t>
              </m:r>
              <m:r>
                <m:rPr>
                  <m:sty m:val="p"/>
                </m:rPr>
                <m:t>)</m:t>
              </m:r>
              <m:sSub>
                <m:e>
                  <m:r>
                    <m:t>C</m:t>
                  </m:r>
                </m:e>
                <m:sub>
                  <m:r>
                    <m:t>O</m:t>
                  </m:r>
                  <m:r>
                    <m:t>A</m:t>
                  </m:r>
                </m:sub>
              </m:sSub>
            </m:den>
          </m:f>
          <m:r>
            <m:rPr>
              <m:sty m:val="p"/>
            </m:rPr>
            <m:t>,</m:t>
          </m:r>
        </m:oMath>
      </m:oMathPara>
    </w:p>
    <w:p>
      <w:pPr>
        <w:pStyle w:val="FirstParagraph"/>
      </w:pPr>
      <w:r>
        <w:t xml:space="preserve">where</w:t>
      </w:r>
    </w:p>
    <w:p>
      <w:pPr>
        <w:pStyle w:val="BodyText"/>
      </w:pPr>
      <m:oMathPara>
        <m:oMathParaPr>
          <m:jc m:val="center"/>
        </m:oMathParaPr>
        <m:oMath>
          <m:sSub>
            <m:e>
              <m:r>
                <m:t>C</m:t>
              </m:r>
            </m:e>
            <m:sub>
              <m:r>
                <m:t>O</m:t>
              </m:r>
              <m:r>
                <m:t>A</m:t>
              </m:r>
            </m:sub>
          </m:sSub>
          <m:r>
            <m:rPr>
              <m:sty m:val="p"/>
            </m:rPr>
            <m:t>=</m:t>
          </m:r>
          <m:nary>
            <m:naryPr>
              <m:chr m:val="∑"/>
              <m:limLoc m:val="undOvr"/>
              <m:subHide m:val="off"/>
              <m:supHide m:val="off"/>
            </m:naryPr>
            <m:sub>
              <m:r>
                <m:t>j</m:t>
              </m:r>
              <m:r>
                <m:rPr>
                  <m:sty m:val="p"/>
                </m:rPr>
                <m:t>=</m:t>
              </m:r>
              <m:r>
                <m:t>1</m:t>
              </m:r>
            </m:sub>
            <m:sup>
              <m:r>
                <m:t>5</m:t>
              </m:r>
            </m:sup>
            <m:e>
              <m:sSub>
                <m:e>
                  <m:r>
                    <m:t>C</m:t>
                  </m:r>
                </m:e>
                <m:sub>
                  <m:r>
                    <m:t>p</m:t>
                  </m:r>
                  <m:r>
                    <m:rPr>
                      <m:sty m:val="p"/>
                    </m:rPr>
                    <m:t>,</m:t>
                  </m:r>
                  <m:r>
                    <m:t>j</m:t>
                  </m:r>
                </m:sub>
              </m:sSub>
            </m:e>
          </m:nary>
          <m:r>
            <m:rPr>
              <m:sty m:val="p"/>
            </m:rPr>
            <m:t>.</m:t>
          </m:r>
        </m:oMath>
      </m:oMathPara>
    </w:p>
    <w:p>
      <w:pPr>
        <w:pStyle w:val="FirstParagraph"/>
      </w:pPr>
      <w:r>
        <w:t xml:space="preserve">The nonvolatile primary organic pool</w:t>
      </w:r>
      <w:r>
        <w:t xml:space="preserve"> </w:t>
      </w:r>
      <w:r>
        <w:rPr>
          <w:rStyle w:val="VerbatimChar"/>
        </w:rPr>
        <w:t xml:space="preserve">PPOAlP</w:t>
      </w:r>
      <w:r>
        <w:t xml:space="preserve"> </w:t>
      </w:r>
      <w:r>
        <w:t xml:space="preserve">is intentionally excluded from</w:t>
      </w:r>
      <w:r>
        <w:t xml:space="preserve"> </w:t>
      </w:r>
      <m:oMath>
        <m:sSub>
          <m:e>
            <m:r>
              <m:t>C</m:t>
            </m:r>
          </m:e>
          <m:sub>
            <m:r>
              <m:t>O</m:t>
            </m:r>
            <m:r>
              <m:t>A</m:t>
            </m:r>
          </m:sub>
        </m:sSub>
      </m:oMath>
      <w:r>
        <w:t xml:space="preserve">, so it does not create an artificial absorbing medium for the semivolatile VBS. The five coupled equations are solved by fixed-point iteration. The production process flags also include particle-phase SOA photolysis with</w:t>
      </w:r>
      <w:r>
        <w:t xml:space="preserve"> </w:t>
      </w:r>
      <m:oMath>
        <m:sSub>
          <m:e>
            <m:r>
              <m:t>k</m:t>
            </m:r>
          </m:e>
          <m:sub>
            <m:r>
              <m:t>S</m:t>
            </m:r>
            <m:r>
              <m:t>O</m:t>
            </m:r>
            <m:r>
              <m:t>A</m:t>
            </m:r>
          </m:sub>
        </m:sSub>
        <m:r>
          <m:rPr>
            <m:sty m:val="p"/>
          </m:rPr>
          <m:t>=</m:t>
        </m:r>
        <m:r>
          <m:t>0.0004</m:t>
        </m:r>
        <m:sSub>
          <m:e>
            <m:r>
              <m:t>J</m:t>
            </m:r>
          </m:e>
          <m:sub>
            <m:r>
              <m:t>N</m:t>
            </m:r>
            <m:sSub>
              <m:e>
                <m:r>
                  <m:t>O</m:t>
                </m:r>
              </m:e>
              <m:sub>
                <m:r>
                  <m:t>2</m:t>
                </m:r>
              </m:sub>
            </m:sSub>
          </m:sub>
        </m:sSub>
      </m:oMath>
      <w:r>
        <w:t xml:space="preserve">; photochemical loss is applied before repartitioning so that the remaining gas+particle pool is re-equilibrated.</w:t>
      </w:r>
    </w:p>
    <w:p>
      <w:pPr>
        <w:pStyle w:val="BodyText"/>
      </w:pPr>
      <w:r>
        <w:t xml:space="preserve">The formal demonstration configuration sets</w:t>
      </w:r>
      <w:r>
        <w:t xml:space="preserve"> </w:t>
      </w:r>
      <w:r>
        <w:rPr>
          <w:rStyle w:val="VerbatimChar"/>
        </w:rPr>
        <w:t xml:space="preserve">With_nucleation: 1 0</w:t>
      </w:r>
      <w:r>
        <w:t xml:space="preserve">, selecting the H</w:t>
      </w:r>
      <m:oMath>
        <m:sSub>
          <m:e>
            <m:r>
              <m:t>​</m:t>
            </m:r>
          </m:e>
          <m:sub>
            <m:r>
              <m:t>2</m:t>
            </m:r>
          </m:sub>
        </m:sSub>
      </m:oMath>
      <w:r>
        <w:t xml:space="preserve">SO</w:t>
      </w:r>
      <m:oMath>
        <m:sSub>
          <m:e>
            <m:r>
              <m:t>​</m:t>
            </m:r>
          </m:e>
          <m:sub>
            <m:r>
              <m:t>4</m:t>
            </m:r>
          </m:sub>
        </m:sSub>
      </m:oMath>
      <w:r>
        <w:t xml:space="preserve">–H</w:t>
      </w:r>
      <m:oMath>
        <m:sSub>
          <m:e>
            <m:r>
              <m:t>​</m:t>
            </m:r>
          </m:e>
          <m:sub>
            <m:r>
              <m:t>2</m:t>
            </m:r>
          </m:sub>
        </m:sSub>
      </m:oMath>
      <w:r>
        <w:t xml:space="preserve">O binary pathway. SCRAM first evaluates the Vehkamäki et al. (2002) sulfuric-acid threshold for the local temperature and relative humidity, then evaluates the parameterized binary nucleation rate and critical-cluster composition when gas-phase H</w:t>
      </w:r>
      <m:oMath>
        <m:sSub>
          <m:e>
            <m:r>
              <m:t>​</m:t>
            </m:r>
          </m:e>
          <m:sub>
            <m:r>
              <m:t>2</m:t>
            </m:r>
          </m:sub>
        </m:sSub>
      </m:oMath>
      <w:r>
        <w:t xml:space="preserve">SO</w:t>
      </w:r>
      <m:oMath>
        <m:sSub>
          <m:e>
            <m:r>
              <m:t>​</m:t>
            </m:r>
          </m:e>
          <m:sub>
            <m:r>
              <m:t>4</m:t>
            </m:r>
          </m:sub>
        </m:sSub>
      </m:oMath>
      <w:r>
        <w:t xml:space="preserve"> </w:t>
      </w:r>
      <w:r>
        <w:t xml:space="preserve">exceeds that threshold. The number tendency is placed in the smallest represented section and the associated sulfuric-acid mass is added consistently. A gas-availability limiter prevents a dynamic substep from nucleating more H</w:t>
      </w:r>
      <m:oMath>
        <m:sSub>
          <m:e>
            <m:r>
              <m:t>​</m:t>
            </m:r>
          </m:e>
          <m:sub>
            <m:r>
              <m:t>2</m:t>
            </m:r>
          </m:sub>
        </m:sSub>
      </m:oMath>
      <w:r>
        <w:t xml:space="preserve">SO</w:t>
      </w:r>
      <m:oMath>
        <m:sSub>
          <m:e>
            <m:r>
              <m:t>​</m:t>
            </m:r>
          </m:e>
          <m:sub>
            <m:r>
              <m:t>4</m:t>
            </m:r>
          </m:sub>
        </m:sSub>
      </m:oMath>
      <w:r>
        <w:t xml:space="preserve"> </w:t>
      </w:r>
      <w:r>
        <w:t xml:space="preserve">mass than is available.</w:t>
      </w:r>
    </w:p>
    <w:p>
      <w:pPr>
        <w:pStyle w:val="BodyText"/>
      </w:pPr>
      <w:r>
        <w:rPr>
          <w:b/>
          <w:bCs/>
        </w:rPr>
        <w:t xml:space="preserve">Table S3. Production five-bin VBS parameters.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 gas</w:t>
            </w:r>
          </w:p>
        </w:tc>
        <w:tc>
          <w:tcPr/>
          <w:p>
            <w:pPr>
              <w:pStyle w:val="Compact"/>
            </w:pPr>
            <w:r>
              <w:t xml:space="preserve">SCRAM particle</w:t>
            </w:r>
          </w:p>
        </w:tc>
        <w:tc>
          <w:tcPr/>
          <w:p>
            <w:pPr>
              <w:pStyle w:val="Compact"/>
            </w:pPr>
            <w:r>
              <w:t xml:space="preserve">C* at 298 K (µg m⁻³)</w:t>
            </w:r>
          </w:p>
        </w:tc>
        <w:tc>
          <w:tcPr/>
          <w:p>
            <w:pPr>
              <w:pStyle w:val="Compact"/>
            </w:pPr>
            <w:r>
              <w:t xml:space="preserve">Kp at 298 K (m³ µg⁻¹)</w:t>
            </w:r>
          </w:p>
        </w:tc>
        <w:tc>
          <w:tcPr/>
          <w:p>
            <w:pPr>
              <w:pStyle w:val="Compact"/>
            </w:pPr>
            <w:r>
              <w:t xml:space="preserve">ΔHvap (kJ mol⁻¹)</w:t>
            </w:r>
          </w:p>
        </w:tc>
      </w:tr>
      <w:tr>
        <w:tc>
          <w:tcPr/>
          <w:p>
            <w:pPr>
              <w:pStyle w:val="Compact"/>
            </w:pPr>
            <w:r>
              <w:t xml:space="preserve">SOAG0</w:t>
            </w:r>
          </w:p>
        </w:tc>
        <w:tc>
          <w:tcPr/>
          <w:p>
            <w:pPr>
              <w:pStyle w:val="Compact"/>
            </w:pPr>
            <w:r>
              <w:t xml:space="preserve">PSOA1P</w:t>
            </w:r>
          </w:p>
        </w:tc>
        <w:tc>
          <w:tcPr/>
          <w:p>
            <w:pPr>
              <w:pStyle w:val="Compact"/>
            </w:pPr>
            <w:r>
              <w:t xml:space="preserve">0.01</w:t>
            </w:r>
          </w:p>
        </w:tc>
        <w:tc>
          <w:tcPr/>
          <w:p>
            <w:pPr>
              <w:pStyle w:val="Compact"/>
            </w:pPr>
            <w:r>
              <w:t xml:space="preserve">100</w:t>
            </w:r>
          </w:p>
        </w:tc>
        <w:tc>
          <w:tcPr/>
          <w:p>
            <w:pPr>
              <w:pStyle w:val="Compact"/>
            </w:pPr>
            <w:r>
              <w:t xml:space="preserve">153</w:t>
            </w:r>
          </w:p>
        </w:tc>
      </w:tr>
      <w:tr>
        <w:tc>
          <w:tcPr/>
          <w:p>
            <w:pPr>
              <w:pStyle w:val="Compact"/>
            </w:pPr>
            <w:r>
              <w:t xml:space="preserve">SOAG1</w:t>
            </w:r>
          </w:p>
        </w:tc>
        <w:tc>
          <w:tcPr/>
          <w:p>
            <w:pPr>
              <w:pStyle w:val="Compact"/>
            </w:pPr>
            <w:r>
              <w:t xml:space="preserve">PSOA2P</w:t>
            </w:r>
          </w:p>
        </w:tc>
        <w:tc>
          <w:tcPr/>
          <w:p>
            <w:pPr>
              <w:pStyle w:val="Compact"/>
            </w:pPr>
            <w:r>
              <w:t xml:space="preserve">0.1</w:t>
            </w:r>
          </w:p>
        </w:tc>
        <w:tc>
          <w:tcPr/>
          <w:p>
            <w:pPr>
              <w:pStyle w:val="Compact"/>
            </w:pPr>
            <w:r>
              <w:t xml:space="preserve">10</w:t>
            </w:r>
          </w:p>
        </w:tc>
        <w:tc>
          <w:tcPr/>
          <w:p>
            <w:pPr>
              <w:pStyle w:val="Compact"/>
            </w:pPr>
            <w:r>
              <w:t xml:space="preserve">142</w:t>
            </w:r>
          </w:p>
        </w:tc>
      </w:tr>
      <w:tr>
        <w:tc>
          <w:tcPr/>
          <w:p>
            <w:pPr>
              <w:pStyle w:val="Compact"/>
            </w:pPr>
            <w:r>
              <w:t xml:space="preserve">SOAG2</w:t>
            </w:r>
          </w:p>
        </w:tc>
        <w:tc>
          <w:tcPr/>
          <w:p>
            <w:pPr>
              <w:pStyle w:val="Compact"/>
            </w:pPr>
            <w:r>
              <w:t xml:space="preserve">PSOA3P</w:t>
            </w:r>
          </w:p>
        </w:tc>
        <w:tc>
          <w:tcPr/>
          <w:p>
            <w:pPr>
              <w:pStyle w:val="Compact"/>
            </w:pPr>
            <w:r>
              <w:t xml:space="preserve">1</w:t>
            </w:r>
          </w:p>
        </w:tc>
        <w:tc>
          <w:tcPr/>
          <w:p>
            <w:pPr>
              <w:pStyle w:val="Compact"/>
            </w:pPr>
            <w:r>
              <w:t xml:space="preserve">1</w:t>
            </w:r>
          </w:p>
        </w:tc>
        <w:tc>
          <w:tcPr/>
          <w:p>
            <w:pPr>
              <w:pStyle w:val="Compact"/>
            </w:pPr>
            <w:r>
              <w:t xml:space="preserve">131</w:t>
            </w:r>
          </w:p>
        </w:tc>
      </w:tr>
      <w:tr>
        <w:tc>
          <w:tcPr/>
          <w:p>
            <w:pPr>
              <w:pStyle w:val="Compact"/>
            </w:pPr>
            <w:r>
              <w:t xml:space="preserve">SOAG3</w:t>
            </w:r>
          </w:p>
        </w:tc>
        <w:tc>
          <w:tcPr/>
          <w:p>
            <w:pPr>
              <w:pStyle w:val="Compact"/>
            </w:pPr>
            <w:r>
              <w:t xml:space="preserve">PSOA4P</w:t>
            </w:r>
          </w:p>
        </w:tc>
        <w:tc>
          <w:tcPr/>
          <w:p>
            <w:pPr>
              <w:pStyle w:val="Compact"/>
            </w:pPr>
            <w:r>
              <w:t xml:space="preserve">10</w:t>
            </w:r>
          </w:p>
        </w:tc>
        <w:tc>
          <w:tcPr/>
          <w:p>
            <w:pPr>
              <w:pStyle w:val="Compact"/>
            </w:pPr>
            <w:r>
              <w:t xml:space="preserve">0.1</w:t>
            </w:r>
          </w:p>
        </w:tc>
        <w:tc>
          <w:tcPr/>
          <w:p>
            <w:pPr>
              <w:pStyle w:val="Compact"/>
            </w:pPr>
            <w:r>
              <w:t xml:space="preserve">120</w:t>
            </w:r>
          </w:p>
        </w:tc>
      </w:tr>
      <w:tr>
        <w:tc>
          <w:tcPr/>
          <w:p>
            <w:pPr>
              <w:pStyle w:val="Compact"/>
            </w:pPr>
            <w:r>
              <w:t xml:space="preserve">SOAG4</w:t>
            </w:r>
          </w:p>
        </w:tc>
        <w:tc>
          <w:tcPr/>
          <w:p>
            <w:pPr>
              <w:pStyle w:val="Compact"/>
            </w:pPr>
            <w:r>
              <w:t xml:space="preserve">PSOA5P</w:t>
            </w:r>
          </w:p>
        </w:tc>
        <w:tc>
          <w:tcPr/>
          <w:p>
            <w:pPr>
              <w:pStyle w:val="Compact"/>
            </w:pPr>
            <w:r>
              <w:t xml:space="preserve">100</w:t>
            </w:r>
          </w:p>
        </w:tc>
        <w:tc>
          <w:tcPr/>
          <w:p>
            <w:pPr>
              <w:pStyle w:val="Compact"/>
            </w:pPr>
            <w:r>
              <w:t xml:space="preserve">0.01</w:t>
            </w:r>
          </w:p>
        </w:tc>
        <w:tc>
          <w:tcPr/>
          <w:p>
            <w:pPr>
              <w:pStyle w:val="Compact"/>
            </w:pPr>
            <w:r>
              <w:t xml:space="preserve">109</w:t>
            </w:r>
          </w:p>
        </w:tc>
      </w:tr>
    </w:tbl>
    <w:bookmarkEnd w:id="29"/>
    <w:bookmarkStart w:id="30" w:name="X90ecc85827c2ffca8f55051195f70bc388c566e"/>
    <w:p>
      <w:pPr>
        <w:pStyle w:val="Heading1"/>
      </w:pPr>
      <w:r>
        <w:t xml:space="preserve">Text S7. CAM–SCRAM gas mapping and tendency exchange</w:t>
      </w:r>
    </w:p>
    <w:p>
      <w:pPr>
        <w:pStyle w:val="FirstParagraph"/>
      </w:pPr>
      <w:r>
        <w:t xml:space="preserve">CAM remains authoritative for resolved gas transport and provides the host chemical tracer basis (Emmons et al., 2020), while SCRAM supplies the reduced aerosol/gas microphysical representation (Zhu et al., 2015). At the beginning of a SCRAM microphysics call, a CAM gas mass mixing ratio</w:t>
      </w:r>
      <w:r>
        <w:t xml:space="preserve"> </w:t>
      </w:r>
      <m:oMath>
        <m:sSub>
          <m:e>
            <m:r>
              <m:t>q</m:t>
            </m:r>
          </m:e>
          <m:sub>
            <m:r>
              <m:t>g</m:t>
            </m:r>
          </m:sub>
        </m:sSub>
      </m:oMath>
      <w:r>
        <w:t xml:space="preserve"> </w:t>
      </w:r>
      <w:r>
        <w:t xml:space="preserve">is converted to a concentration used by SCRAM,</w:t>
      </w:r>
    </w:p>
    <w:p>
      <w:pPr>
        <w:pStyle w:val="BodyText"/>
      </w:pPr>
      <m:oMathPara>
        <m:oMathParaPr>
          <m:jc m:val="center"/>
        </m:oMathParaPr>
        <m:oMath>
          <m:sSub>
            <m:e>
              <m:r>
                <m:t>C</m:t>
              </m:r>
            </m:e>
            <m:sub>
              <m:r>
                <m:t>g</m:t>
              </m:r>
            </m:sub>
          </m:sSub>
          <m:r>
            <m:rPr>
              <m:sty m:val="p"/>
            </m:rPr>
            <m:t>=</m:t>
          </m:r>
          <m:sSub>
            <m:e>
              <m:r>
                <m:t>q</m:t>
              </m:r>
            </m:e>
            <m:sub>
              <m:r>
                <m:t>g</m:t>
              </m:r>
            </m:sub>
          </m:sSub>
          <m:sSub>
            <m:e>
              <m:r>
                <m:t>ρ</m:t>
              </m:r>
            </m:e>
            <m:sub>
              <m:r>
                <m:t>a</m:t>
              </m:r>
              <m:r>
                <m:t>i</m:t>
              </m:r>
              <m:r>
                <m:t>r</m:t>
              </m:r>
            </m:sub>
          </m:sSub>
          <m:r>
            <m:rPr>
              <m:sty m:val="p"/>
            </m:rPr>
            <m:t>×</m:t>
          </m:r>
          <m:sSup>
            <m:e>
              <m:r>
                <m:t>10</m:t>
              </m:r>
            </m:e>
            <m:sup>
              <m:r>
                <m:t>9</m:t>
              </m:r>
            </m:sup>
          </m:sSup>
          <m:r>
            <m:t> </m:t>
          </m:r>
          <m:r>
            <m:rPr>
              <m:sty m:val="p"/>
            </m:rPr>
            <m:t>[</m:t>
          </m:r>
          <m:r>
            <m:t>μ</m:t>
          </m:r>
          <m:r>
            <m:rPr>
              <m:sty m:val="p"/>
            </m:rPr>
            <m:t>g</m:t>
          </m:r>
          <m:r>
            <m:rPr>
              <m:sty m:val="p"/>
            </m:rPr>
            <m:t> </m:t>
          </m:r>
          <m:sSup>
            <m:e>
              <m:r>
                <m:rPr>
                  <m:sty m:val="p"/>
                </m:rPr>
                <m:t>m</m:t>
              </m:r>
            </m:e>
            <m:sup>
              <m:r>
                <m:rPr>
                  <m:sty m:val="p"/>
                </m:rPr>
                <m:t>−</m:t>
              </m:r>
              <m:r>
                <m:rPr>
                  <m:sty m:val="p"/>
                </m:rPr>
                <m:t>3</m:t>
              </m:r>
            </m:sup>
          </m:sSup>
          <m:r>
            <m:rPr>
              <m:sty m:val="p"/>
            </m:rPr>
            <m:t>]</m:t>
          </m:r>
          <m:r>
            <m:rPr>
              <m:sty m:val="p"/>
            </m:rPr>
            <m:t>,</m:t>
          </m:r>
        </m:oMath>
      </m:oMathPara>
    </w:p>
    <w:p>
      <w:pPr>
        <w:pStyle w:val="FirstParagraph"/>
      </w:pPr>
      <w:r>
        <w:t xml:space="preserve">where</w:t>
      </w:r>
      <w:r>
        <w:t xml:space="preserve"> </w:t>
      </w:r>
      <m:oMath>
        <m:sSub>
          <m:e>
            <m:r>
              <m:t>ρ</m:t>
            </m:r>
          </m:e>
          <m:sub>
            <m:r>
              <m:t>a</m:t>
            </m:r>
            <m:r>
              <m:t>i</m:t>
            </m:r>
            <m:r>
              <m:t>r</m:t>
            </m:r>
          </m:sub>
        </m:sSub>
      </m:oMath>
      <w:r>
        <w:t xml:space="preserve"> </w:t>
      </w:r>
      <w:r>
        <w:t xml:space="preserve">is in kg m</w:t>
      </w:r>
      <m:oMath>
        <m:sSup>
          <m:e>
            <m:r>
              <m:t>​</m:t>
            </m:r>
          </m:e>
          <m:sup>
            <m:r>
              <m:rPr>
                <m:sty m:val="p"/>
              </m:rPr>
              <m:t>−</m:t>
            </m:r>
            <m:r>
              <m:t>3</m:t>
            </m:r>
          </m:sup>
        </m:sSup>
      </m:oMath>
      <w:r>
        <w:t xml:space="preserve">. After SCRAM chemistry and gas–particle exchange, the concentration change is converted back to a CAM mixing-ratio tendency,</w:t>
      </w:r>
    </w:p>
    <w:p>
      <w:pPr>
        <w:pStyle w:val="BodyText"/>
      </w:pPr>
      <m:oMathPara>
        <m:oMathParaPr>
          <m:jc m:val="center"/>
        </m:oMathParaPr>
        <m:oMath>
          <m:sSub>
            <m:e>
              <m:d>
                <m:dPr>
                  <m:begChr m:val=""/>
                  <m:sepChr m:val=""/>
                  <m:endChr m:val="|"/>
                  <m:grow/>
                </m:dPr>
                <m:e>
                  <m:f>
                    <m:fPr>
                      <m:type m:val="bar"/>
                    </m:fPr>
                    <m:num>
                      <m:r>
                        <m:t>d</m:t>
                      </m:r>
                      <m:sSub>
                        <m:e>
                          <m:r>
                            <m:t>q</m:t>
                          </m:r>
                        </m:e>
                        <m:sub>
                          <m:r>
                            <m:t>g</m:t>
                          </m:r>
                        </m:sub>
                      </m:sSub>
                    </m:num>
                    <m:den>
                      <m:r>
                        <m:t>d</m:t>
                      </m:r>
                      <m:r>
                        <m:t>t</m:t>
                      </m:r>
                    </m:den>
                  </m:f>
                </m:e>
              </m:d>
            </m:e>
            <m:sub>
              <m:r>
                <m:t>S</m:t>
              </m:r>
              <m:r>
                <m:t>C</m:t>
              </m:r>
              <m:r>
                <m:t>R</m:t>
              </m:r>
              <m:r>
                <m:t>A</m:t>
              </m:r>
              <m:r>
                <m:t>M</m:t>
              </m:r>
            </m:sub>
          </m:sSub>
          <m:r>
            <m:rPr>
              <m:sty m:val="p"/>
            </m:rPr>
            <m:t>=</m:t>
          </m:r>
          <m:f>
            <m:fPr>
              <m:type m:val="bar"/>
            </m:fPr>
            <m:num>
              <m:r>
                <m:rPr>
                  <m:sty m:val="p"/>
                </m:rPr>
                <m:t>Δ</m:t>
              </m:r>
              <m:sSub>
                <m:e>
                  <m:r>
                    <m:t>C</m:t>
                  </m:r>
                </m:e>
                <m:sub>
                  <m:r>
                    <m:t>g</m:t>
                  </m:r>
                </m:sub>
              </m:sSub>
              <m:r>
                <m:t> </m:t>
              </m:r>
              <m:sSup>
                <m:e>
                  <m:r>
                    <m:t>10</m:t>
                  </m:r>
                </m:e>
                <m:sup>
                  <m:r>
                    <m:rPr>
                      <m:sty m:val="p"/>
                    </m:rPr>
                    <m:t>−</m:t>
                  </m:r>
                  <m:r>
                    <m:t>9</m:t>
                  </m:r>
                </m:sup>
              </m:sSup>
            </m:num>
            <m:den>
              <m:sSub>
                <m:e>
                  <m:r>
                    <m:t>ρ</m:t>
                  </m:r>
                </m:e>
                <m:sub>
                  <m:r>
                    <m:t>a</m:t>
                  </m:r>
                  <m:r>
                    <m:t>i</m:t>
                  </m:r>
                  <m:r>
                    <m:t>r</m:t>
                  </m:r>
                </m:sub>
              </m:sSub>
              <m:r>
                <m:rPr>
                  <m:sty m:val="p"/>
                </m:rPr>
                <m:t>Δ</m:t>
              </m:r>
              <m:r>
                <m:t>t</m:t>
              </m:r>
            </m:den>
          </m:f>
          <m:r>
            <m:rPr>
              <m:sty m:val="p"/>
            </m:rPr>
            <m:t>.</m:t>
          </m:r>
        </m:oMath>
      </m:oMathPara>
    </w:p>
    <w:p>
      <w:pPr>
        <w:pStyle w:val="FirstParagraph"/>
      </w:pPr>
      <w:r>
        <w:t xml:space="preserve">When multiple CAM tracers contribute to one reduced SCRAM gas, the returned change is apportioned according to the pre-SCRAM contributions; a coefficient-weighted fallback is used only when the pre-step pool is effectively zero. This preserves the host-model tracer basis while allowing SCRAM to use a reduced chemistry nomenclature. The exact formal mapping is configuration data rather than hard-coded manuscript text.</w:t>
      </w:r>
    </w:p>
    <w:p>
      <w:pPr>
        <w:pStyle w:val="BodyText"/>
      </w:pPr>
      <w:r>
        <w:rPr>
          <w:b/>
          <w:bCs/>
        </w:rPr>
        <w:t xml:space="preserve">Table S4. Complete production CAM-gas to SCRAM-gas mapping.</w:t>
      </w:r>
      <w:r>
        <w:t xml:space="preserve"> </w:t>
      </w:r>
      <w:r>
        <w:t xml:space="preserve">The mapping is generated directly from</w:t>
      </w:r>
      <w:r>
        <w:t xml:space="preserve"> </w:t>
      </w:r>
      <w:r>
        <w:rPr>
          <w:rStyle w:val="VerbatimChar"/>
        </w:rPr>
        <w:t xml:space="preserve">scram_gas_map.txt</w:t>
      </w:r>
      <w:r>
        <w:t xml:space="preserve">; all current coefficients are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 tracer</w:t>
            </w:r>
          </w:p>
        </w:tc>
        <w:tc>
          <w:tcPr/>
          <w:p>
            <w:pPr>
              <w:pStyle w:val="Compact"/>
            </w:pPr>
            <w:r>
              <w:t xml:space="preserve">SCRAM gas</w:t>
            </w:r>
          </w:p>
        </w:tc>
        <w:tc>
          <w:tcPr/>
          <w:p>
            <w:pPr>
              <w:pStyle w:val="Compact"/>
            </w:pPr>
            <w:r>
              <w:t xml:space="preserve">mapping coefficient</w:t>
            </w:r>
          </w:p>
        </w:tc>
      </w:tr>
      <w:tr>
        <w:tc>
          <w:tcPr/>
          <w:p>
            <w:pPr>
              <w:pStyle w:val="Compact"/>
            </w:pPr>
            <w:r>
              <w:t xml:space="preserve">CH2O</w:t>
            </w:r>
          </w:p>
        </w:tc>
        <w:tc>
          <w:tcPr/>
          <w:p>
            <w:pPr>
              <w:pStyle w:val="Compact"/>
            </w:pPr>
            <w:r>
              <w:t xml:space="preserve">FORM</w:t>
            </w:r>
          </w:p>
        </w:tc>
        <w:tc>
          <w:tcPr/>
          <w:p>
            <w:pPr>
              <w:pStyle w:val="Compact"/>
            </w:pPr>
            <w:r>
              <w:t xml:space="preserve">1.0</w:t>
            </w:r>
          </w:p>
        </w:tc>
      </w:tr>
      <w:tr>
        <w:tc>
          <w:tcPr/>
          <w:p>
            <w:pPr>
              <w:pStyle w:val="Compact"/>
            </w:pPr>
            <w:r>
              <w:t xml:space="preserve">CH3CHO</w:t>
            </w:r>
          </w:p>
        </w:tc>
        <w:tc>
          <w:tcPr/>
          <w:p>
            <w:pPr>
              <w:pStyle w:val="Compact"/>
            </w:pPr>
            <w:r>
              <w:t xml:space="preserve">ALD2</w:t>
            </w:r>
          </w:p>
        </w:tc>
        <w:tc>
          <w:tcPr/>
          <w:p>
            <w:pPr>
              <w:pStyle w:val="Compact"/>
            </w:pPr>
            <w:r>
              <w:t xml:space="preserve">1.0</w:t>
            </w:r>
          </w:p>
        </w:tc>
      </w:tr>
      <w:tr>
        <w:tc>
          <w:tcPr/>
          <w:p>
            <w:pPr>
              <w:pStyle w:val="Compact"/>
            </w:pPr>
            <w:r>
              <w:t xml:space="preserve">CH3COCHO</w:t>
            </w:r>
          </w:p>
        </w:tc>
        <w:tc>
          <w:tcPr/>
          <w:p>
            <w:pPr>
              <w:pStyle w:val="Compact"/>
            </w:pPr>
            <w:r>
              <w:t xml:space="preserve">MGLY</w:t>
            </w:r>
          </w:p>
        </w:tc>
        <w:tc>
          <w:tcPr/>
          <w:p>
            <w:pPr>
              <w:pStyle w:val="Compact"/>
            </w:pPr>
            <w:r>
              <w:t xml:space="preserve">1.0</w:t>
            </w:r>
          </w:p>
        </w:tc>
      </w:tr>
      <w:tr>
        <w:tc>
          <w:tcPr/>
          <w:p>
            <w:pPr>
              <w:pStyle w:val="Compact"/>
            </w:pPr>
            <w:r>
              <w:t xml:space="preserve">HCOOH</w:t>
            </w:r>
          </w:p>
        </w:tc>
        <w:tc>
          <w:tcPr/>
          <w:p>
            <w:pPr>
              <w:pStyle w:val="Compact"/>
            </w:pPr>
            <w:r>
              <w:t xml:space="preserve">FACD</w:t>
            </w:r>
          </w:p>
        </w:tc>
        <w:tc>
          <w:tcPr/>
          <w:p>
            <w:pPr>
              <w:pStyle w:val="Compact"/>
            </w:pPr>
            <w:r>
              <w:t xml:space="preserve">1.0</w:t>
            </w:r>
          </w:p>
        </w:tc>
      </w:tr>
      <w:tr>
        <w:tc>
          <w:tcPr/>
          <w:p>
            <w:pPr>
              <w:pStyle w:val="Compact"/>
            </w:pPr>
            <w:r>
              <w:t xml:space="preserve">CH3COOH</w:t>
            </w:r>
          </w:p>
        </w:tc>
        <w:tc>
          <w:tcPr/>
          <w:p>
            <w:pPr>
              <w:pStyle w:val="Compact"/>
            </w:pPr>
            <w:r>
              <w:t xml:space="preserve">AACD</w:t>
            </w:r>
          </w:p>
        </w:tc>
        <w:tc>
          <w:tcPr/>
          <w:p>
            <w:pPr>
              <w:pStyle w:val="Compact"/>
            </w:pPr>
            <w:r>
              <w:t xml:space="preserve">1.0</w:t>
            </w:r>
          </w:p>
        </w:tc>
      </w:tr>
      <w:tr>
        <w:tc>
          <w:tcPr/>
          <w:p>
            <w:pPr>
              <w:pStyle w:val="Compact"/>
            </w:pPr>
            <w:r>
              <w:t xml:space="preserve">CH3COOOH</w:t>
            </w:r>
          </w:p>
        </w:tc>
        <w:tc>
          <w:tcPr/>
          <w:p>
            <w:pPr>
              <w:pStyle w:val="Compact"/>
            </w:pPr>
            <w:r>
              <w:t xml:space="preserve">PACD</w:t>
            </w:r>
          </w:p>
        </w:tc>
        <w:tc>
          <w:tcPr/>
          <w:p>
            <w:pPr>
              <w:pStyle w:val="Compact"/>
            </w:pPr>
            <w:r>
              <w:t xml:space="preserve">1.0</w:t>
            </w:r>
          </w:p>
        </w:tc>
      </w:tr>
      <w:tr>
        <w:tc>
          <w:tcPr/>
          <w:p>
            <w:pPr>
              <w:pStyle w:val="Compact"/>
            </w:pPr>
            <w:r>
              <w:t xml:space="preserve">CH3OOH</w:t>
            </w:r>
          </w:p>
        </w:tc>
        <w:tc>
          <w:tcPr/>
          <w:p>
            <w:pPr>
              <w:pStyle w:val="Compact"/>
            </w:pPr>
            <w:r>
              <w:t xml:space="preserve">MEPX</w:t>
            </w:r>
          </w:p>
        </w:tc>
        <w:tc>
          <w:tcPr/>
          <w:p>
            <w:pPr>
              <w:pStyle w:val="Compact"/>
            </w:pPr>
            <w:r>
              <w:t xml:space="preserve">1.0</w:t>
            </w:r>
          </w:p>
        </w:tc>
      </w:tr>
      <w:tr>
        <w:tc>
          <w:tcPr/>
          <w:p>
            <w:pPr>
              <w:pStyle w:val="Compact"/>
            </w:pPr>
            <w:r>
              <w:t xml:space="preserve">CRESOL</w:t>
            </w:r>
          </w:p>
        </w:tc>
        <w:tc>
          <w:tcPr/>
          <w:p>
            <w:pPr>
              <w:pStyle w:val="Compact"/>
            </w:pPr>
            <w:r>
              <w:t xml:space="preserve">CRES</w:t>
            </w:r>
          </w:p>
        </w:tc>
        <w:tc>
          <w:tcPr/>
          <w:p>
            <w:pPr>
              <w:pStyle w:val="Compact"/>
            </w:pPr>
            <w:r>
              <w:t xml:space="preserve">1.0</w:t>
            </w:r>
          </w:p>
        </w:tc>
      </w:tr>
      <w:tr>
        <w:tc>
          <w:tcPr/>
          <w:p>
            <w:pPr>
              <w:pStyle w:val="Compact"/>
            </w:pPr>
            <w:r>
              <w:t xml:space="preserve">C2H5OH</w:t>
            </w:r>
          </w:p>
        </w:tc>
        <w:tc>
          <w:tcPr/>
          <w:p>
            <w:pPr>
              <w:pStyle w:val="Compact"/>
            </w:pPr>
            <w:r>
              <w:t xml:space="preserve">ETOH</w:t>
            </w:r>
          </w:p>
        </w:tc>
        <w:tc>
          <w:tcPr/>
          <w:p>
            <w:pPr>
              <w:pStyle w:val="Compact"/>
            </w:pPr>
            <w:r>
              <w:t xml:space="preserve">1.0</w:t>
            </w:r>
          </w:p>
        </w:tc>
      </w:tr>
      <w:tr>
        <w:tc>
          <w:tcPr/>
          <w:p>
            <w:pPr>
              <w:pStyle w:val="Compact"/>
            </w:pPr>
            <w:r>
              <w:t xml:space="preserve">C2H6</w:t>
            </w:r>
          </w:p>
        </w:tc>
        <w:tc>
          <w:tcPr/>
          <w:p>
            <w:pPr>
              <w:pStyle w:val="Compact"/>
            </w:pPr>
            <w:r>
              <w:t xml:space="preserve">ETHA</w:t>
            </w:r>
          </w:p>
        </w:tc>
        <w:tc>
          <w:tcPr/>
          <w:p>
            <w:pPr>
              <w:pStyle w:val="Compact"/>
            </w:pPr>
            <w:r>
              <w:t xml:space="preserve">1.0</w:t>
            </w:r>
          </w:p>
        </w:tc>
      </w:tr>
      <w:tr>
        <w:tc>
          <w:tcPr/>
          <w:p>
            <w:pPr>
              <w:pStyle w:val="Compact"/>
            </w:pPr>
            <w:r>
              <w:t xml:space="preserve">C2H4</w:t>
            </w:r>
          </w:p>
        </w:tc>
        <w:tc>
          <w:tcPr/>
          <w:p>
            <w:pPr>
              <w:pStyle w:val="Compact"/>
            </w:pPr>
            <w:r>
              <w:t xml:space="preserve">ETH</w:t>
            </w:r>
          </w:p>
        </w:tc>
        <w:tc>
          <w:tcPr/>
          <w:p>
            <w:pPr>
              <w:pStyle w:val="Compact"/>
            </w:pPr>
            <w:r>
              <w:t xml:space="preserve">1.0</w:t>
            </w:r>
          </w:p>
        </w:tc>
      </w:tr>
      <w:tr>
        <w:tc>
          <w:tcPr/>
          <w:p>
            <w:pPr>
              <w:pStyle w:val="Compact"/>
            </w:pPr>
            <w:r>
              <w:t xml:space="preserve">TOLUENE</w:t>
            </w:r>
          </w:p>
        </w:tc>
        <w:tc>
          <w:tcPr/>
          <w:p>
            <w:pPr>
              <w:pStyle w:val="Compact"/>
            </w:pPr>
            <w:r>
              <w:t xml:space="preserve">TOL</w:t>
            </w:r>
          </w:p>
        </w:tc>
        <w:tc>
          <w:tcPr/>
          <w:p>
            <w:pPr>
              <w:pStyle w:val="Compact"/>
            </w:pPr>
            <w:r>
              <w:t xml:space="preserve">1.0</w:t>
            </w:r>
          </w:p>
        </w:tc>
      </w:tr>
      <w:tr>
        <w:tc>
          <w:tcPr/>
          <w:p>
            <w:pPr>
              <w:pStyle w:val="Compact"/>
            </w:pPr>
            <w:r>
              <w:t xml:space="preserve">XYLENES</w:t>
            </w:r>
          </w:p>
        </w:tc>
        <w:tc>
          <w:tcPr/>
          <w:p>
            <w:pPr>
              <w:pStyle w:val="Compact"/>
            </w:pPr>
            <w:r>
              <w:t xml:space="preserve">XYL</w:t>
            </w:r>
          </w:p>
        </w:tc>
        <w:tc>
          <w:tcPr/>
          <w:p>
            <w:pPr>
              <w:pStyle w:val="Compact"/>
            </w:pPr>
            <w:r>
              <w:t xml:space="preserve">1.0</w:t>
            </w:r>
          </w:p>
        </w:tc>
      </w:tr>
      <w:tr>
        <w:tc>
          <w:tcPr/>
          <w:p>
            <w:pPr>
              <w:pStyle w:val="Compact"/>
            </w:pPr>
            <w:r>
              <w:t xml:space="preserve">MTERP</w:t>
            </w:r>
          </w:p>
        </w:tc>
        <w:tc>
          <w:tcPr/>
          <w:p>
            <w:pPr>
              <w:pStyle w:val="Compact"/>
            </w:pPr>
            <w:r>
              <w:t xml:space="preserve">TERP</w:t>
            </w:r>
          </w:p>
        </w:tc>
        <w:tc>
          <w:tcPr/>
          <w:p>
            <w:pPr>
              <w:pStyle w:val="Compact"/>
            </w:pPr>
            <w:r>
              <w:t xml:space="preserve">1.0</w:t>
            </w:r>
          </w:p>
        </w:tc>
      </w:tr>
      <w:tr>
        <w:tc>
          <w:tcPr/>
          <w:p>
            <w:pPr>
              <w:pStyle w:val="Compact"/>
            </w:pPr>
            <w:r>
              <w:t xml:space="preserve">HO2NO2</w:t>
            </w:r>
          </w:p>
        </w:tc>
        <w:tc>
          <w:tcPr/>
          <w:p>
            <w:pPr>
              <w:pStyle w:val="Compact"/>
            </w:pPr>
            <w:r>
              <w:t xml:space="preserve">HNO4</w:t>
            </w:r>
          </w:p>
        </w:tc>
        <w:tc>
          <w:tcPr/>
          <w:p>
            <w:pPr>
              <w:pStyle w:val="Compact"/>
            </w:pPr>
            <w:r>
              <w:t xml:space="preserve">1.0</w:t>
            </w:r>
          </w:p>
        </w:tc>
      </w:tr>
      <w:tr>
        <w:tc>
          <w:tcPr/>
          <w:p>
            <w:pPr>
              <w:pStyle w:val="Compact"/>
            </w:pPr>
            <w:r>
              <w:t xml:space="preserve">H2SO4</w:t>
            </w:r>
          </w:p>
        </w:tc>
        <w:tc>
          <w:tcPr/>
          <w:p>
            <w:pPr>
              <w:pStyle w:val="Compact"/>
            </w:pPr>
            <w:r>
              <w:t xml:space="preserve">SULF</w:t>
            </w:r>
          </w:p>
        </w:tc>
        <w:tc>
          <w:tcPr/>
          <w:p>
            <w:pPr>
              <w:pStyle w:val="Compact"/>
            </w:pPr>
            <w:r>
              <w:t xml:space="preserve">1.0</w:t>
            </w:r>
          </w:p>
        </w:tc>
      </w:tr>
      <w:tr>
        <w:tc>
          <w:tcPr/>
          <w:p>
            <w:pPr>
              <w:pStyle w:val="Compact"/>
            </w:pPr>
            <w:r>
              <w:t xml:space="preserve">O3</w:t>
            </w:r>
          </w:p>
        </w:tc>
        <w:tc>
          <w:tcPr/>
          <w:p>
            <w:pPr>
              <w:pStyle w:val="Compact"/>
            </w:pPr>
            <w:r>
              <w:t xml:space="preserve">O3</w:t>
            </w:r>
          </w:p>
        </w:tc>
        <w:tc>
          <w:tcPr/>
          <w:p>
            <w:pPr>
              <w:pStyle w:val="Compact"/>
            </w:pPr>
            <w:r>
              <w:t xml:space="preserve">1.0</w:t>
            </w:r>
          </w:p>
        </w:tc>
      </w:tr>
      <w:tr>
        <w:tc>
          <w:tcPr/>
          <w:p>
            <w:pPr>
              <w:pStyle w:val="Compact"/>
            </w:pPr>
            <w:r>
              <w:t xml:space="preserve">NO</w:t>
            </w:r>
          </w:p>
        </w:tc>
        <w:tc>
          <w:tcPr/>
          <w:p>
            <w:pPr>
              <w:pStyle w:val="Compact"/>
            </w:pPr>
            <w:r>
              <w:t xml:space="preserve">NO</w:t>
            </w:r>
          </w:p>
        </w:tc>
        <w:tc>
          <w:tcPr/>
          <w:p>
            <w:pPr>
              <w:pStyle w:val="Compact"/>
            </w:pPr>
            <w:r>
              <w:t xml:space="preserve">1.0</w:t>
            </w:r>
          </w:p>
        </w:tc>
      </w:tr>
      <w:tr>
        <w:tc>
          <w:tcPr/>
          <w:p>
            <w:pPr>
              <w:pStyle w:val="Compact"/>
            </w:pPr>
            <w:r>
              <w:t xml:space="preserve">NO2</w:t>
            </w:r>
          </w:p>
        </w:tc>
        <w:tc>
          <w:tcPr/>
          <w:p>
            <w:pPr>
              <w:pStyle w:val="Compact"/>
            </w:pPr>
            <w:r>
              <w:t xml:space="preserve">NO2</w:t>
            </w:r>
          </w:p>
        </w:tc>
        <w:tc>
          <w:tcPr/>
          <w:p>
            <w:pPr>
              <w:pStyle w:val="Compact"/>
            </w:pPr>
            <w:r>
              <w:t xml:space="preserve">1.0</w:t>
            </w:r>
          </w:p>
        </w:tc>
      </w:tr>
      <w:tr>
        <w:tc>
          <w:tcPr/>
          <w:p>
            <w:pPr>
              <w:pStyle w:val="Compact"/>
            </w:pPr>
            <w:r>
              <w:t xml:space="preserve">NO3</w:t>
            </w:r>
          </w:p>
        </w:tc>
        <w:tc>
          <w:tcPr/>
          <w:p>
            <w:pPr>
              <w:pStyle w:val="Compact"/>
            </w:pPr>
            <w:r>
              <w:t xml:space="preserve">NO3</w:t>
            </w:r>
          </w:p>
        </w:tc>
        <w:tc>
          <w:tcPr/>
          <w:p>
            <w:pPr>
              <w:pStyle w:val="Compact"/>
            </w:pPr>
            <w:r>
              <w:t xml:space="preserve">1.0</w:t>
            </w:r>
          </w:p>
        </w:tc>
      </w:tr>
      <w:tr>
        <w:tc>
          <w:tcPr/>
          <w:p>
            <w:pPr>
              <w:pStyle w:val="Compact"/>
            </w:pPr>
            <w:r>
              <w:t xml:space="preserve">N2O5</w:t>
            </w:r>
          </w:p>
        </w:tc>
        <w:tc>
          <w:tcPr/>
          <w:p>
            <w:pPr>
              <w:pStyle w:val="Compact"/>
            </w:pPr>
            <w:r>
              <w:t xml:space="preserve">N2O5</w:t>
            </w:r>
          </w:p>
        </w:tc>
        <w:tc>
          <w:tcPr/>
          <w:p>
            <w:pPr>
              <w:pStyle w:val="Compact"/>
            </w:pPr>
            <w:r>
              <w:t xml:space="preserve">1.0</w:t>
            </w:r>
          </w:p>
        </w:tc>
      </w:tr>
      <w:tr>
        <w:tc>
          <w:tcPr/>
          <w:p>
            <w:pPr>
              <w:pStyle w:val="Compact"/>
            </w:pPr>
            <w:r>
              <w:t xml:space="preserve">HNO3</w:t>
            </w:r>
          </w:p>
        </w:tc>
        <w:tc>
          <w:tcPr/>
          <w:p>
            <w:pPr>
              <w:pStyle w:val="Compact"/>
            </w:pPr>
            <w:r>
              <w:t xml:space="preserve">HNO3</w:t>
            </w:r>
          </w:p>
        </w:tc>
        <w:tc>
          <w:tcPr/>
          <w:p>
            <w:pPr>
              <w:pStyle w:val="Compact"/>
            </w:pPr>
            <w:r>
              <w:t xml:space="preserve">1.0</w:t>
            </w:r>
          </w:p>
        </w:tc>
      </w:tr>
      <w:tr>
        <w:tc>
          <w:tcPr/>
          <w:p>
            <w:pPr>
              <w:pStyle w:val="Compact"/>
            </w:pPr>
            <w:r>
              <w:t xml:space="preserve">CO</w:t>
            </w:r>
          </w:p>
        </w:tc>
        <w:tc>
          <w:tcPr/>
          <w:p>
            <w:pPr>
              <w:pStyle w:val="Compact"/>
            </w:pPr>
            <w:r>
              <w:t xml:space="preserve">CO</w:t>
            </w:r>
          </w:p>
        </w:tc>
        <w:tc>
          <w:tcPr/>
          <w:p>
            <w:pPr>
              <w:pStyle w:val="Compact"/>
            </w:pPr>
            <w:r>
              <w:t xml:space="preserve">1.0</w:t>
            </w:r>
          </w:p>
        </w:tc>
      </w:tr>
      <w:tr>
        <w:tc>
          <w:tcPr/>
          <w:p>
            <w:pPr>
              <w:pStyle w:val="Compact"/>
            </w:pPr>
            <w:r>
              <w:t xml:space="preserve">CH4</w:t>
            </w:r>
          </w:p>
        </w:tc>
        <w:tc>
          <w:tcPr/>
          <w:p>
            <w:pPr>
              <w:pStyle w:val="Compact"/>
            </w:pPr>
            <w:r>
              <w:t xml:space="preserve">CH4</w:t>
            </w:r>
          </w:p>
        </w:tc>
        <w:tc>
          <w:tcPr/>
          <w:p>
            <w:pPr>
              <w:pStyle w:val="Compact"/>
            </w:pPr>
            <w:r>
              <w:t xml:space="preserve">1.0</w:t>
            </w:r>
          </w:p>
        </w:tc>
      </w:tr>
      <w:tr>
        <w:tc>
          <w:tcPr/>
          <w:p>
            <w:pPr>
              <w:pStyle w:val="Compact"/>
            </w:pPr>
            <w:r>
              <w:t xml:space="preserve">SO2</w:t>
            </w:r>
          </w:p>
        </w:tc>
        <w:tc>
          <w:tcPr/>
          <w:p>
            <w:pPr>
              <w:pStyle w:val="Compact"/>
            </w:pPr>
            <w:r>
              <w:t xml:space="preserve">SO2</w:t>
            </w:r>
          </w:p>
        </w:tc>
        <w:tc>
          <w:tcPr/>
          <w:p>
            <w:pPr>
              <w:pStyle w:val="Compact"/>
            </w:pPr>
            <w:r>
              <w:t xml:space="preserve">1.0</w:t>
            </w:r>
          </w:p>
        </w:tc>
      </w:tr>
      <w:tr>
        <w:tc>
          <w:tcPr/>
          <w:p>
            <w:pPr>
              <w:pStyle w:val="Compact"/>
            </w:pPr>
            <w:r>
              <w:t xml:space="preserve">NH3</w:t>
            </w:r>
          </w:p>
        </w:tc>
        <w:tc>
          <w:tcPr/>
          <w:p>
            <w:pPr>
              <w:pStyle w:val="Compact"/>
            </w:pPr>
            <w:r>
              <w:t xml:space="preserve">NH3</w:t>
            </w:r>
          </w:p>
        </w:tc>
        <w:tc>
          <w:tcPr/>
          <w:p>
            <w:pPr>
              <w:pStyle w:val="Compact"/>
            </w:pPr>
            <w:r>
              <w:t xml:space="preserve">1.0</w:t>
            </w:r>
          </w:p>
        </w:tc>
      </w:tr>
      <w:tr>
        <w:tc>
          <w:tcPr/>
          <w:p>
            <w:pPr>
              <w:pStyle w:val="Compact"/>
            </w:pPr>
            <w:r>
              <w:t xml:space="preserve">H2O2</w:t>
            </w:r>
          </w:p>
        </w:tc>
        <w:tc>
          <w:tcPr/>
          <w:p>
            <w:pPr>
              <w:pStyle w:val="Compact"/>
            </w:pPr>
            <w:r>
              <w:t xml:space="preserve">H2O2</w:t>
            </w:r>
          </w:p>
        </w:tc>
        <w:tc>
          <w:tcPr/>
          <w:p>
            <w:pPr>
              <w:pStyle w:val="Compact"/>
            </w:pPr>
            <w:r>
              <w:t xml:space="preserve">1.0</w:t>
            </w:r>
          </w:p>
        </w:tc>
      </w:tr>
      <w:tr>
        <w:tc>
          <w:tcPr/>
          <w:p>
            <w:pPr>
              <w:pStyle w:val="Compact"/>
            </w:pPr>
            <w:r>
              <w:t xml:space="preserve">O</w:t>
            </w:r>
          </w:p>
        </w:tc>
        <w:tc>
          <w:tcPr/>
          <w:p>
            <w:pPr>
              <w:pStyle w:val="Compact"/>
            </w:pPr>
            <w:r>
              <w:t xml:space="preserve">O</w:t>
            </w:r>
          </w:p>
        </w:tc>
        <w:tc>
          <w:tcPr/>
          <w:p>
            <w:pPr>
              <w:pStyle w:val="Compact"/>
            </w:pPr>
            <w:r>
              <w:t xml:space="preserve">1.0</w:t>
            </w:r>
          </w:p>
        </w:tc>
      </w:tr>
      <w:tr>
        <w:tc>
          <w:tcPr/>
          <w:p>
            <w:pPr>
              <w:pStyle w:val="Compact"/>
            </w:pPr>
            <w:r>
              <w:t xml:space="preserve">HCL</w:t>
            </w:r>
          </w:p>
        </w:tc>
        <w:tc>
          <w:tcPr/>
          <w:p>
            <w:pPr>
              <w:pStyle w:val="Compact"/>
            </w:pPr>
            <w:r>
              <w:t xml:space="preserve">HCL</w:t>
            </w:r>
          </w:p>
        </w:tc>
        <w:tc>
          <w:tcPr/>
          <w:p>
            <w:pPr>
              <w:pStyle w:val="Compact"/>
            </w:pPr>
            <w:r>
              <w:t xml:space="preserve">1.0</w:t>
            </w:r>
          </w:p>
        </w:tc>
      </w:tr>
      <w:tr>
        <w:tc>
          <w:tcPr/>
          <w:p>
            <w:pPr>
              <w:pStyle w:val="Compact"/>
            </w:pPr>
            <w:r>
              <w:t xml:space="preserve">ISOP</w:t>
            </w:r>
          </w:p>
        </w:tc>
        <w:tc>
          <w:tcPr/>
          <w:p>
            <w:pPr>
              <w:pStyle w:val="Compact"/>
            </w:pPr>
            <w:r>
              <w:t xml:space="preserve">ISOP</w:t>
            </w:r>
          </w:p>
        </w:tc>
        <w:tc>
          <w:tcPr/>
          <w:p>
            <w:pPr>
              <w:pStyle w:val="Compact"/>
            </w:pPr>
            <w:r>
              <w:t xml:space="preserve">1.0</w:t>
            </w:r>
          </w:p>
        </w:tc>
      </w:tr>
      <w:tr>
        <w:tc>
          <w:tcPr/>
          <w:p>
            <w:pPr>
              <w:pStyle w:val="Compact"/>
            </w:pPr>
            <w:r>
              <w:t xml:space="preserve">MACR</w:t>
            </w:r>
          </w:p>
        </w:tc>
        <w:tc>
          <w:tcPr/>
          <w:p>
            <w:pPr>
              <w:pStyle w:val="Compact"/>
            </w:pPr>
            <w:r>
              <w:t xml:space="preserve">CRES</w:t>
            </w:r>
          </w:p>
        </w:tc>
        <w:tc>
          <w:tcPr/>
          <w:p>
            <w:pPr>
              <w:pStyle w:val="Compact"/>
            </w:pPr>
            <w:r>
              <w:t xml:space="preserve">1.0</w:t>
            </w:r>
          </w:p>
        </w:tc>
      </w:tr>
      <w:tr>
        <w:tc>
          <w:tcPr/>
          <w:p>
            <w:pPr>
              <w:pStyle w:val="Compact"/>
            </w:pPr>
            <w:r>
              <w:t xml:space="preserve">MVK</w:t>
            </w:r>
          </w:p>
        </w:tc>
        <w:tc>
          <w:tcPr/>
          <w:p>
            <w:pPr>
              <w:pStyle w:val="Compact"/>
            </w:pPr>
            <w:r>
              <w:t xml:space="preserve">ISPD</w:t>
            </w:r>
          </w:p>
        </w:tc>
        <w:tc>
          <w:tcPr/>
          <w:p>
            <w:pPr>
              <w:pStyle w:val="Compact"/>
            </w:pPr>
            <w:r>
              <w:t xml:space="preserve">1.0</w:t>
            </w:r>
          </w:p>
        </w:tc>
      </w:tr>
      <w:tr>
        <w:tc>
          <w:tcPr/>
          <w:p>
            <w:pPr>
              <w:pStyle w:val="Compact"/>
            </w:pPr>
            <w:r>
              <w:t xml:space="preserve">PAN</w:t>
            </w:r>
          </w:p>
        </w:tc>
        <w:tc>
          <w:tcPr/>
          <w:p>
            <w:pPr>
              <w:pStyle w:val="Compact"/>
            </w:pPr>
            <w:r>
              <w:t xml:space="preserve">PAN</w:t>
            </w:r>
          </w:p>
        </w:tc>
        <w:tc>
          <w:tcPr/>
          <w:p>
            <w:pPr>
              <w:pStyle w:val="Compact"/>
            </w:pPr>
            <w:r>
              <w:t xml:space="preserve">1.0</w:t>
            </w:r>
          </w:p>
        </w:tc>
      </w:tr>
      <w:tr>
        <w:tc>
          <w:tcPr/>
          <w:p>
            <w:pPr>
              <w:pStyle w:val="Compact"/>
            </w:pPr>
            <w:r>
              <w:t xml:space="preserve">MPAN</w:t>
            </w:r>
          </w:p>
        </w:tc>
        <w:tc>
          <w:tcPr/>
          <w:p>
            <w:pPr>
              <w:pStyle w:val="Compact"/>
            </w:pPr>
            <w:r>
              <w:t xml:space="preserve">MPAN</w:t>
            </w:r>
          </w:p>
        </w:tc>
        <w:tc>
          <w:tcPr/>
          <w:p>
            <w:pPr>
              <w:pStyle w:val="Compact"/>
            </w:pPr>
            <w:r>
              <w:t xml:space="preserve">1.0</w:t>
            </w:r>
          </w:p>
        </w:tc>
      </w:tr>
      <w:tr>
        <w:tc>
          <w:tcPr/>
          <w:p>
            <w:pPr>
              <w:pStyle w:val="Compact"/>
            </w:pPr>
            <w:r>
              <w:t xml:space="preserve">SOAG0</w:t>
            </w:r>
          </w:p>
        </w:tc>
        <w:tc>
          <w:tcPr/>
          <w:p>
            <w:pPr>
              <w:pStyle w:val="Compact"/>
            </w:pPr>
            <w:r>
              <w:t xml:space="preserve">SOA1P</w:t>
            </w:r>
          </w:p>
        </w:tc>
        <w:tc>
          <w:tcPr/>
          <w:p>
            <w:pPr>
              <w:pStyle w:val="Compact"/>
            </w:pPr>
            <w:r>
              <w:t xml:space="preserve">1.0</w:t>
            </w:r>
          </w:p>
        </w:tc>
      </w:tr>
      <w:tr>
        <w:tc>
          <w:tcPr/>
          <w:p>
            <w:pPr>
              <w:pStyle w:val="Compact"/>
            </w:pPr>
            <w:r>
              <w:t xml:space="preserve">SOAG1</w:t>
            </w:r>
          </w:p>
        </w:tc>
        <w:tc>
          <w:tcPr/>
          <w:p>
            <w:pPr>
              <w:pStyle w:val="Compact"/>
            </w:pPr>
            <w:r>
              <w:t xml:space="preserve">SOA2P</w:t>
            </w:r>
          </w:p>
        </w:tc>
        <w:tc>
          <w:tcPr/>
          <w:p>
            <w:pPr>
              <w:pStyle w:val="Compact"/>
            </w:pPr>
            <w:r>
              <w:t xml:space="preserve">1.0</w:t>
            </w:r>
          </w:p>
        </w:tc>
      </w:tr>
      <w:tr>
        <w:tc>
          <w:tcPr/>
          <w:p>
            <w:pPr>
              <w:pStyle w:val="Compact"/>
            </w:pPr>
            <w:r>
              <w:t xml:space="preserve">SOAG2</w:t>
            </w:r>
          </w:p>
        </w:tc>
        <w:tc>
          <w:tcPr/>
          <w:p>
            <w:pPr>
              <w:pStyle w:val="Compact"/>
            </w:pPr>
            <w:r>
              <w:t xml:space="preserve">SOA3P</w:t>
            </w:r>
          </w:p>
        </w:tc>
        <w:tc>
          <w:tcPr/>
          <w:p>
            <w:pPr>
              <w:pStyle w:val="Compact"/>
            </w:pPr>
            <w:r>
              <w:t xml:space="preserve">1.0</w:t>
            </w:r>
          </w:p>
        </w:tc>
      </w:tr>
      <w:tr>
        <w:tc>
          <w:tcPr/>
          <w:p>
            <w:pPr>
              <w:pStyle w:val="Compact"/>
            </w:pPr>
            <w:r>
              <w:t xml:space="preserve">SOAG3</w:t>
            </w:r>
          </w:p>
        </w:tc>
        <w:tc>
          <w:tcPr/>
          <w:p>
            <w:pPr>
              <w:pStyle w:val="Compact"/>
            </w:pPr>
            <w:r>
              <w:t xml:space="preserve">SOA4P</w:t>
            </w:r>
          </w:p>
        </w:tc>
        <w:tc>
          <w:tcPr/>
          <w:p>
            <w:pPr>
              <w:pStyle w:val="Compact"/>
            </w:pPr>
            <w:r>
              <w:t xml:space="preserve">1.0</w:t>
            </w:r>
          </w:p>
        </w:tc>
      </w:tr>
      <w:tr>
        <w:tc>
          <w:tcPr/>
          <w:p>
            <w:pPr>
              <w:pStyle w:val="Compact"/>
            </w:pPr>
            <w:r>
              <w:t xml:space="preserve">SOAG4</w:t>
            </w:r>
          </w:p>
        </w:tc>
        <w:tc>
          <w:tcPr/>
          <w:p>
            <w:pPr>
              <w:pStyle w:val="Compact"/>
            </w:pPr>
            <w:r>
              <w:t xml:space="preserve">SOA5P</w:t>
            </w:r>
          </w:p>
        </w:tc>
        <w:tc>
          <w:tcPr/>
          <w:p>
            <w:pPr>
              <w:pStyle w:val="Compact"/>
            </w:pPr>
            <w:r>
              <w:t xml:space="preserve">1.0</w:t>
            </w:r>
          </w:p>
        </w:tc>
      </w:tr>
    </w:tbl>
    <w:bookmarkEnd w:id="30"/>
    <w:bookmarkStart w:id="31" w:name="Xf63759cc2f1a4391f4b6382b52287319fcdcca0"/>
    <w:p>
      <w:pPr>
        <w:pStyle w:val="Heading1"/>
      </w:pPr>
      <w:r>
        <w:t xml:space="preserve">Text S8. Emission routing and moment-conserving source allocation</w:t>
      </w:r>
    </w:p>
    <w:p>
      <w:pPr>
        <w:pStyle w:val="FirstParagraph"/>
      </w:pPr>
      <w:r>
        <w:t xml:space="preserve">Mapped CESM aerosol sources, including MAM4-style modal source fields (Liu et al., 2016), are converted from modal source descriptions to the explicit SCRAM size grid using lognormal moments. For a number lognormal distribution with median diameter</w:t>
      </w:r>
      <w:r>
        <w:t xml:space="preserve"> </w:t>
      </w:r>
      <m:oMath>
        <m:sSub>
          <m:e>
            <m:r>
              <m:t>D</m:t>
            </m:r>
          </m:e>
          <m:sub>
            <m:r>
              <m:t>g</m:t>
            </m:r>
          </m:sub>
        </m:sSub>
      </m:oMath>
      <w:r>
        <w:t xml:space="preserve">, geometric standard deviation</w:t>
      </w:r>
      <w:r>
        <w:t xml:space="preserve"> </w:t>
      </w:r>
      <m:oMath>
        <m:sSub>
          <m:e>
            <m:r>
              <m:t>σ</m:t>
            </m:r>
          </m:e>
          <m:sub>
            <m:r>
              <m:t>g</m:t>
            </m:r>
          </m:sub>
        </m:sSub>
      </m:oMath>
      <w:r>
        <w:t xml:space="preserve">, and moment order</w:t>
      </w:r>
      <w:r>
        <w:t xml:space="preserve"> </w:t>
      </w:r>
      <m:oMath>
        <m:r>
          <m:t>k</m:t>
        </m:r>
      </m:oMath>
      <w:r>
        <w:t xml:space="preserve">, define</w:t>
      </w:r>
    </w:p>
    <w:p>
      <w:pPr>
        <w:pStyle w:val="BodyText"/>
      </w:pPr>
      <m:oMathPara>
        <m:oMathParaPr>
          <m:jc m:val="center"/>
        </m:oMathParaPr>
        <m:oMath>
          <m:sSub>
            <m:e>
              <m:r>
                <m:t>μ</m:t>
              </m:r>
            </m:e>
            <m:sub>
              <m:r>
                <m:t>k</m:t>
              </m:r>
            </m:sub>
          </m:sSub>
          <m:r>
            <m:rPr>
              <m:sty m:val="p"/>
            </m:rPr>
            <m:t>=</m:t>
          </m:r>
          <m:r>
            <m:rPr>
              <m:sty m:val="p"/>
            </m:rPr>
            <m:t>ln</m:t>
          </m:r>
          <m:sSub>
            <m:e>
              <m:r>
                <m:t>D</m:t>
              </m:r>
            </m:e>
            <m:sub>
              <m:r>
                <m:t>g</m:t>
              </m:r>
            </m:sub>
          </m:sSub>
          <m:r>
            <m:rPr>
              <m:sty m:val="p"/>
            </m:rPr>
            <m:t>+</m:t>
          </m:r>
          <m:r>
            <m:t>k</m:t>
          </m:r>
          <m:sSup>
            <m:e>
              <m:r>
                <m:rPr>
                  <m:sty m:val="p"/>
                </m:rPr>
                <m:t>ln</m:t>
              </m:r>
            </m:e>
            <m:sup>
              <m:r>
                <m:t>2</m:t>
              </m:r>
            </m:sup>
          </m:sSup>
          <m:sSub>
            <m:e>
              <m:r>
                <m:t>σ</m:t>
              </m:r>
            </m:e>
            <m:sub>
              <m:r>
                <m:t>g</m:t>
              </m:r>
            </m:sub>
          </m:sSub>
          <m:r>
            <m:rPr>
              <m:sty m:val="p"/>
            </m:rPr>
            <m:t>,</m:t>
          </m:r>
        </m:oMath>
      </m:oMathPara>
    </w:p>
    <w:p>
      <w:pPr>
        <w:pStyle w:val="FirstParagraph"/>
      </w:pPr>
      <w:r>
        <w:t xml:space="preserve">and the fraction of moment</w:t>
      </w:r>
      <w:r>
        <w:t xml:space="preserve"> </w:t>
      </w:r>
      <m:oMath>
        <m:r>
          <m:t>k</m:t>
        </m:r>
      </m:oMath>
      <w:r>
        <w:t xml:space="preserve"> </w:t>
      </w:r>
      <w:r>
        <w:t xml:space="preserve">within section</w:t>
      </w:r>
      <w:r>
        <w:t xml:space="preserve"> </w:t>
      </w:r>
      <m:oMath>
        <m:r>
          <m:rPr>
            <m:sty m:val="p"/>
          </m:rPr>
          <m:t>[</m:t>
        </m:r>
        <m:sSub>
          <m:e>
            <m:r>
              <m:t>D</m:t>
            </m:r>
          </m:e>
          <m:sub>
            <m:r>
              <m:t>l</m:t>
            </m:r>
          </m:sub>
        </m:sSub>
        <m:r>
          <m:rPr>
            <m:sty m:val="p"/>
          </m:rPr>
          <m:t>,</m:t>
        </m:r>
        <m:sSub>
          <m:e>
            <m:r>
              <m:t>D</m:t>
            </m:r>
          </m:e>
          <m:sub>
            <m:r>
              <m:t>u</m:t>
            </m:r>
          </m:sub>
        </m:sSub>
        <m:r>
          <m:rPr>
            <m:sty m:val="p"/>
          </m:rPr>
          <m:t>]</m:t>
        </m:r>
      </m:oMath>
      <w:r>
        <w:t xml:space="preserve"> </w:t>
      </w:r>
      <w:r>
        <w:t xml:space="preserve">as</w:t>
      </w:r>
    </w:p>
    <w:p>
      <w:pPr>
        <w:pStyle w:val="BodyText"/>
      </w:pPr>
      <m:oMathPara>
        <m:oMathParaPr>
          <m:jc m:val="center"/>
        </m:oMathParaPr>
        <m:oMath>
          <m:sSub>
            <m:e>
              <m:r>
                <m:t>w</m:t>
              </m:r>
            </m:e>
            <m:sub>
              <m:r>
                <m:t>k</m:t>
              </m:r>
            </m:sub>
          </m:sSub>
          <m:r>
            <m:rPr>
              <m:sty m:val="p"/>
            </m:rPr>
            <m:t>=</m:t>
          </m:r>
          <m:r>
            <m:rPr>
              <m:sty m:val="p"/>
            </m:rPr>
            <m:t>Φ</m:t>
          </m:r>
          <m:d>
            <m:dPr>
              <m:begChr m:val="("/>
              <m:sepChr m:val=""/>
              <m:endChr m:val=")"/>
              <m:grow/>
            </m:dPr>
            <m:e>
              <m:f>
                <m:fPr>
                  <m:type m:val="bar"/>
                </m:fPr>
                <m:num>
                  <m:r>
                    <m:rPr>
                      <m:sty m:val="p"/>
                    </m:rPr>
                    <m:t>ln</m:t>
                  </m:r>
                  <m:sSub>
                    <m:e>
                      <m:r>
                        <m:t>D</m:t>
                      </m:r>
                    </m:e>
                    <m:sub>
                      <m:r>
                        <m:t>u</m:t>
                      </m:r>
                    </m:sub>
                  </m:sSub>
                  <m:r>
                    <m:rPr>
                      <m:sty m:val="p"/>
                    </m:rPr>
                    <m:t>−</m:t>
                  </m:r>
                  <m:sSub>
                    <m:e>
                      <m:r>
                        <m:t>μ</m:t>
                      </m:r>
                    </m:e>
                    <m:sub>
                      <m:r>
                        <m:t>k</m:t>
                      </m:r>
                    </m:sub>
                  </m:sSub>
                </m:num>
                <m:den>
                  <m:r>
                    <m:rPr>
                      <m:sty m:val="p"/>
                    </m:rPr>
                    <m:t>ln</m:t>
                  </m:r>
                  <m:sSub>
                    <m:e>
                      <m:r>
                        <m:t>σ</m:t>
                      </m:r>
                    </m:e>
                    <m:sub>
                      <m:r>
                        <m:t>g</m:t>
                      </m:r>
                    </m:sub>
                  </m:sSub>
                </m:den>
              </m:f>
            </m:e>
          </m:d>
          <m:r>
            <m:rPr>
              <m:sty m:val="p"/>
            </m:rPr>
            <m:t>−</m:t>
          </m:r>
          <m:r>
            <m:rPr>
              <m:sty m:val="p"/>
            </m:rPr>
            <m:t>Φ</m:t>
          </m:r>
          <m:d>
            <m:dPr>
              <m:begChr m:val="("/>
              <m:sepChr m:val=""/>
              <m:endChr m:val=")"/>
              <m:grow/>
            </m:dPr>
            <m:e>
              <m:f>
                <m:fPr>
                  <m:type m:val="bar"/>
                </m:fPr>
                <m:num>
                  <m:r>
                    <m:rPr>
                      <m:sty m:val="p"/>
                    </m:rPr>
                    <m:t>ln</m:t>
                  </m:r>
                  <m:sSub>
                    <m:e>
                      <m:r>
                        <m:t>D</m:t>
                      </m:r>
                    </m:e>
                    <m:sub>
                      <m:r>
                        <m:t>l</m:t>
                      </m:r>
                    </m:sub>
                  </m:sSub>
                  <m:r>
                    <m:rPr>
                      <m:sty m:val="p"/>
                    </m:rPr>
                    <m:t>−</m:t>
                  </m:r>
                  <m:sSub>
                    <m:e>
                      <m:r>
                        <m:t>μ</m:t>
                      </m:r>
                    </m:e>
                    <m:sub>
                      <m:r>
                        <m:t>k</m:t>
                      </m:r>
                    </m:sub>
                  </m:sSub>
                </m:num>
                <m:den>
                  <m:r>
                    <m:rPr>
                      <m:sty m:val="p"/>
                    </m:rPr>
                    <m:t>ln</m:t>
                  </m:r>
                  <m:sSub>
                    <m:e>
                      <m:r>
                        <m:t>σ</m:t>
                      </m:r>
                    </m:e>
                    <m:sub>
                      <m:r>
                        <m:t>g</m:t>
                      </m:r>
                    </m:sub>
                  </m:sSub>
                </m:den>
              </m:f>
            </m:e>
          </m:d>
          <m:r>
            <m:rPr>
              <m:sty m:val="p"/>
            </m:rPr>
            <m:t>.</m:t>
          </m:r>
        </m:oMath>
      </m:oMathPara>
    </w:p>
    <w:p>
      <w:pPr>
        <w:pStyle w:val="FirstParagraph"/>
      </w:pPr>
      <w:r>
        <w:t xml:space="preserve">Number uses</w:t>
      </w:r>
      <w:r>
        <w:t xml:space="preserve"> </w:t>
      </w:r>
      <m:oMath>
        <m:sSub>
          <m:e>
            <m:r>
              <m:t>w</m:t>
            </m:r>
          </m:e>
          <m:sub>
            <m:r>
              <m:t>0</m:t>
            </m:r>
          </m:sub>
        </m:sSub>
      </m:oMath>
      <w:r>
        <w:t xml:space="preserve">; dry volume and species mass use</w:t>
      </w:r>
      <w:r>
        <w:t xml:space="preserve"> </w:t>
      </w:r>
      <m:oMath>
        <m:sSub>
          <m:e>
            <m:r>
              <m:t>w</m:t>
            </m:r>
          </m:e>
          <m:sub>
            <m:r>
              <m:t>3</m:t>
            </m:r>
          </m:sub>
        </m:sSub>
      </m:oMath>
      <w:r>
        <w:t xml:space="preserve">. The represented support is harmonized and the two sets of weights are normalized separately, which avoids the common error of forcing one weighting function to conserve both number and volume.</w:t>
      </w:r>
    </w:p>
    <w:p>
      <w:pPr>
        <w:pStyle w:val="BodyText"/>
      </w:pPr>
      <w:r>
        <w:t xml:space="preserve">Where a physical number flux</w:t>
      </w:r>
      <w:r>
        <w:t xml:space="preserve"> </w:t>
      </w:r>
      <m:oMath>
        <m:sSub>
          <m:e>
            <m:r>
              <m:t>F</m:t>
            </m:r>
          </m:e>
          <m:sub>
            <m:r>
              <m:t>N</m:t>
            </m:r>
          </m:sub>
        </m:sSub>
      </m:oMath>
      <w:r>
        <w:t xml:space="preserve"> </w:t>
      </w:r>
      <w:r>
        <w:t xml:space="preserve">and dry-volume flux</w:t>
      </w:r>
      <w:r>
        <w:t xml:space="preserve"> </w:t>
      </w:r>
      <m:oMath>
        <m:sSub>
          <m:e>
            <m:r>
              <m:t>F</m:t>
            </m:r>
          </m:e>
          <m:sub>
            <m:r>
              <m:t>V</m:t>
            </m:r>
          </m:sub>
        </m:sSub>
      </m:oMath>
      <w:r>
        <w:t xml:space="preserve"> </w:t>
      </w:r>
      <w:r>
        <w:t xml:space="preserve">are both available, the model diagnoses the source median diameter:</w:t>
      </w:r>
    </w:p>
    <w:p>
      <w:pPr>
        <w:pStyle w:val="BodyText"/>
      </w:pPr>
      <m:oMathPara>
        <m:oMathParaPr>
          <m:jc m:val="center"/>
        </m:oMathParaPr>
        <m:oMath>
          <m:sSub>
            <m:e>
              <m:r>
                <m:t>D</m:t>
              </m:r>
            </m:e>
            <m:sub>
              <m:r>
                <m:t>g</m:t>
              </m:r>
            </m:sub>
          </m:sSub>
          <m:r>
            <m:rPr>
              <m:sty m:val="p"/>
            </m:rPr>
            <m:t>=</m:t>
          </m:r>
          <m:sSup>
            <m:e>
              <m:d>
                <m:dPr>
                  <m:begChr m:val="["/>
                  <m:sepChr m:val=""/>
                  <m:endChr m:val="]"/>
                  <m:grow/>
                </m:dPr>
                <m:e>
                  <m:f>
                    <m:fPr>
                      <m:type m:val="bar"/>
                    </m:fPr>
                    <m:num>
                      <m:sSub>
                        <m:e>
                          <m:r>
                            <m:t>F</m:t>
                          </m:r>
                        </m:e>
                        <m:sub>
                          <m:r>
                            <m:t>V</m:t>
                          </m:r>
                        </m:sub>
                      </m:sSub>
                    </m:num>
                    <m:den>
                      <m:sSub>
                        <m:e>
                          <m:r>
                            <m:t>F</m:t>
                          </m:r>
                        </m:e>
                        <m:sub>
                          <m:r>
                            <m:t>N</m:t>
                          </m:r>
                        </m:sub>
                      </m:sSub>
                      <m:r>
                        <m:rPr>
                          <m:sty m:val="p"/>
                        </m:rPr>
                        <m:t>(</m:t>
                      </m:r>
                      <m:r>
                        <m:t>π</m:t>
                      </m:r>
                      <m:r>
                        <m:rPr>
                          <m:sty m:val="p"/>
                        </m:rPr>
                        <m:t>/</m:t>
                      </m:r>
                      <m:r>
                        <m:t>6</m:t>
                      </m:r>
                      <m:r>
                        <m:rPr>
                          <m:sty m:val="p"/>
                        </m:rPr>
                        <m:t>)</m:t>
                      </m:r>
                      <m:r>
                        <m:rPr>
                          <m:sty m:val="p"/>
                        </m:rPr>
                        <m:t>exp</m:t>
                      </m:r>
                      <m:r>
                        <m:rPr>
                          <m:sty m:val="p"/>
                        </m:rPr>
                        <m:t>(</m:t>
                      </m:r>
                      <m:r>
                        <m:t>4.5</m:t>
                      </m:r>
                      <m:sSup>
                        <m:e>
                          <m:r>
                            <m:rPr>
                              <m:sty m:val="p"/>
                            </m:rPr>
                            <m:t>ln</m:t>
                          </m:r>
                        </m:e>
                        <m:sup>
                          <m:r>
                            <m:t>2</m:t>
                          </m:r>
                        </m:sup>
                      </m:sSup>
                      <m:sSub>
                        <m:e>
                          <m:r>
                            <m:t>σ</m:t>
                          </m:r>
                        </m:e>
                        <m:sub>
                          <m:r>
                            <m:t>g</m:t>
                          </m:r>
                        </m:sub>
                      </m:sSub>
                      <m:r>
                        <m:rPr>
                          <m:sty m:val="p"/>
                        </m:rPr>
                        <m:t>)</m:t>
                      </m:r>
                    </m:den>
                  </m:f>
                </m:e>
              </m:d>
            </m:e>
            <m:sup>
              <m:r>
                <m:t>1</m:t>
              </m:r>
              <m:r>
                <m:rPr>
                  <m:sty m:val="p"/>
                </m:rPr>
                <m:t>/</m:t>
              </m:r>
              <m:r>
                <m:t>3</m:t>
              </m:r>
            </m:sup>
          </m:sSup>
          <m:r>
            <m:rPr>
              <m:sty m:val="p"/>
            </m:rPr>
            <m:t>.</m:t>
          </m:r>
        </m:oMath>
      </m:oMathPara>
    </w:p>
    <w:p>
      <w:pPr>
        <w:pStyle w:val="FirstParagraph"/>
      </w:pPr>
      <w:r>
        <w:t xml:space="preserve">Species that belong to one physical emitted population share that population’s number flux. For example, sea-salt mass is split between</w:t>
      </w:r>
      <w:r>
        <w:t xml:space="preserve"> </w:t>
      </w:r>
      <w:r>
        <w:rPr>
          <w:rStyle w:val="VerbatimChar"/>
        </w:rPr>
        <w:t xml:space="preserve">PNA</w:t>
      </w:r>
      <w:r>
        <w:t xml:space="preserve"> </w:t>
      </w:r>
      <w:r>
        <w:t xml:space="preserve">and</w:t>
      </w:r>
      <w:r>
        <w:t xml:space="preserve"> </w:t>
      </w:r>
      <w:r>
        <w:rPr>
          <w:rStyle w:val="VerbatimChar"/>
        </w:rPr>
        <w:t xml:space="preserve">PHCL</w:t>
      </w:r>
      <w:r>
        <w:t xml:space="preserve">, but number is not duplicated; likewise the fire BC and POM maps are treated as members of the same emitted population for number allocation. Direct sectional dust and sea-salt producers bypass the corresponding legacy modal source when their native sectional number/mass source is active. Aircraft, biomass-burning, and volcanic pathways are routed through their production physics-buffer fields.</w:t>
      </w:r>
    </w:p>
    <w:p>
      <w:pPr>
        <w:pStyle w:val="BodyText"/>
      </w:pPr>
      <w:r>
        <w:rPr>
          <w:b/>
          <w:bCs/>
        </w:rPr>
        <w:t xml:space="preserve">Table S5. Production aerosol-emission mapping.</w:t>
      </w:r>
      <w:r>
        <w:t xml:space="preserve"> </w:t>
      </w:r>
      <w:r>
        <w:rPr>
          <w:rStyle w:val="VerbatimChar"/>
        </w:rPr>
        <w:t xml:space="preserve">dg_um</w:t>
      </w:r>
      <w:r>
        <w:t xml:space="preserve"> </w:t>
      </w:r>
      <w:r>
        <w:t xml:space="preserve">and</w:t>
      </w:r>
      <w:r>
        <w:t xml:space="preserve"> </w:t>
      </w:r>
      <w:r>
        <w:rPr>
          <w:rStyle w:val="VerbatimChar"/>
        </w:rPr>
        <w:t xml:space="preserve">sigma_g</w:t>
      </w:r>
      <w:r>
        <w:t xml:space="preserve"> </w:t>
      </w:r>
      <w:r>
        <w:t xml:space="preserve">are source-distribution parameters when modal/lognormal mapping is used;</w:t>
      </w:r>
      <w:r>
        <w:t xml:space="preserve"> </w:t>
      </w:r>
      <w:r>
        <w:rPr>
          <w:rStyle w:val="VerbatimChar"/>
        </w:rPr>
        <w:t xml:space="preserve">allocation_fraction</w:t>
      </w:r>
      <w:r>
        <w:t xml:space="preserve"> </w:t>
      </w:r>
      <w:r>
        <w:t xml:space="preserve">partitions source mass, whereas physical particle number is shared within source groups.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CESM source</w:t>
            </w:r>
          </w:p>
        </w:tc>
        <w:tc>
          <w:tcPr/>
          <w:p>
            <w:pPr>
              <w:pStyle w:val="Compact"/>
            </w:pPr>
            <w:r>
              <w:t xml:space="preserve">SCRAM species</w:t>
            </w:r>
          </w:p>
        </w:tc>
        <w:tc>
          <w:tcPr/>
          <w:p>
            <w:pPr>
              <w:pStyle w:val="Compact"/>
            </w:pPr>
            <w:r>
              <w:t xml:space="preserve">Dg (µm)</w:t>
            </w:r>
          </w:p>
        </w:tc>
        <w:tc>
          <w:tcPr/>
          <w:p>
            <w:pPr>
              <w:pStyle w:val="Compact"/>
            </w:pPr>
            <w:r>
              <w:t xml:space="preserve">σg</w:t>
            </w:r>
          </w:p>
        </w:tc>
        <w:tc>
          <w:tcPr/>
          <w:p>
            <w:pPr>
              <w:pStyle w:val="Compact"/>
            </w:pPr>
            <w:r>
              <w:t xml:space="preserve">mass fraction</w:t>
            </w:r>
          </w:p>
        </w:tc>
        <w:tc>
          <w:tcPr/>
          <w:p>
            <w:pPr>
              <w:pStyle w:val="Compact"/>
            </w:pPr>
            <w:r>
              <w:t xml:space="preserve">source type</w:t>
            </w:r>
          </w:p>
        </w:tc>
        <w:tc>
          <w:tcPr/>
          <w:p>
            <w:pPr>
              <w:pStyle w:val="Compact"/>
            </w:pPr>
            <w:r>
              <w:t xml:space="preserve">auxiliary field</w:t>
            </w:r>
          </w:p>
        </w:tc>
      </w:tr>
      <w:tr>
        <w:tc>
          <w:tcPr/>
          <w:p>
            <w:pPr>
              <w:pStyle w:val="Compact"/>
            </w:pPr>
            <w:r>
              <w:t xml:space="preserve">so4_a1</w:t>
            </w:r>
          </w:p>
        </w:tc>
        <w:tc>
          <w:tcPr/>
          <w:p>
            <w:pPr>
              <w:pStyle w:val="Compact"/>
            </w:pPr>
            <w:r>
              <w:t xml:space="preserve">PSO4</w:t>
            </w:r>
          </w:p>
        </w:tc>
        <w:tc>
          <w:tcPr/>
          <w:p>
            <w:pPr>
              <w:pStyle w:val="Compact"/>
            </w:pPr>
            <w:r>
              <w:t xml:space="preserve">0.15</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bc_a1</w:t>
            </w:r>
          </w:p>
        </w:tc>
        <w:tc>
          <w:tcPr/>
          <w:p>
            <w:pPr>
              <w:pStyle w:val="Compact"/>
            </w:pPr>
            <w:r>
              <w:t xml:space="preserve">PBC</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soa1_a1</w:t>
            </w:r>
          </w:p>
        </w:tc>
        <w:tc>
          <w:tcPr/>
          <w:p>
            <w:pPr>
              <w:pStyle w:val="Compact"/>
            </w:pPr>
            <w:r>
              <w:t xml:space="preserve">PSOA1P</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soa2_a1</w:t>
            </w:r>
          </w:p>
        </w:tc>
        <w:tc>
          <w:tcPr/>
          <w:p>
            <w:pPr>
              <w:pStyle w:val="Compact"/>
            </w:pPr>
            <w:r>
              <w:t xml:space="preserve">PSOA2P</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soa3_a1</w:t>
            </w:r>
          </w:p>
        </w:tc>
        <w:tc>
          <w:tcPr/>
          <w:p>
            <w:pPr>
              <w:pStyle w:val="Compact"/>
            </w:pPr>
            <w:r>
              <w:t xml:space="preserve">PSOA3P</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soa4_a1</w:t>
            </w:r>
          </w:p>
        </w:tc>
        <w:tc>
          <w:tcPr/>
          <w:p>
            <w:pPr>
              <w:pStyle w:val="Compact"/>
            </w:pPr>
            <w:r>
              <w:t xml:space="preserve">PSOA4P</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soa5_a1</w:t>
            </w:r>
          </w:p>
        </w:tc>
        <w:tc>
          <w:tcPr/>
          <w:p>
            <w:pPr>
              <w:pStyle w:val="Compact"/>
            </w:pPr>
            <w:r>
              <w:t xml:space="preserve">PSOA5P</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pom_a1</w:t>
            </w:r>
          </w:p>
        </w:tc>
        <w:tc>
          <w:tcPr/>
          <w:p>
            <w:pPr>
              <w:pStyle w:val="Compact"/>
            </w:pPr>
            <w:r>
              <w:t xml:space="preserve">PPOAlP</w:t>
            </w:r>
          </w:p>
        </w:tc>
        <w:tc>
          <w:tcPr/>
          <w:p>
            <w:pPr>
              <w:pStyle w:val="Compact"/>
            </w:pPr>
            <w:r>
              <w:t xml:space="preserve">0.11</w:t>
            </w:r>
          </w:p>
        </w:tc>
        <w:tc>
          <w:tcPr/>
          <w:p>
            <w:pPr>
              <w:pStyle w:val="Compact"/>
            </w:pPr>
            <w:r>
              <w:t xml:space="preserve">1.6</w:t>
            </w:r>
          </w:p>
        </w:tc>
        <w:tc>
          <w:tcPr/>
          <w:p>
            <w:pPr>
              <w:pStyle w:val="Compact"/>
            </w:pPr>
            <w:r>
              <w:t xml:space="preserve">1.00</w:t>
            </w:r>
          </w:p>
        </w:tc>
        <w:tc>
          <w:tcPr/>
          <w:p>
            <w:pPr>
              <w:pStyle w:val="Compact"/>
            </w:pPr>
            <w:r>
              <w:t xml:space="preserve">surface_flux</w:t>
            </w:r>
          </w:p>
        </w:tc>
        <w:tc>
          <w:tcPr/>
          <w:p>
            <w:pPr>
              <w:pStyle w:val="Compact"/>
            </w:pPr>
          </w:p>
        </w:tc>
      </w:tr>
      <w:tr>
        <w:tc>
          <w:tcPr/>
          <w:p>
            <w:pPr>
              <w:pStyle w:val="Compact"/>
            </w:pPr>
            <w:r>
              <w:t xml:space="preserve">so4_a2</w:t>
            </w:r>
          </w:p>
        </w:tc>
        <w:tc>
          <w:tcPr/>
          <w:p>
            <w:pPr>
              <w:pStyle w:val="Compact"/>
            </w:pPr>
            <w:r>
              <w:t xml:space="preserve">PSO4</w:t>
            </w:r>
          </w:p>
        </w:tc>
        <w:tc>
          <w:tcPr/>
          <w:p>
            <w:pPr>
              <w:pStyle w:val="Compact"/>
            </w:pPr>
            <w:r>
              <w:t xml:space="preserve">0.05</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soa1_a2</w:t>
            </w:r>
          </w:p>
        </w:tc>
        <w:tc>
          <w:tcPr/>
          <w:p>
            <w:pPr>
              <w:pStyle w:val="Compact"/>
            </w:pPr>
            <w:r>
              <w:t xml:space="preserve">PSOA1P</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soa2_a2</w:t>
            </w:r>
          </w:p>
        </w:tc>
        <w:tc>
          <w:tcPr/>
          <w:p>
            <w:pPr>
              <w:pStyle w:val="Compact"/>
            </w:pPr>
            <w:r>
              <w:t xml:space="preserve">PSOA2P</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soa3_a2</w:t>
            </w:r>
          </w:p>
        </w:tc>
        <w:tc>
          <w:tcPr/>
          <w:p>
            <w:pPr>
              <w:pStyle w:val="Compact"/>
            </w:pPr>
            <w:r>
              <w:t xml:space="preserve">PSOA3P</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soa4_a2</w:t>
            </w:r>
          </w:p>
        </w:tc>
        <w:tc>
          <w:tcPr/>
          <w:p>
            <w:pPr>
              <w:pStyle w:val="Compact"/>
            </w:pPr>
            <w:r>
              <w:t xml:space="preserve">PSOA4P</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soa5_a2</w:t>
            </w:r>
          </w:p>
        </w:tc>
        <w:tc>
          <w:tcPr/>
          <w:p>
            <w:pPr>
              <w:pStyle w:val="Compact"/>
            </w:pPr>
            <w:r>
              <w:t xml:space="preserve">PSOA5P</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so4_a3</w:t>
            </w:r>
          </w:p>
        </w:tc>
        <w:tc>
          <w:tcPr/>
          <w:p>
            <w:pPr>
              <w:pStyle w:val="Compact"/>
            </w:pPr>
            <w:r>
              <w:t xml:space="preserve">PSO4</w:t>
            </w:r>
          </w:p>
        </w:tc>
        <w:tc>
          <w:tcPr/>
          <w:p>
            <w:pPr>
              <w:pStyle w:val="Compact"/>
            </w:pPr>
            <w:r>
              <w:t xml:space="preserve">0.90</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dst_a3</w:t>
            </w:r>
          </w:p>
        </w:tc>
        <w:tc>
          <w:tcPr/>
          <w:p>
            <w:pPr>
              <w:pStyle w:val="Compact"/>
            </w:pPr>
            <w:r>
              <w:t xml:space="preserve">PMD</w:t>
            </w:r>
          </w:p>
        </w:tc>
        <w:tc>
          <w:tcPr/>
          <w:p>
            <w:pPr>
              <w:pStyle w:val="Compact"/>
            </w:pPr>
            <w:r>
              <w:t xml:space="preserve">0.90</w:t>
            </w:r>
          </w:p>
        </w:tc>
        <w:tc>
          <w:tcPr/>
          <w:p>
            <w:pPr>
              <w:pStyle w:val="Compact"/>
            </w:pPr>
            <w:r>
              <w:t xml:space="preserve">1.87</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bc_a4</w:t>
            </w:r>
          </w:p>
        </w:tc>
        <w:tc>
          <w:tcPr/>
          <w:p>
            <w:pPr>
              <w:pStyle w:val="Compact"/>
            </w:pPr>
            <w:r>
              <w:t xml:space="preserve">PBC</w:t>
            </w:r>
          </w:p>
        </w:tc>
        <w:tc>
          <w:tcPr/>
          <w:p>
            <w:pPr>
              <w:pStyle w:val="Compact"/>
            </w:pPr>
            <w:r>
              <w:t xml:space="preserve">0.10</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pom_a4</w:t>
            </w:r>
          </w:p>
        </w:tc>
        <w:tc>
          <w:tcPr/>
          <w:p>
            <w:pPr>
              <w:pStyle w:val="Compact"/>
            </w:pPr>
            <w:r>
              <w:t xml:space="preserve">PPOAlP</w:t>
            </w:r>
          </w:p>
        </w:tc>
        <w:tc>
          <w:tcPr/>
          <w:p>
            <w:pPr>
              <w:pStyle w:val="Compact"/>
            </w:pPr>
            <w:r>
              <w:t xml:space="preserve">0.10</w:t>
            </w:r>
          </w:p>
        </w:tc>
        <w:tc>
          <w:tcPr/>
          <w:p>
            <w:pPr>
              <w:pStyle w:val="Compact"/>
            </w:pPr>
            <w:r>
              <w:t xml:space="preserve">1.6</w:t>
            </w:r>
          </w:p>
        </w:tc>
        <w:tc>
          <w:tcPr/>
          <w:p>
            <w:pPr>
              <w:pStyle w:val="Compact"/>
            </w:pPr>
            <w:r>
              <w:t xml:space="preserve">1.00</w:t>
            </w:r>
          </w:p>
        </w:tc>
        <w:tc>
          <w:tcPr/>
          <w:p>
            <w:pPr>
              <w:pStyle w:val="Compact"/>
            </w:pPr>
            <w:r>
              <w:t xml:space="preserve">surface_flux</w:t>
            </w:r>
          </w:p>
        </w:tc>
        <w:tc>
          <w:tcPr/>
          <w:p>
            <w:pPr>
              <w:pStyle w:val="Compact"/>
            </w:pPr>
          </w:p>
        </w:tc>
      </w:tr>
      <w:tr>
        <w:tc>
          <w:tcPr/>
          <w:p>
            <w:pPr>
              <w:pStyle w:val="Compact"/>
            </w:pPr>
            <w:r>
              <w:t xml:space="preserve">dst_a1</w:t>
            </w:r>
          </w:p>
        </w:tc>
        <w:tc>
          <w:tcPr/>
          <w:p>
            <w:pPr>
              <w:pStyle w:val="Compact"/>
            </w:pPr>
            <w:r>
              <w:t xml:space="preserve">PMD</w:t>
            </w:r>
          </w:p>
        </w:tc>
        <w:tc>
          <w:tcPr/>
          <w:p>
            <w:pPr>
              <w:pStyle w:val="Compact"/>
            </w:pPr>
            <w:r>
              <w:t xml:space="preserve">0.11</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dst_a2</w:t>
            </w:r>
          </w:p>
        </w:tc>
        <w:tc>
          <w:tcPr/>
          <w:p>
            <w:pPr>
              <w:pStyle w:val="Compact"/>
            </w:pPr>
            <w:r>
              <w:t xml:space="preserve">PMD</w:t>
            </w:r>
          </w:p>
        </w:tc>
        <w:tc>
          <w:tcPr/>
          <w:p>
            <w:pPr>
              <w:pStyle w:val="Compact"/>
            </w:pPr>
            <w:r>
              <w:t xml:space="preserve">0.026</w:t>
            </w:r>
          </w:p>
        </w:tc>
        <w:tc>
          <w:tcPr/>
          <w:p>
            <w:pPr>
              <w:pStyle w:val="Compact"/>
            </w:pPr>
            <w:r>
              <w:t xml:space="preserve">1.6</w:t>
            </w:r>
          </w:p>
        </w:tc>
        <w:tc>
          <w:tcPr/>
          <w:p>
            <w:pPr>
              <w:pStyle w:val="Compact"/>
            </w:pPr>
            <w:r>
              <w:t xml:space="preserve">1.0</w:t>
            </w:r>
          </w:p>
        </w:tc>
        <w:tc>
          <w:tcPr/>
          <w:p>
            <w:pPr>
              <w:pStyle w:val="Compact"/>
            </w:pPr>
            <w:r>
              <w:t xml:space="preserve">surface_flux</w:t>
            </w:r>
          </w:p>
        </w:tc>
        <w:tc>
          <w:tcPr/>
          <w:p>
            <w:pPr>
              <w:pStyle w:val="Compact"/>
            </w:pPr>
          </w:p>
        </w:tc>
      </w:tr>
      <w:tr>
        <w:tc>
          <w:tcPr/>
          <w:p>
            <w:pPr>
              <w:pStyle w:val="Compact"/>
            </w:pPr>
            <w:r>
              <w:t xml:space="preserve">ncl_a1</w:t>
            </w:r>
          </w:p>
        </w:tc>
        <w:tc>
          <w:tcPr/>
          <w:p>
            <w:pPr>
              <w:pStyle w:val="Compact"/>
            </w:pPr>
            <w:r>
              <w:t xml:space="preserve">PNA</w:t>
            </w:r>
          </w:p>
        </w:tc>
        <w:tc>
          <w:tcPr/>
          <w:p>
            <w:pPr>
              <w:pStyle w:val="Compact"/>
            </w:pPr>
            <w:r>
              <w:t xml:space="preserve">0.11</w:t>
            </w:r>
          </w:p>
        </w:tc>
        <w:tc>
          <w:tcPr/>
          <w:p>
            <w:pPr>
              <w:pStyle w:val="Compact"/>
            </w:pPr>
            <w:r>
              <w:t xml:space="preserve">1.6</w:t>
            </w:r>
          </w:p>
        </w:tc>
        <w:tc>
          <w:tcPr/>
          <w:p>
            <w:pPr>
              <w:pStyle w:val="Compact"/>
            </w:pPr>
            <w:r>
              <w:t xml:space="preserve">0.3866</w:t>
            </w:r>
          </w:p>
        </w:tc>
        <w:tc>
          <w:tcPr/>
          <w:p>
            <w:pPr>
              <w:pStyle w:val="Compact"/>
            </w:pPr>
            <w:r>
              <w:t xml:space="preserve">surface_flux</w:t>
            </w:r>
          </w:p>
        </w:tc>
        <w:tc>
          <w:tcPr/>
          <w:p>
            <w:pPr>
              <w:pStyle w:val="Compact"/>
            </w:pPr>
          </w:p>
        </w:tc>
      </w:tr>
      <w:tr>
        <w:tc>
          <w:tcPr/>
          <w:p>
            <w:pPr>
              <w:pStyle w:val="Compact"/>
            </w:pPr>
            <w:r>
              <w:t xml:space="preserve">ncl_a1</w:t>
            </w:r>
          </w:p>
        </w:tc>
        <w:tc>
          <w:tcPr/>
          <w:p>
            <w:pPr>
              <w:pStyle w:val="Compact"/>
            </w:pPr>
            <w:r>
              <w:t xml:space="preserve">PHCL</w:t>
            </w:r>
          </w:p>
        </w:tc>
        <w:tc>
          <w:tcPr/>
          <w:p>
            <w:pPr>
              <w:pStyle w:val="Compact"/>
            </w:pPr>
            <w:r>
              <w:t xml:space="preserve">0.11</w:t>
            </w:r>
          </w:p>
        </w:tc>
        <w:tc>
          <w:tcPr/>
          <w:p>
            <w:pPr>
              <w:pStyle w:val="Compact"/>
            </w:pPr>
            <w:r>
              <w:t xml:space="preserve">1.6</w:t>
            </w:r>
          </w:p>
        </w:tc>
        <w:tc>
          <w:tcPr/>
          <w:p>
            <w:pPr>
              <w:pStyle w:val="Compact"/>
            </w:pPr>
            <w:r>
              <w:t xml:space="preserve">0.6134</w:t>
            </w:r>
          </w:p>
        </w:tc>
        <w:tc>
          <w:tcPr/>
          <w:p>
            <w:pPr>
              <w:pStyle w:val="Compact"/>
            </w:pPr>
            <w:r>
              <w:t xml:space="preserve">surface_flux</w:t>
            </w:r>
          </w:p>
        </w:tc>
        <w:tc>
          <w:tcPr/>
          <w:p>
            <w:pPr>
              <w:pStyle w:val="Compact"/>
            </w:pPr>
          </w:p>
        </w:tc>
      </w:tr>
      <w:tr>
        <w:tc>
          <w:tcPr/>
          <w:p>
            <w:pPr>
              <w:pStyle w:val="Compact"/>
            </w:pPr>
            <w:r>
              <w:t xml:space="preserve">ncl_a2</w:t>
            </w:r>
          </w:p>
        </w:tc>
        <w:tc>
          <w:tcPr/>
          <w:p>
            <w:pPr>
              <w:pStyle w:val="Compact"/>
            </w:pPr>
            <w:r>
              <w:t xml:space="preserve">PNA</w:t>
            </w:r>
          </w:p>
        </w:tc>
        <w:tc>
          <w:tcPr/>
          <w:p>
            <w:pPr>
              <w:pStyle w:val="Compact"/>
            </w:pPr>
            <w:r>
              <w:t xml:space="preserve">0.026</w:t>
            </w:r>
          </w:p>
        </w:tc>
        <w:tc>
          <w:tcPr/>
          <w:p>
            <w:pPr>
              <w:pStyle w:val="Compact"/>
            </w:pPr>
            <w:r>
              <w:t xml:space="preserve">1.6</w:t>
            </w:r>
          </w:p>
        </w:tc>
        <w:tc>
          <w:tcPr/>
          <w:p>
            <w:pPr>
              <w:pStyle w:val="Compact"/>
            </w:pPr>
            <w:r>
              <w:t xml:space="preserve">0.3866</w:t>
            </w:r>
          </w:p>
        </w:tc>
        <w:tc>
          <w:tcPr/>
          <w:p>
            <w:pPr>
              <w:pStyle w:val="Compact"/>
            </w:pPr>
            <w:r>
              <w:t xml:space="preserve">surface_flux</w:t>
            </w:r>
          </w:p>
        </w:tc>
        <w:tc>
          <w:tcPr/>
          <w:p>
            <w:pPr>
              <w:pStyle w:val="Compact"/>
            </w:pPr>
          </w:p>
        </w:tc>
      </w:tr>
      <w:tr>
        <w:tc>
          <w:tcPr/>
          <w:p>
            <w:pPr>
              <w:pStyle w:val="Compact"/>
            </w:pPr>
            <w:r>
              <w:t xml:space="preserve">ncl_a2</w:t>
            </w:r>
          </w:p>
        </w:tc>
        <w:tc>
          <w:tcPr/>
          <w:p>
            <w:pPr>
              <w:pStyle w:val="Compact"/>
            </w:pPr>
            <w:r>
              <w:t xml:space="preserve">PHCL</w:t>
            </w:r>
          </w:p>
        </w:tc>
        <w:tc>
          <w:tcPr/>
          <w:p>
            <w:pPr>
              <w:pStyle w:val="Compact"/>
            </w:pPr>
            <w:r>
              <w:t xml:space="preserve">0.026</w:t>
            </w:r>
          </w:p>
        </w:tc>
        <w:tc>
          <w:tcPr/>
          <w:p>
            <w:pPr>
              <w:pStyle w:val="Compact"/>
            </w:pPr>
            <w:r>
              <w:t xml:space="preserve">1.6</w:t>
            </w:r>
          </w:p>
        </w:tc>
        <w:tc>
          <w:tcPr/>
          <w:p>
            <w:pPr>
              <w:pStyle w:val="Compact"/>
            </w:pPr>
            <w:r>
              <w:t xml:space="preserve">0.6134</w:t>
            </w:r>
          </w:p>
        </w:tc>
        <w:tc>
          <w:tcPr/>
          <w:p>
            <w:pPr>
              <w:pStyle w:val="Compact"/>
            </w:pPr>
            <w:r>
              <w:t xml:space="preserve">surface_flux</w:t>
            </w:r>
          </w:p>
        </w:tc>
        <w:tc>
          <w:tcPr/>
          <w:p>
            <w:pPr>
              <w:pStyle w:val="Compact"/>
            </w:pPr>
          </w:p>
        </w:tc>
      </w:tr>
      <w:tr>
        <w:tc>
          <w:tcPr/>
          <w:p>
            <w:pPr>
              <w:pStyle w:val="Compact"/>
            </w:pPr>
            <w:r>
              <w:t xml:space="preserve">ncl_a3</w:t>
            </w:r>
          </w:p>
        </w:tc>
        <w:tc>
          <w:tcPr/>
          <w:p>
            <w:pPr>
              <w:pStyle w:val="Compact"/>
            </w:pPr>
            <w:r>
              <w:t xml:space="preserve">PNA</w:t>
            </w:r>
          </w:p>
        </w:tc>
        <w:tc>
          <w:tcPr/>
          <w:p>
            <w:pPr>
              <w:pStyle w:val="Compact"/>
            </w:pPr>
            <w:r>
              <w:t xml:space="preserve">0.90</w:t>
            </w:r>
          </w:p>
        </w:tc>
        <w:tc>
          <w:tcPr/>
          <w:p>
            <w:pPr>
              <w:pStyle w:val="Compact"/>
            </w:pPr>
            <w:r>
              <w:t xml:space="preserve">1.7</w:t>
            </w:r>
          </w:p>
        </w:tc>
        <w:tc>
          <w:tcPr/>
          <w:p>
            <w:pPr>
              <w:pStyle w:val="Compact"/>
            </w:pPr>
            <w:r>
              <w:t xml:space="preserve">0.3866</w:t>
            </w:r>
          </w:p>
        </w:tc>
        <w:tc>
          <w:tcPr/>
          <w:p>
            <w:pPr>
              <w:pStyle w:val="Compact"/>
            </w:pPr>
            <w:r>
              <w:t xml:space="preserve">surface_flux</w:t>
            </w:r>
          </w:p>
        </w:tc>
        <w:tc>
          <w:tcPr/>
          <w:p>
            <w:pPr>
              <w:pStyle w:val="Compact"/>
            </w:pPr>
          </w:p>
        </w:tc>
      </w:tr>
      <w:tr>
        <w:tc>
          <w:tcPr/>
          <w:p>
            <w:pPr>
              <w:pStyle w:val="Compact"/>
            </w:pPr>
            <w:r>
              <w:t xml:space="preserve">ncl_a3</w:t>
            </w:r>
          </w:p>
        </w:tc>
        <w:tc>
          <w:tcPr/>
          <w:p>
            <w:pPr>
              <w:pStyle w:val="Compact"/>
            </w:pPr>
            <w:r>
              <w:t xml:space="preserve">PHCL</w:t>
            </w:r>
          </w:p>
        </w:tc>
        <w:tc>
          <w:tcPr/>
          <w:p>
            <w:pPr>
              <w:pStyle w:val="Compact"/>
            </w:pPr>
            <w:r>
              <w:t xml:space="preserve">0.90</w:t>
            </w:r>
          </w:p>
        </w:tc>
        <w:tc>
          <w:tcPr/>
          <w:p>
            <w:pPr>
              <w:pStyle w:val="Compact"/>
            </w:pPr>
            <w:r>
              <w:t xml:space="preserve">1.7</w:t>
            </w:r>
          </w:p>
        </w:tc>
        <w:tc>
          <w:tcPr/>
          <w:p>
            <w:pPr>
              <w:pStyle w:val="Compact"/>
            </w:pPr>
            <w:r>
              <w:t xml:space="preserve">0.6134</w:t>
            </w:r>
          </w:p>
        </w:tc>
        <w:tc>
          <w:tcPr/>
          <w:p>
            <w:pPr>
              <w:pStyle w:val="Compact"/>
            </w:pPr>
            <w:r>
              <w:t xml:space="preserve">surface_flux</w:t>
            </w:r>
          </w:p>
        </w:tc>
        <w:tc>
          <w:tcPr/>
          <w:p>
            <w:pPr>
              <w:pStyle w:val="Compact"/>
            </w:pPr>
          </w:p>
        </w:tc>
      </w:tr>
      <w:tr>
        <w:tc>
          <w:tcPr/>
          <w:p>
            <w:pPr>
              <w:pStyle w:val="Compact"/>
            </w:pPr>
            <w:r>
              <w:t xml:space="preserve">ac_PMNV</w:t>
            </w:r>
          </w:p>
        </w:tc>
        <w:tc>
          <w:tcPr/>
          <w:p>
            <w:pPr>
              <w:pStyle w:val="Compact"/>
            </w:pPr>
            <w:r>
              <w:t xml:space="preserve">PBC</w:t>
            </w:r>
          </w:p>
        </w:tc>
        <w:tc>
          <w:tcPr/>
          <w:p>
            <w:pPr>
              <w:pStyle w:val="Compact"/>
            </w:pPr>
            <w:r>
              <w:t xml:space="preserve">0.05</w:t>
            </w:r>
          </w:p>
        </w:tc>
        <w:tc>
          <w:tcPr/>
          <w:p>
            <w:pPr>
              <w:pStyle w:val="Compact"/>
            </w:pPr>
            <w:r>
              <w:t xml:space="preserve">1.8</w:t>
            </w:r>
          </w:p>
        </w:tc>
        <w:tc>
          <w:tcPr/>
          <w:p>
            <w:pPr>
              <w:pStyle w:val="Compact"/>
            </w:pPr>
            <w:r>
              <w:t xml:space="preserve">1.00</w:t>
            </w:r>
          </w:p>
        </w:tc>
        <w:tc>
          <w:tcPr/>
          <w:p>
            <w:pPr>
              <w:pStyle w:val="Compact"/>
            </w:pPr>
            <w:r>
              <w:t xml:space="preserve">pbuf_tend</w:t>
            </w:r>
          </w:p>
        </w:tc>
        <w:tc>
          <w:tcPr/>
          <w:p>
            <w:pPr>
              <w:pStyle w:val="Compact"/>
            </w:pPr>
          </w:p>
        </w:tc>
      </w:tr>
      <w:tr>
        <w:tc>
          <w:tcPr/>
          <w:p>
            <w:pPr>
              <w:pStyle w:val="Compact"/>
            </w:pPr>
            <w:r>
              <w:t xml:space="preserve">ac_PMSO</w:t>
            </w:r>
          </w:p>
        </w:tc>
        <w:tc>
          <w:tcPr/>
          <w:p>
            <w:pPr>
              <w:pStyle w:val="Compact"/>
            </w:pPr>
            <w:r>
              <w:t xml:space="preserve">PSO4</w:t>
            </w:r>
          </w:p>
        </w:tc>
        <w:tc>
          <w:tcPr/>
          <w:p>
            <w:pPr>
              <w:pStyle w:val="Compact"/>
            </w:pPr>
            <w:r>
              <w:t xml:space="preserve">0.03</w:t>
            </w:r>
          </w:p>
        </w:tc>
        <w:tc>
          <w:tcPr/>
          <w:p>
            <w:pPr>
              <w:pStyle w:val="Compact"/>
            </w:pPr>
            <w:r>
              <w:t xml:space="preserve">1.6</w:t>
            </w:r>
          </w:p>
        </w:tc>
        <w:tc>
          <w:tcPr/>
          <w:p>
            <w:pPr>
              <w:pStyle w:val="Compact"/>
            </w:pPr>
            <w:r>
              <w:t xml:space="preserve">1.00</w:t>
            </w:r>
          </w:p>
        </w:tc>
        <w:tc>
          <w:tcPr/>
          <w:p>
            <w:pPr>
              <w:pStyle w:val="Compact"/>
            </w:pPr>
            <w:r>
              <w:t xml:space="preserve">pbuf_tend</w:t>
            </w:r>
          </w:p>
        </w:tc>
        <w:tc>
          <w:tcPr/>
          <w:p>
            <w:pPr>
              <w:pStyle w:val="Compact"/>
            </w:pPr>
          </w:p>
        </w:tc>
      </w:tr>
      <w:tr>
        <w:tc>
          <w:tcPr/>
          <w:p>
            <w:pPr>
              <w:pStyle w:val="Compact"/>
            </w:pPr>
            <w:r>
              <w:t xml:space="preserve">ac_PMFO</w:t>
            </w:r>
          </w:p>
        </w:tc>
        <w:tc>
          <w:tcPr/>
          <w:p>
            <w:pPr>
              <w:pStyle w:val="Compact"/>
            </w:pPr>
            <w:r>
              <w:t xml:space="preserve">PPOAlP</w:t>
            </w:r>
          </w:p>
        </w:tc>
        <w:tc>
          <w:tcPr/>
          <w:p>
            <w:pPr>
              <w:pStyle w:val="Compact"/>
            </w:pPr>
            <w:r>
              <w:t xml:space="preserve">0.05</w:t>
            </w:r>
          </w:p>
        </w:tc>
        <w:tc>
          <w:tcPr/>
          <w:p>
            <w:pPr>
              <w:pStyle w:val="Compact"/>
            </w:pPr>
            <w:r>
              <w:t xml:space="preserve">1.8</w:t>
            </w:r>
          </w:p>
        </w:tc>
        <w:tc>
          <w:tcPr/>
          <w:p>
            <w:pPr>
              <w:pStyle w:val="Compact"/>
            </w:pPr>
            <w:r>
              <w:t xml:space="preserve">1.00</w:t>
            </w:r>
          </w:p>
        </w:tc>
        <w:tc>
          <w:tcPr/>
          <w:p>
            <w:pPr>
              <w:pStyle w:val="Compact"/>
            </w:pPr>
            <w:r>
              <w:t xml:space="preserve">pbuf_tend</w:t>
            </w:r>
          </w:p>
        </w:tc>
        <w:tc>
          <w:tcPr/>
          <w:p>
            <w:pPr>
              <w:pStyle w:val="Compact"/>
            </w:pPr>
          </w:p>
        </w:tc>
      </w:tr>
      <w:tr>
        <w:tc>
          <w:tcPr/>
          <w:p>
            <w:pPr>
              <w:pStyle w:val="Compact"/>
            </w:pPr>
            <w:r>
              <w:t xml:space="preserve">SCRAM_BC_FIRE_FRC</w:t>
            </w:r>
          </w:p>
        </w:tc>
        <w:tc>
          <w:tcPr/>
          <w:p>
            <w:pPr>
              <w:pStyle w:val="Compact"/>
            </w:pPr>
            <w:r>
              <w:t xml:space="preserve">PBC</w:t>
            </w:r>
          </w:p>
        </w:tc>
        <w:tc>
          <w:tcPr/>
          <w:p>
            <w:pPr>
              <w:pStyle w:val="Compact"/>
            </w:pPr>
            <w:r>
              <w:t xml:space="preserve">0.10</w:t>
            </w:r>
          </w:p>
        </w:tc>
        <w:tc>
          <w:tcPr/>
          <w:p>
            <w:pPr>
              <w:pStyle w:val="Compact"/>
            </w:pPr>
            <w:r>
              <w:t xml:space="preserve">1.6</w:t>
            </w:r>
          </w:p>
        </w:tc>
        <w:tc>
          <w:tcPr/>
          <w:p>
            <w:pPr>
              <w:pStyle w:val="Compact"/>
            </w:pPr>
            <w:r>
              <w:t xml:space="preserve">1.00</w:t>
            </w:r>
          </w:p>
        </w:tc>
        <w:tc>
          <w:tcPr/>
          <w:p>
            <w:pPr>
              <w:pStyle w:val="Compact"/>
            </w:pPr>
            <w:r>
              <w:t xml:space="preserve">pbuf_tend</w:t>
            </w:r>
          </w:p>
        </w:tc>
        <w:tc>
          <w:tcPr/>
          <w:p>
            <w:pPr>
              <w:pStyle w:val="Compact"/>
            </w:pPr>
          </w:p>
        </w:tc>
      </w:tr>
      <w:tr>
        <w:tc>
          <w:tcPr/>
          <w:p>
            <w:pPr>
              <w:pStyle w:val="Compact"/>
            </w:pPr>
            <w:r>
              <w:t xml:space="preserve">SCRAM_POM_FIRE_FRC</w:t>
            </w:r>
          </w:p>
        </w:tc>
        <w:tc>
          <w:tcPr/>
          <w:p>
            <w:pPr>
              <w:pStyle w:val="Compact"/>
            </w:pPr>
            <w:r>
              <w:t xml:space="preserve">PPOAlP</w:t>
            </w:r>
          </w:p>
        </w:tc>
        <w:tc>
          <w:tcPr/>
          <w:p>
            <w:pPr>
              <w:pStyle w:val="Compact"/>
            </w:pPr>
            <w:r>
              <w:t xml:space="preserve">0.10</w:t>
            </w:r>
          </w:p>
        </w:tc>
        <w:tc>
          <w:tcPr/>
          <w:p>
            <w:pPr>
              <w:pStyle w:val="Compact"/>
            </w:pPr>
            <w:r>
              <w:t xml:space="preserve">1.6</w:t>
            </w:r>
          </w:p>
        </w:tc>
        <w:tc>
          <w:tcPr/>
          <w:p>
            <w:pPr>
              <w:pStyle w:val="Compact"/>
            </w:pPr>
            <w:r>
              <w:t xml:space="preserve">1.00</w:t>
            </w:r>
          </w:p>
        </w:tc>
        <w:tc>
          <w:tcPr/>
          <w:p>
            <w:pPr>
              <w:pStyle w:val="Compact"/>
            </w:pPr>
            <w:r>
              <w:t xml:space="preserve">pbuf_tend</w:t>
            </w:r>
          </w:p>
        </w:tc>
        <w:tc>
          <w:tcPr/>
          <w:p>
            <w:pPr>
              <w:pStyle w:val="Compact"/>
            </w:pPr>
          </w:p>
        </w:tc>
      </w:tr>
      <w:tr>
        <w:tc>
          <w:tcPr/>
          <w:p>
            <w:pPr>
              <w:pStyle w:val="Compact"/>
            </w:pPr>
            <w:r>
              <w:t xml:space="preserve">VOLC_MMR1</w:t>
            </w:r>
          </w:p>
        </w:tc>
        <w:tc>
          <w:tcPr/>
          <w:p>
            <w:pPr>
              <w:pStyle w:val="Compact"/>
            </w:pPr>
            <w:r>
              <w:t xml:space="preserve">PSO4</w:t>
            </w:r>
          </w:p>
        </w:tc>
        <w:tc>
          <w:tcPr/>
          <w:p>
            <w:pPr>
              <w:pStyle w:val="Compact"/>
            </w:pPr>
            <w:r>
              <w:t xml:space="preserve">0.026</w:t>
            </w:r>
          </w:p>
        </w:tc>
        <w:tc>
          <w:tcPr/>
          <w:p>
            <w:pPr>
              <w:pStyle w:val="Compact"/>
            </w:pPr>
            <w:r>
              <w:t xml:space="preserve">1.6</w:t>
            </w:r>
          </w:p>
        </w:tc>
        <w:tc>
          <w:tcPr/>
          <w:p>
            <w:pPr>
              <w:pStyle w:val="Compact"/>
            </w:pPr>
            <w:r>
              <w:t xml:space="preserve">1.00</w:t>
            </w:r>
          </w:p>
        </w:tc>
        <w:tc>
          <w:tcPr/>
          <w:p>
            <w:pPr>
              <w:pStyle w:val="Compact"/>
            </w:pPr>
            <w:r>
              <w:t xml:space="preserve">pbuf_mmr</w:t>
            </w:r>
          </w:p>
        </w:tc>
        <w:tc>
          <w:tcPr/>
          <w:p>
            <w:pPr>
              <w:pStyle w:val="Compact"/>
            </w:pPr>
            <w:r>
              <w:t xml:space="preserve">VOLC_RAD_GEOM1</w:t>
            </w:r>
          </w:p>
        </w:tc>
      </w:tr>
      <w:tr>
        <w:tc>
          <w:tcPr/>
          <w:p>
            <w:pPr>
              <w:pStyle w:val="Compact"/>
            </w:pPr>
            <w:r>
              <w:t xml:space="preserve">VOLC_MMR2</w:t>
            </w:r>
          </w:p>
        </w:tc>
        <w:tc>
          <w:tcPr/>
          <w:p>
            <w:pPr>
              <w:pStyle w:val="Compact"/>
            </w:pPr>
            <w:r>
              <w:t xml:space="preserve">PSO4</w:t>
            </w:r>
          </w:p>
        </w:tc>
        <w:tc>
          <w:tcPr/>
          <w:p>
            <w:pPr>
              <w:pStyle w:val="Compact"/>
            </w:pPr>
            <w:r>
              <w:t xml:space="preserve">0.11</w:t>
            </w:r>
          </w:p>
        </w:tc>
        <w:tc>
          <w:tcPr/>
          <w:p>
            <w:pPr>
              <w:pStyle w:val="Compact"/>
            </w:pPr>
            <w:r>
              <w:t xml:space="preserve">1.6</w:t>
            </w:r>
          </w:p>
        </w:tc>
        <w:tc>
          <w:tcPr/>
          <w:p>
            <w:pPr>
              <w:pStyle w:val="Compact"/>
            </w:pPr>
            <w:r>
              <w:t xml:space="preserve">1.00</w:t>
            </w:r>
          </w:p>
        </w:tc>
        <w:tc>
          <w:tcPr/>
          <w:p>
            <w:pPr>
              <w:pStyle w:val="Compact"/>
            </w:pPr>
            <w:r>
              <w:t xml:space="preserve">pbuf_mmr</w:t>
            </w:r>
          </w:p>
        </w:tc>
        <w:tc>
          <w:tcPr/>
          <w:p>
            <w:pPr>
              <w:pStyle w:val="Compact"/>
            </w:pPr>
            <w:r>
              <w:t xml:space="preserve">VOLC_RAD_GEOM2</w:t>
            </w:r>
          </w:p>
        </w:tc>
      </w:tr>
      <w:tr>
        <w:tc>
          <w:tcPr/>
          <w:p>
            <w:pPr>
              <w:pStyle w:val="Compact"/>
            </w:pPr>
            <w:r>
              <w:t xml:space="preserve">VOLC_MMR3</w:t>
            </w:r>
          </w:p>
        </w:tc>
        <w:tc>
          <w:tcPr/>
          <w:p>
            <w:pPr>
              <w:pStyle w:val="Compact"/>
            </w:pPr>
            <w:r>
              <w:t xml:space="preserve">PSO4</w:t>
            </w:r>
          </w:p>
        </w:tc>
        <w:tc>
          <w:tcPr/>
          <w:p>
            <w:pPr>
              <w:pStyle w:val="Compact"/>
            </w:pPr>
            <w:r>
              <w:t xml:space="preserve">0.90</w:t>
            </w:r>
          </w:p>
        </w:tc>
        <w:tc>
          <w:tcPr/>
          <w:p>
            <w:pPr>
              <w:pStyle w:val="Compact"/>
            </w:pPr>
            <w:r>
              <w:t xml:space="preserve">1.6</w:t>
            </w:r>
          </w:p>
        </w:tc>
        <w:tc>
          <w:tcPr/>
          <w:p>
            <w:pPr>
              <w:pStyle w:val="Compact"/>
            </w:pPr>
            <w:r>
              <w:t xml:space="preserve">1.00</w:t>
            </w:r>
          </w:p>
        </w:tc>
        <w:tc>
          <w:tcPr/>
          <w:p>
            <w:pPr>
              <w:pStyle w:val="Compact"/>
            </w:pPr>
            <w:r>
              <w:t xml:space="preserve">pbuf_mmr</w:t>
            </w:r>
          </w:p>
        </w:tc>
        <w:tc>
          <w:tcPr/>
          <w:p>
            <w:pPr>
              <w:pStyle w:val="Compact"/>
            </w:pPr>
            <w:r>
              <w:t xml:space="preserve">VOLC_RAD_GEOM3</w:t>
            </w:r>
          </w:p>
        </w:tc>
      </w:tr>
    </w:tbl>
    <w:bookmarkEnd w:id="31"/>
    <w:bookmarkStart w:id="35" w:name="X9a0b81dc0a4ffbdbad819984731547a1f6e8556"/>
    <w:p>
      <w:pPr>
        <w:pStyle w:val="Heading1"/>
      </w:pPr>
      <w:r>
        <w:t xml:space="preserve">Text S9. Unified warm-start and tropopause exchange</w:t>
      </w:r>
    </w:p>
    <w:p>
      <w:pPr>
        <w:pStyle w:val="FirstParagraph"/>
      </w:pPr>
      <w:r>
        <w:t xml:space="preserve">Warm-start initialization and online MAM4↔SCRAM tropopause exchange use the same modal-to-sectional moment operator. This is a key design choice: a particle population does not change mathematical meaning simply because the conversion occurs at initialization rather than when the diagnosed ownership boundary moves.</w:t>
      </w:r>
    </w:p>
    <w:p>
      <w:pPr>
        <w:pStyle w:val="BodyText"/>
      </w:pPr>
      <w:r>
        <w:t xml:space="preserve">For each MAM mode, its dry volume per unit air mass</w:t>
      </w:r>
      <w:r>
        <w:t xml:space="preserve"> </w:t>
      </w:r>
      <m:oMath>
        <m:sSub>
          <m:e>
            <m:r>
              <m:t>V</m:t>
            </m:r>
          </m:e>
          <m:sub>
            <m:r>
              <m:t>m</m:t>
            </m:r>
          </m:sub>
        </m:sSub>
      </m:oMath>
      <w:r>
        <w:t xml:space="preserve">, prognostic number</w:t>
      </w:r>
      <w:r>
        <w:t xml:space="preserve"> </w:t>
      </w:r>
      <m:oMath>
        <m:sSub>
          <m:e>
            <m:r>
              <m:t>N</m:t>
            </m:r>
          </m:e>
          <m:sub>
            <m:r>
              <m:t>m</m:t>
            </m:r>
          </m:sub>
        </m:sSub>
      </m:oMath>
      <w:r>
        <w:t xml:space="preserve">, and geometric width</w:t>
      </w:r>
      <w:r>
        <w:t xml:space="preserve"> </w:t>
      </w:r>
      <m:oMath>
        <m:sSub>
          <m:e>
            <m:r>
              <m:t>σ</m:t>
            </m:r>
          </m:e>
          <m:sub>
            <m:r>
              <m:t>g</m:t>
            </m:r>
          </m:sub>
        </m:sSub>
      </m:oMath>
      <w:r>
        <w:t xml:space="preserve"> </w:t>
      </w:r>
      <w:r>
        <w:t xml:space="preserve">imply a number-median diameter</w:t>
      </w:r>
    </w:p>
    <w:p>
      <w:pPr>
        <w:pStyle w:val="BodyText"/>
      </w:pPr>
      <m:oMathPara>
        <m:oMathParaPr>
          <m:jc m:val="center"/>
        </m:oMathParaPr>
        <m:oMath>
          <m:sSub>
            <m:e>
              <m:r>
                <m:t>D</m:t>
              </m:r>
            </m:e>
            <m:sub>
              <m:r>
                <m:t>g</m:t>
              </m:r>
            </m:sub>
          </m:sSub>
          <m:r>
            <m:rPr>
              <m:sty m:val="p"/>
            </m:rPr>
            <m:t>=</m:t>
          </m:r>
          <m:sSup>
            <m:e>
              <m:d>
                <m:dPr>
                  <m:begChr m:val="["/>
                  <m:sepChr m:val=""/>
                  <m:endChr m:val="]"/>
                  <m:grow/>
                </m:dPr>
                <m:e>
                  <m:f>
                    <m:fPr>
                      <m:type m:val="bar"/>
                    </m:fPr>
                    <m:num>
                      <m:sSub>
                        <m:e>
                          <m:r>
                            <m:t>V</m:t>
                          </m:r>
                        </m:e>
                        <m:sub>
                          <m:r>
                            <m:t>m</m:t>
                          </m:r>
                        </m:sub>
                      </m:sSub>
                    </m:num>
                    <m:den>
                      <m:sSub>
                        <m:e>
                          <m:r>
                            <m:t>N</m:t>
                          </m:r>
                        </m:e>
                        <m:sub>
                          <m:r>
                            <m:t>m</m:t>
                          </m:r>
                        </m:sub>
                      </m:sSub>
                      <m:r>
                        <m:rPr>
                          <m:sty m:val="p"/>
                        </m:rPr>
                        <m:t>(</m:t>
                      </m:r>
                      <m:r>
                        <m:t>π</m:t>
                      </m:r>
                      <m:r>
                        <m:rPr>
                          <m:sty m:val="p"/>
                        </m:rPr>
                        <m:t>/</m:t>
                      </m:r>
                      <m:r>
                        <m:t>6</m:t>
                      </m:r>
                      <m:r>
                        <m:rPr>
                          <m:sty m:val="p"/>
                        </m:rPr>
                        <m:t>)</m:t>
                      </m:r>
                      <m:r>
                        <m:rPr>
                          <m:sty m:val="p"/>
                        </m:rPr>
                        <m:t>exp</m:t>
                      </m:r>
                      <m:r>
                        <m:rPr>
                          <m:sty m:val="p"/>
                        </m:rPr>
                        <m:t>(</m:t>
                      </m:r>
                      <m:r>
                        <m:t>4.5</m:t>
                      </m:r>
                      <m:sSup>
                        <m:e>
                          <m:r>
                            <m:rPr>
                              <m:sty m:val="p"/>
                            </m:rPr>
                            <m:t>ln</m:t>
                          </m:r>
                        </m:e>
                        <m:sup>
                          <m:r>
                            <m:t>2</m:t>
                          </m:r>
                        </m:sup>
                      </m:sSup>
                      <m:sSub>
                        <m:e>
                          <m:r>
                            <m:t>σ</m:t>
                          </m:r>
                        </m:e>
                        <m:sub>
                          <m:r>
                            <m:t>g</m:t>
                          </m:r>
                        </m:sub>
                      </m:sSub>
                      <m:r>
                        <m:rPr>
                          <m:sty m:val="p"/>
                        </m:rPr>
                        <m:t>)</m:t>
                      </m:r>
                    </m:den>
                  </m:f>
                </m:e>
              </m:d>
            </m:e>
            <m:sup>
              <m:r>
                <m:t>1</m:t>
              </m:r>
              <m:r>
                <m:rPr>
                  <m:sty m:val="p"/>
                </m:rPr>
                <m:t>/</m:t>
              </m:r>
              <m:r>
                <m:t>3</m:t>
              </m:r>
            </m:sup>
          </m:sSup>
          <m:r>
            <m:rPr>
              <m:sty m:val="p"/>
            </m:rPr>
            <m:t>.</m:t>
          </m:r>
        </m:oMath>
      </m:oMathPara>
    </w:p>
    <w:p>
      <w:pPr>
        <w:pStyle w:val="FirstParagraph"/>
      </w:pPr>
      <w:r>
        <w:t xml:space="preserve">The lognormal moment fraction</w:t>
      </w:r>
      <w:r>
        <w:t xml:space="preserve"> </w:t>
      </w:r>
      <m:oMath>
        <m:sSub>
          <m:e>
            <m:r>
              <m:t>w</m:t>
            </m:r>
          </m:e>
          <m:sub>
            <m:r>
              <m:t>k</m:t>
            </m:r>
          </m:sub>
        </m:sSub>
      </m:oMath>
      <w:r>
        <w:t xml:space="preserve"> </w:t>
      </w:r>
      <w:r>
        <w:t xml:space="preserve">is identical to the emission formula above. CESM–SCRAM uses</w:t>
      </w:r>
      <w:r>
        <w:t xml:space="preserve"> </w:t>
      </w:r>
      <m:oMath>
        <m:sSub>
          <m:e>
            <m:r>
              <m:t>w</m:t>
            </m:r>
          </m:e>
          <m:sub>
            <m:r>
              <m:t>0</m:t>
            </m:r>
          </m:sub>
        </m:sSub>
      </m:oMath>
      <w:r>
        <w:t xml:space="preserve"> </w:t>
      </w:r>
      <w:r>
        <w:t xml:space="preserve">for number and</w:t>
      </w:r>
      <w:r>
        <w:t xml:space="preserve"> </w:t>
      </w:r>
      <m:oMath>
        <m:sSub>
          <m:e>
            <m:r>
              <m:t>w</m:t>
            </m:r>
          </m:e>
          <m:sub>
            <m:r>
              <m:t>3</m:t>
            </m:r>
          </m:sub>
        </m:sSub>
      </m:oMath>
      <w:r>
        <w:t xml:space="preserve"> </w:t>
      </w:r>
      <w:r>
        <w:t xml:space="preserve">for every mapped dry species mass. Number and mass moments are normalized independently on common support. After forward mapping, the species vector in each size interval is evaluated by the production composition classifier so that all mapped number and chemical mass enter one physically compatible SCRAM composition class.</w:t>
      </w:r>
    </w:p>
    <w:p>
      <w:pPr>
        <w:pStyle w:val="BodyText"/>
      </w:pPr>
      <w:r>
        <w:t xml:space="preserve">At warm start, the MAM aerosol state is first converted to SCRAM; only after the new state is complete are MAM aerosol tracers removed from SCRAM-owned levels. During online exchange, an upward-moving ownership boundary invokes the same MAM→SCRAM operator. A downward-moving boundary first aggregates SCRAM number and species masses across composition classes and then maps them back to the matched MAM modes with the corresponding inverse normalized moment weights; the SCRAM source state is cleared only after the destination has been updated. The exchange is therefore a transactional ownership transfer rather than a diagnostic copy.</w:t>
      </w:r>
    </w:p>
    <w:p>
      <w:pPr>
        <w:pStyle w:val="BodyText"/>
      </w:pPr>
      <w:r>
        <w:t xml:space="preserve">Not every SCRAM species has a matched MAM4 carrier. The present exchange transfers sulfate, BC, POA, the five SOA volatility bins, sea salt, dust, and particle number.</w:t>
      </w:r>
      <w:r>
        <w:t xml:space="preserve"> </w:t>
      </w:r>
      <w:r>
        <w:rPr>
          <w:rStyle w:val="VerbatimChar"/>
        </w:rPr>
        <w:t xml:space="preserve">PNH4</w:t>
      </w:r>
      <w:r>
        <w:t xml:space="preserve">,</w:t>
      </w:r>
      <w:r>
        <w:t xml:space="preserve"> </w:t>
      </w:r>
      <w:r>
        <w:rPr>
          <w:rStyle w:val="VerbatimChar"/>
        </w:rPr>
        <w:t xml:space="preserve">PNO3</w:t>
      </w:r>
      <w:r>
        <w:t xml:space="preserve">, and</w:t>
      </w:r>
      <w:r>
        <w:t xml:space="preserve"> </w:t>
      </w:r>
      <w:r>
        <w:rPr>
          <w:rStyle w:val="VerbatimChar"/>
        </w:rPr>
        <w:t xml:space="preserve">PH2O</w:t>
      </w:r>
      <w:r>
        <w:t xml:space="preserve"> </w:t>
      </w:r>
      <w:r>
        <w:t xml:space="preserve">are not independently exchanged because the corresponding matched MAM4 transported tracers are absent in this configuration. Sea-salt reverse exchange reconstructs NaCl-equivalent mass from sodium/chloride consistently with the production allocation.</w:t>
      </w:r>
    </w:p>
    <w:p>
      <w:pPr>
        <w:pStyle w:val="BodyText"/>
      </w:pPr>
      <w:r>
        <w:rPr>
          <w:b/>
          <w:bCs/>
        </w:rPr>
        <w:t xml:space="preserve">Table S6. Species-family mapping shared by warm start and tropopause exchange.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MAM4 representation</w:t>
            </w:r>
          </w:p>
        </w:tc>
        <w:tc>
          <w:tcPr/>
          <w:p>
            <w:pPr>
              <w:pStyle w:val="Compact"/>
            </w:pPr>
            <w:r>
              <w:t xml:space="preserve">SCRAM representation</w:t>
            </w:r>
          </w:p>
        </w:tc>
        <w:tc>
          <w:tcPr/>
          <w:p>
            <w:pPr>
              <w:pStyle w:val="Compact"/>
            </w:pPr>
            <w:r>
              <w:t xml:space="preserve">direction</w:t>
            </w:r>
          </w:p>
        </w:tc>
        <w:tc>
          <w:tcPr/>
          <w:p>
            <w:pPr>
              <w:pStyle w:val="Compact"/>
            </w:pPr>
            <w:r>
              <w:t xml:space="preserve">implementation note</w:t>
            </w:r>
          </w:p>
        </w:tc>
      </w:tr>
      <w:tr>
        <w:tc>
          <w:tcPr/>
          <w:p>
            <w:pPr>
              <w:pStyle w:val="Compact"/>
            </w:pPr>
            <w:r>
              <w:t xml:space="preserve">sulfate</w:t>
            </w:r>
          </w:p>
        </w:tc>
        <w:tc>
          <w:tcPr/>
          <w:p>
            <w:pPr>
              <w:pStyle w:val="Compact"/>
            </w:pPr>
            <w:r>
              <w:t xml:space="preserve">so4_a1, so4_a2</w:t>
            </w:r>
          </w:p>
        </w:tc>
        <w:tc>
          <w:tcPr/>
          <w:p>
            <w:pPr>
              <w:pStyle w:val="Compact"/>
            </w:pPr>
            <w:r>
              <w:t xml:space="preserve">PSO4</w:t>
            </w:r>
          </w:p>
        </w:tc>
        <w:tc>
          <w:tcPr/>
          <w:p>
            <w:pPr>
              <w:pStyle w:val="Compact"/>
            </w:pPr>
            <w:r>
              <w:t xml:space="preserve">both</w:t>
            </w:r>
          </w:p>
        </w:tc>
        <w:tc>
          <w:tcPr/>
          <w:p>
            <w:pPr>
              <w:pStyle w:val="Compact"/>
            </w:pPr>
            <w:r>
              <w:t xml:space="preserve">moment-3 mass; mode moment-0 number</w:t>
            </w:r>
          </w:p>
        </w:tc>
      </w:tr>
      <w:tr>
        <w:tc>
          <w:tcPr/>
          <w:p>
            <w:pPr>
              <w:pStyle w:val="Compact"/>
            </w:pPr>
            <w:r>
              <w:t xml:space="preserve">black carbon</w:t>
            </w:r>
          </w:p>
        </w:tc>
        <w:tc>
          <w:tcPr/>
          <w:p>
            <w:pPr>
              <w:pStyle w:val="Compact"/>
            </w:pPr>
            <w:r>
              <w:t xml:space="preserve">bc_a1, bc_a4</w:t>
            </w:r>
          </w:p>
        </w:tc>
        <w:tc>
          <w:tcPr/>
          <w:p>
            <w:pPr>
              <w:pStyle w:val="Compact"/>
            </w:pPr>
            <w:r>
              <w:t xml:space="preserve">PBC</w:t>
            </w:r>
          </w:p>
        </w:tc>
        <w:tc>
          <w:tcPr/>
          <w:p>
            <w:pPr>
              <w:pStyle w:val="Compact"/>
            </w:pPr>
            <w:r>
              <w:t xml:space="preserve">both</w:t>
            </w:r>
          </w:p>
        </w:tc>
        <w:tc>
          <w:tcPr/>
          <w:p>
            <w:pPr>
              <w:pStyle w:val="Compact"/>
            </w:pPr>
            <w:r>
              <w:t xml:space="preserve">moment-3 mass; mode moment-0 number</w:t>
            </w:r>
          </w:p>
        </w:tc>
      </w:tr>
      <w:tr>
        <w:tc>
          <w:tcPr/>
          <w:p>
            <w:pPr>
              <w:pStyle w:val="Compact"/>
            </w:pPr>
            <w:r>
              <w:t xml:space="preserve">primary organic aerosol</w:t>
            </w:r>
          </w:p>
        </w:tc>
        <w:tc>
          <w:tcPr/>
          <w:p>
            <w:pPr>
              <w:pStyle w:val="Compact"/>
            </w:pPr>
            <w:r>
              <w:t xml:space="preserve">pom_a1, pom_a4</w:t>
            </w:r>
          </w:p>
        </w:tc>
        <w:tc>
          <w:tcPr/>
          <w:p>
            <w:pPr>
              <w:pStyle w:val="Compact"/>
            </w:pPr>
            <w:r>
              <w:t xml:space="preserve">PPOAlP</w:t>
            </w:r>
          </w:p>
        </w:tc>
        <w:tc>
          <w:tcPr/>
          <w:p>
            <w:pPr>
              <w:pStyle w:val="Compact"/>
            </w:pPr>
            <w:r>
              <w:t xml:space="preserve">both</w:t>
            </w:r>
          </w:p>
        </w:tc>
        <w:tc>
          <w:tcPr/>
          <w:p>
            <w:pPr>
              <w:pStyle w:val="Compact"/>
            </w:pPr>
            <w:r>
              <w:t xml:space="preserve">100% to nonvolatile POA</w:t>
            </w:r>
          </w:p>
        </w:tc>
      </w:tr>
      <w:tr>
        <w:tc>
          <w:tcPr/>
          <w:p>
            <w:pPr>
              <w:pStyle w:val="Compact"/>
            </w:pPr>
            <w:r>
              <w:t xml:space="preserve">SOA volatility bins</w:t>
            </w:r>
          </w:p>
        </w:tc>
        <w:tc>
          <w:tcPr/>
          <w:p>
            <w:pPr>
              <w:pStyle w:val="Compact"/>
            </w:pPr>
            <w:r>
              <w:t xml:space="preserve">soa1_a1..soa5_a2 / legacy soa_a1,a2 fallback</w:t>
            </w:r>
          </w:p>
        </w:tc>
        <w:tc>
          <w:tcPr/>
          <w:p>
            <w:pPr>
              <w:pStyle w:val="Compact"/>
            </w:pPr>
            <w:r>
              <w:t xml:space="preserve">PSOA1P..PSOA5P</w:t>
            </w:r>
          </w:p>
        </w:tc>
        <w:tc>
          <w:tcPr/>
          <w:p>
            <w:pPr>
              <w:pStyle w:val="Compact"/>
            </w:pPr>
            <w:r>
              <w:t xml:space="preserve">both</w:t>
            </w:r>
          </w:p>
        </w:tc>
        <w:tc>
          <w:tcPr/>
          <w:p>
            <w:pPr>
              <w:pStyle w:val="Compact"/>
            </w:pPr>
            <w:r>
              <w:t xml:space="preserve">matched VBS bins; legacy bulk fallback only for startup</w:t>
            </w:r>
          </w:p>
        </w:tc>
      </w:tr>
      <w:tr>
        <w:tc>
          <w:tcPr/>
          <w:p>
            <w:pPr>
              <w:pStyle w:val="Compact"/>
            </w:pPr>
            <w:r>
              <w:t xml:space="preserve">sea salt</w:t>
            </w:r>
          </w:p>
        </w:tc>
        <w:tc>
          <w:tcPr/>
          <w:p>
            <w:pPr>
              <w:pStyle w:val="Compact"/>
            </w:pPr>
            <w:r>
              <w:t xml:space="preserve">ncl_a1, ncl_a2, ncl_a3</w:t>
            </w:r>
          </w:p>
        </w:tc>
        <w:tc>
          <w:tcPr/>
          <w:p>
            <w:pPr>
              <w:pStyle w:val="Compact"/>
            </w:pPr>
            <w:r>
              <w:t xml:space="preserve">PNA + PHCL</w:t>
            </w:r>
          </w:p>
        </w:tc>
        <w:tc>
          <w:tcPr/>
          <w:p>
            <w:pPr>
              <w:pStyle w:val="Compact"/>
            </w:pPr>
            <w:r>
              <w:t xml:space="preserve">both</w:t>
            </w:r>
          </w:p>
        </w:tc>
        <w:tc>
          <w:tcPr/>
          <w:p>
            <w:pPr>
              <w:pStyle w:val="Compact"/>
            </w:pPr>
            <w:r>
              <w:t xml:space="preserve">Na/Cl mass split; reconstructed NaCl on reverse exchange</w:t>
            </w:r>
          </w:p>
        </w:tc>
      </w:tr>
      <w:tr>
        <w:tc>
          <w:tcPr/>
          <w:p>
            <w:pPr>
              <w:pStyle w:val="Compact"/>
            </w:pPr>
            <w:r>
              <w:t xml:space="preserve">mineral dust</w:t>
            </w:r>
          </w:p>
        </w:tc>
        <w:tc>
          <w:tcPr/>
          <w:p>
            <w:pPr>
              <w:pStyle w:val="Compact"/>
            </w:pPr>
            <w:r>
              <w:t xml:space="preserve">dst_a1, dst_a2, dst_a3</w:t>
            </w:r>
          </w:p>
        </w:tc>
        <w:tc>
          <w:tcPr/>
          <w:p>
            <w:pPr>
              <w:pStyle w:val="Compact"/>
            </w:pPr>
            <w:r>
              <w:t xml:space="preserve">PMD</w:t>
            </w:r>
          </w:p>
        </w:tc>
        <w:tc>
          <w:tcPr/>
          <w:p>
            <w:pPr>
              <w:pStyle w:val="Compact"/>
            </w:pPr>
            <w:r>
              <w:t xml:space="preserve">both</w:t>
            </w:r>
          </w:p>
        </w:tc>
        <w:tc>
          <w:tcPr/>
          <w:p>
            <w:pPr>
              <w:pStyle w:val="Compact"/>
            </w:pPr>
            <w:r>
              <w:t xml:space="preserve">moment-3 mass; mode moment-0 number</w:t>
            </w:r>
          </w:p>
        </w:tc>
      </w:tr>
      <w:tr>
        <w:tc>
          <w:tcPr/>
          <w:p>
            <w:pPr>
              <w:pStyle w:val="Compact"/>
            </w:pPr>
            <w:r>
              <w:t xml:space="preserve">particle number</w:t>
            </w:r>
          </w:p>
        </w:tc>
        <w:tc>
          <w:tcPr/>
          <w:p>
            <w:pPr>
              <w:pStyle w:val="Compact"/>
            </w:pPr>
            <w:r>
              <w:t xml:space="preserve">num_a1, num_a2, num_a3, num_a4</w:t>
            </w:r>
          </w:p>
        </w:tc>
        <w:tc>
          <w:tcPr/>
          <w:p>
            <w:pPr>
              <w:pStyle w:val="Compact"/>
            </w:pPr>
            <w:r>
              <w:t xml:space="preserve">number carrier per bin/class</w:t>
            </w:r>
          </w:p>
        </w:tc>
        <w:tc>
          <w:tcPr/>
          <w:p>
            <w:pPr>
              <w:pStyle w:val="Compact"/>
            </w:pPr>
            <w:r>
              <w:t xml:space="preserve">both</w:t>
            </w:r>
          </w:p>
        </w:tc>
        <w:tc>
          <w:tcPr/>
          <w:p>
            <w:pPr>
              <w:pStyle w:val="Compact"/>
            </w:pPr>
            <w:r>
              <w:t xml:space="preserve">moment-0; independent of species mass</w:t>
            </w:r>
          </w:p>
        </w:tc>
      </w:tr>
      <w:tr>
        <w:tc>
          <w:tcPr/>
          <w:p>
            <w:pPr>
              <w:pStyle w:val="Compact"/>
            </w:pPr>
            <w:r>
              <w:t xml:space="preserve">NH4 / NO3 / aerosol H2O</w:t>
            </w:r>
          </w:p>
        </w:tc>
        <w:tc>
          <w:tcPr/>
          <w:p>
            <w:pPr>
              <w:pStyle w:val="Compact"/>
            </w:pPr>
            <w:r>
              <w:t xml:space="preserve">no matched MAM4 transferred tracer</w:t>
            </w:r>
          </w:p>
        </w:tc>
        <w:tc>
          <w:tcPr/>
          <w:p>
            <w:pPr>
              <w:pStyle w:val="Compact"/>
            </w:pPr>
            <w:r>
              <w:t xml:space="preserve">PNH4 / PNO3 / PH2O</w:t>
            </w:r>
          </w:p>
        </w:tc>
        <w:tc>
          <w:tcPr/>
          <w:p>
            <w:pPr>
              <w:pStyle w:val="Compact"/>
            </w:pPr>
            <w:r>
              <w:t xml:space="preserve">not exchanged</w:t>
            </w:r>
          </w:p>
        </w:tc>
        <w:tc>
          <w:tcPr/>
          <w:p>
            <w:pPr>
              <w:pStyle w:val="Compact"/>
            </w:pPr>
            <w:r>
              <w:t xml:space="preserve">tropospheric SCRAM-only chemistry/water diagnostics</w:t>
            </w:r>
          </w:p>
        </w:tc>
      </w:tr>
    </w:tbl>
    <w:p>
      <w:pPr>
        <w:pStyle w:val="CaptionedFigure"/>
      </w:pPr>
      <w:r>
        <w:drawing>
          <wp:inline>
            <wp:extent cx="5334000" cy="2690110"/>
            <wp:effectExtent b="0" l="0" r="0" t="0"/>
            <wp:docPr descr="Figure S5. Common warm-start and tropopause mapping operator." title="" id="33" name="Picture"/>
            <a:graphic>
              <a:graphicData uri="http://schemas.openxmlformats.org/drawingml/2006/picture">
                <pic:pic>
                  <pic:nvPicPr>
                    <pic:cNvPr descr="../figures/figS05_warmstart_tropopause_moment_mapping.png" id="34" name="Picture"/>
                    <pic:cNvPicPr>
                      <a:picLocks noChangeArrowheads="1" noChangeAspect="1"/>
                    </pic:cNvPicPr>
                  </pic:nvPicPr>
                  <pic:blipFill>
                    <a:blip r:embed="rId32"/>
                    <a:stretch>
                      <a:fillRect/>
                    </a:stretch>
                  </pic:blipFill>
                  <pic:spPr bwMode="auto">
                    <a:xfrm>
                      <a:off x="0" y="0"/>
                      <a:ext cx="5334000" cy="2690110"/>
                    </a:xfrm>
                    <a:prstGeom prst="rect">
                      <a:avLst/>
                    </a:prstGeom>
                    <a:noFill/>
                    <a:ln w="9525">
                      <a:noFill/>
                      <a:headEnd/>
                      <a:tailEnd/>
                    </a:ln>
                  </pic:spPr>
                </pic:pic>
              </a:graphicData>
            </a:graphic>
          </wp:inline>
        </w:drawing>
      </w:r>
    </w:p>
    <w:p>
      <w:pPr>
        <w:pStyle w:val="ImageCaption"/>
      </w:pPr>
      <w:r>
        <w:t xml:space="preserve">Figure S5. Common warm-start and tropopause mapping operator.</w:t>
      </w:r>
    </w:p>
    <w:p>
      <w:pPr>
        <w:pStyle w:val="BodyText"/>
      </w:pPr>
      <w:r>
        <w:rPr>
          <w:b/>
          <w:bCs/>
        </w:rPr>
        <w:t xml:space="preserve">Figure S5.</w:t>
      </w:r>
      <w:r>
        <w:t xml:space="preserve"> </w:t>
      </w:r>
      <w:r>
        <w:t xml:space="preserve">Common lognormal moment mapping used for warm initialization and online tropopause ownership exchange. Zeroth and third moments are treated independently so that particle number and each species mass close simultaneously.</w:t>
      </w:r>
    </w:p>
    <w:bookmarkEnd w:id="35"/>
    <w:bookmarkStart w:id="39" w:name="X97dd7fa0cb087f95e16e625697fb0959b6954f5"/>
    <w:p>
      <w:pPr>
        <w:pStyle w:val="Heading1"/>
      </w:pPr>
      <w:r>
        <w:t xml:space="preserve">Text S10. Gravitational settling, dry deposition, and wet scavenging</w:t>
      </w:r>
    </w:p>
    <w:p>
      <w:pPr>
        <w:pStyle w:val="FirstParagraph"/>
      </w:pPr>
      <w:r>
        <w:t xml:space="preserve">The formal External production case uses</w:t>
      </w:r>
      <w:r>
        <w:t xml:space="preserve"> </w:t>
      </w:r>
      <w:r>
        <w:rPr>
          <w:rStyle w:val="VerbatimChar"/>
        </w:rPr>
        <w:t xml:space="preserve">scram_settling_geometry='moving_center'</w:t>
      </w:r>
      <w:r>
        <w:t xml:space="preserve">, unit settling and dry-deposition scale factors, and</w:t>
      </w:r>
      <w:r>
        <w:t xml:space="preserve"> </w:t>
      </w:r>
      <w:r>
        <w:rPr>
          <w:rStyle w:val="VerbatimChar"/>
        </w:rPr>
        <w:t xml:space="preserve">scram_wetdep_scheme='physical_lut'</w:t>
      </w:r>
      <w:r>
        <w:t xml:space="preserve">. Removal calculations therefore use the instantaneous moving-center particle geometry rather than only nominal section midpoints.</w:t>
      </w:r>
    </w:p>
    <w:p>
      <w:pPr>
        <w:pStyle w:val="BodyText"/>
      </w:pPr>
      <w:r>
        <w:t xml:space="preserve">For gravitational settling, CARMA first evaluates the gas mean free path</w:t>
      </w:r>
      <w:r>
        <w:t xml:space="preserve"> </w:t>
      </w:r>
      <m:oMath>
        <m:r>
          <m:t>λ</m:t>
        </m:r>
      </m:oMath>
      <w:r>
        <w:t xml:space="preserve">, Knudsen number</w:t>
      </w:r>
      <w:r>
        <w:t xml:space="preserve"> </w:t>
      </w:r>
      <m:oMath>
        <m:r>
          <m:t>K</m:t>
        </m:r>
        <m:r>
          <m:t>n</m:t>
        </m:r>
        <m:r>
          <m:rPr>
            <m:sty m:val="p"/>
          </m:rPr>
          <m:t>=</m:t>
        </m:r>
        <m:r>
          <m:t>λ</m:t>
        </m:r>
        <m:r>
          <m:rPr>
            <m:sty m:val="p"/>
          </m:rPr>
          <m:t>/</m:t>
        </m:r>
        <m:r>
          <m:t>r</m:t>
        </m:r>
      </m:oMath>
      <w:r>
        <w:t xml:space="preserve">, and Cunningham slip correction</w:t>
      </w:r>
    </w:p>
    <w:p>
      <w:pPr>
        <w:pStyle w:val="BodyText"/>
      </w:pPr>
      <m:oMathPara>
        <m:oMathParaPr>
          <m:jc m:val="center"/>
        </m:oMathParaPr>
        <m:oMath>
          <m:sSub>
            <m:e>
              <m:r>
                <m:t>C</m:t>
              </m:r>
            </m:e>
            <m:sub>
              <m:r>
                <m:t>c</m:t>
              </m:r>
            </m:sub>
          </m:sSub>
          <m:r>
            <m:rPr>
              <m:sty m:val="p"/>
            </m:rPr>
            <m:t>=</m:t>
          </m:r>
          <m:r>
            <m:t>1</m:t>
          </m:r>
          <m:r>
            <m:rPr>
              <m:sty m:val="p"/>
            </m:rPr>
            <m:t>+</m:t>
          </m:r>
          <m:r>
            <m:t>1.246</m:t>
          </m:r>
          <m:r>
            <m:t>K</m:t>
          </m:r>
          <m:r>
            <m:t>n</m:t>
          </m:r>
          <m:r>
            <m:rPr>
              <m:sty m:val="p"/>
            </m:rPr>
            <m:t>+</m:t>
          </m:r>
          <m:r>
            <m:t>0.42</m:t>
          </m:r>
          <m:r>
            <m:t>K</m:t>
          </m:r>
          <m:r>
            <m:t>n</m:t>
          </m:r>
          <m:r>
            <m:rPr>
              <m:sty m:val="p"/>
            </m:rPr>
            <m:t>exp</m:t>
          </m:r>
          <m:r>
            <m:rPr>
              <m:sty m:val="p"/>
            </m:rPr>
            <m:t>(</m:t>
          </m:r>
          <m:r>
            <m:rPr>
              <m:sty m:val="p"/>
            </m:rPr>
            <m:t>−</m:t>
          </m:r>
          <m:r>
            <m:t>0.87</m:t>
          </m:r>
          <m:r>
            <m:rPr>
              <m:sty m:val="p"/>
            </m:rPr>
            <m:t>/</m:t>
          </m:r>
          <m:r>
            <m:t>K</m:t>
          </m:r>
          <m:r>
            <m:t>n</m:t>
          </m:r>
          <m:r>
            <m:rPr>
              <m:sty m:val="p"/>
            </m:rPr>
            <m:t>)</m:t>
          </m:r>
          <m:r>
            <m:rPr>
              <m:sty m:val="p"/>
            </m:rPr>
            <m:t>.</m:t>
          </m:r>
        </m:oMath>
      </m:oMathPara>
    </w:p>
    <w:p>
      <w:pPr>
        <w:pStyle w:val="FirstParagraph"/>
      </w:pPr>
      <w:r>
        <w:t xml:space="preserve">The Stokes-limit terminal speed is</w:t>
      </w:r>
    </w:p>
    <w:p>
      <w:pPr>
        <w:pStyle w:val="BodyText"/>
      </w:pPr>
      <m:oMathPara>
        <m:oMathParaPr>
          <m:jc m:val="center"/>
        </m:oMathParaPr>
        <m:oMath>
          <m:sSub>
            <m:e>
              <m:r>
                <m:t>v</m:t>
              </m:r>
            </m:e>
            <m:sub>
              <m:r>
                <m:t>S</m:t>
              </m:r>
              <m:r>
                <m:t>t</m:t>
              </m:r>
            </m:sub>
          </m:sSub>
          <m:r>
            <m:rPr>
              <m:sty m:val="p"/>
            </m:rPr>
            <m:t>=</m:t>
          </m:r>
          <m:f>
            <m:fPr>
              <m:type m:val="bar"/>
            </m:fPr>
            <m:num>
              <m:r>
                <m:t>2</m:t>
              </m:r>
              <m:sSub>
                <m:e>
                  <m:r>
                    <m:t>ρ</m:t>
                  </m:r>
                </m:e>
                <m:sub>
                  <m:r>
                    <m:t>p</m:t>
                  </m:r>
                </m:sub>
              </m:sSub>
              <m:sSup>
                <m:e>
                  <m:r>
                    <m:t>r</m:t>
                  </m:r>
                </m:e>
                <m:sup>
                  <m:r>
                    <m:t>2</m:t>
                  </m:r>
                </m:sup>
              </m:sSup>
              <m:r>
                <m:t>g</m:t>
              </m:r>
              <m:sSub>
                <m:e>
                  <m:r>
                    <m:t>C</m:t>
                  </m:r>
                </m:e>
                <m:sub>
                  <m:r>
                    <m:t>c</m:t>
                  </m:r>
                </m:sub>
              </m:sSub>
            </m:num>
            <m:den>
              <m:r>
                <m:t>9</m:t>
              </m:r>
              <m:r>
                <m:t>μ</m:t>
              </m:r>
            </m:den>
          </m:f>
          <m:r>
            <m:rPr>
              <m:sty m:val="p"/>
            </m:rPr>
            <m:t>,</m:t>
          </m:r>
        </m:oMath>
      </m:oMathPara>
    </w:p>
    <w:p>
      <w:pPr>
        <w:pStyle w:val="FirstParagraph"/>
      </w:pPr>
      <w:r>
        <w:t xml:space="preserve">with iterative Reynolds-number correction when Stokes flow is not valid; the high-Reynolds branch uses a drag-coefficient asymptote. This is the standard CARMA settling framework based on cloud/aerosol fall-speed physics (Pruppacher &amp; Klett, 1978).</w:t>
      </w:r>
    </w:p>
    <w:p>
      <w:pPr>
        <w:pStyle w:val="BodyText"/>
      </w:pPr>
      <w:r>
        <w:t xml:space="preserve">For dry deposition, the quasi-laminar surface resistance includes Brownian diffusion, impaction, interception, and settling. The particle Brownian diffusivity is</w:t>
      </w:r>
    </w:p>
    <w:p>
      <w:pPr>
        <w:pStyle w:val="BodyText"/>
      </w:pPr>
      <m:oMathPara>
        <m:oMathParaPr>
          <m:jc m:val="center"/>
        </m:oMathParaPr>
        <m:oMath>
          <m:sSub>
            <m:e>
              <m:r>
                <m:t>D</m:t>
              </m:r>
            </m:e>
            <m:sub>
              <m:r>
                <m:t>B</m:t>
              </m:r>
            </m:sub>
          </m:sSub>
          <m:r>
            <m:rPr>
              <m:sty m:val="p"/>
            </m:rPr>
            <m:t>=</m:t>
          </m:r>
          <m:f>
            <m:fPr>
              <m:type m:val="bar"/>
            </m:fPr>
            <m:num>
              <m:sSub>
                <m:e>
                  <m:r>
                    <m:t>k</m:t>
                  </m:r>
                </m:e>
                <m:sub>
                  <m:r>
                    <m:t>B</m:t>
                  </m:r>
                </m:sub>
              </m:sSub>
              <m:r>
                <m:t>T</m:t>
              </m:r>
              <m:sSub>
                <m:e>
                  <m:r>
                    <m:t>C</m:t>
                  </m:r>
                </m:e>
                <m:sub>
                  <m:r>
                    <m:t>c</m:t>
                  </m:r>
                </m:sub>
              </m:sSub>
            </m:num>
            <m:den>
              <m:r>
                <m:t>6</m:t>
              </m:r>
              <m:r>
                <m:t>π</m:t>
              </m:r>
              <m:r>
                <m:t>μ</m:t>
              </m:r>
              <m:r>
                <m:t>r</m:t>
              </m:r>
            </m:den>
          </m:f>
          <m:r>
            <m:rPr>
              <m:sty m:val="p"/>
            </m:rPr>
            <m:t>,</m:t>
          </m:r>
          <m:r>
            <m:t>  </m:t>
          </m:r>
          <m:r>
            <m:t>S</m:t>
          </m:r>
          <m:r>
            <m:t>c</m:t>
          </m:r>
          <m:r>
            <m:rPr>
              <m:sty m:val="p"/>
            </m:rPr>
            <m:t>=</m:t>
          </m:r>
          <m:f>
            <m:fPr>
              <m:type m:val="bar"/>
            </m:fPr>
            <m:num>
              <m:r>
                <m:t>ν</m:t>
              </m:r>
            </m:num>
            <m:den>
              <m:sSub>
                <m:e>
                  <m:r>
                    <m:t>D</m:t>
                  </m:r>
                </m:e>
                <m:sub>
                  <m:r>
                    <m:t>B</m:t>
                  </m:r>
                </m:sub>
              </m:sSub>
            </m:den>
          </m:f>
          <m:r>
            <m:rPr>
              <m:sty m:val="p"/>
            </m:rPr>
            <m:t>.</m:t>
          </m:r>
        </m:oMath>
      </m:oMathPara>
    </w:p>
    <w:p>
      <w:pPr>
        <w:pStyle w:val="FirstParagraph"/>
      </w:pPr>
      <w:r>
        <w:t xml:space="preserve">The Brownian collection efficiency scales as</w:t>
      </w:r>
      <w:r>
        <w:t xml:space="preserve"> </w:t>
      </w:r>
      <m:oMath>
        <m:sSub>
          <m:e>
            <m:r>
              <m:t>E</m:t>
            </m:r>
          </m:e>
          <m:sub>
            <m:r>
              <m:t>B</m:t>
            </m:r>
          </m:sub>
        </m:sSub>
        <m:r>
          <m:rPr>
            <m:sty m:val="p"/>
          </m:rPr>
          <m:t>=</m:t>
        </m:r>
        <m:r>
          <m:t>S</m:t>
        </m:r>
        <m:sSup>
          <m:e>
            <m:r>
              <m:t>c</m:t>
            </m:r>
          </m:e>
          <m:sup>
            <m:r>
              <m:rPr>
                <m:sty m:val="p"/>
              </m:rPr>
              <m:t>−</m:t>
            </m:r>
            <m:r>
              <m:t>γ</m:t>
            </m:r>
          </m:sup>
        </m:sSup>
      </m:oMath>
      <w:r>
        <w:t xml:space="preserve">, with the surface-dependent exponent supplied by the CARMA/CAM land-surface resistance data. For surfaces without an explicit collector radius, the impaction Stokes number is</w:t>
      </w:r>
    </w:p>
    <w:p>
      <w:pPr>
        <w:pStyle w:val="BodyText"/>
      </w:pPr>
      <m:oMathPara>
        <m:oMathParaPr>
          <m:jc m:val="center"/>
        </m:oMathParaPr>
        <m:oMath>
          <m:r>
            <m:t>S</m:t>
          </m:r>
          <m:r>
            <m:t>t</m:t>
          </m:r>
          <m:r>
            <m:rPr>
              <m:sty m:val="p"/>
            </m:rPr>
            <m:t>=</m:t>
          </m:r>
          <m:f>
            <m:fPr>
              <m:type m:val="bar"/>
            </m:fPr>
            <m:num>
              <m:sSub>
                <m:e>
                  <m:r>
                    <m:t>v</m:t>
                  </m:r>
                </m:e>
                <m:sub>
                  <m:r>
                    <m:t>f</m:t>
                  </m:r>
                </m:sub>
              </m:sSub>
              <m:sSubSup>
                <m:e>
                  <m:r>
                    <m:t>u</m:t>
                  </m:r>
                </m:e>
                <m:sub>
                  <m:r>
                    <m:rPr>
                      <m:sty m:val="p"/>
                    </m:rPr>
                    <m:t>*</m:t>
                  </m:r>
                </m:sub>
                <m:sup>
                  <m:r>
                    <m:t>2</m:t>
                  </m:r>
                </m:sup>
              </m:sSubSup>
            </m:num>
            <m:den>
              <m:r>
                <m:t>g</m:t>
              </m:r>
              <m:r>
                <m:t>ν</m:t>
              </m:r>
            </m:den>
          </m:f>
          <m:r>
            <m:rPr>
              <m:sty m:val="p"/>
            </m:rPr>
            <m:t>,</m:t>
          </m:r>
          <m:r>
            <m:t>  </m:t>
          </m:r>
          <m:sSub>
            <m:e>
              <m:r>
                <m:t>E</m:t>
              </m:r>
            </m:e>
            <m:sub>
              <m:r>
                <m:t>I</m:t>
              </m:r>
              <m:r>
                <m:t>M</m:t>
              </m:r>
            </m:sub>
          </m:sSub>
          <m:r>
            <m:rPr>
              <m:sty m:val="p"/>
            </m:rPr>
            <m:t>=</m:t>
          </m:r>
          <m:sSup>
            <m:e>
              <m:d>
                <m:dPr>
                  <m:begChr m:val="("/>
                  <m:sepChr m:val=""/>
                  <m:endChr m:val=")"/>
                  <m:grow/>
                </m:dPr>
                <m:e>
                  <m:f>
                    <m:fPr>
                      <m:type m:val="bar"/>
                    </m:fPr>
                    <m:num>
                      <m:r>
                        <m:t>S</m:t>
                      </m:r>
                      <m:r>
                        <m:t>t</m:t>
                      </m:r>
                    </m:num>
                    <m:den>
                      <m:r>
                        <m:t>α</m:t>
                      </m:r>
                      <m:r>
                        <m:rPr>
                          <m:sty m:val="p"/>
                        </m:rPr>
                        <m:t>+</m:t>
                      </m:r>
                      <m:r>
                        <m:t>S</m:t>
                      </m:r>
                      <m:r>
                        <m:t>t</m:t>
                      </m:r>
                    </m:den>
                  </m:f>
                </m:e>
              </m:d>
            </m:e>
            <m:sup>
              <m:r>
                <m:t>2</m:t>
              </m:r>
            </m:sup>
          </m:sSup>
          <m:r>
            <m:rPr>
              <m:sty m:val="p"/>
            </m:rPr>
            <m:t>,</m:t>
          </m:r>
        </m:oMath>
      </m:oMathPara>
    </w:p>
    <w:p>
      <w:pPr>
        <w:pStyle w:val="FirstParagraph"/>
      </w:pPr>
      <w:r>
        <w:t xml:space="preserve">where</w:t>
      </w:r>
      <w:r>
        <w:t xml:space="preserve"> </w:t>
      </w:r>
      <m:oMath>
        <m:r>
          <m:t>α</m:t>
        </m:r>
      </m:oMath>
      <w:r>
        <w:t xml:space="preserve"> </w:t>
      </w:r>
      <w:r>
        <w:t xml:space="preserve">is surface dependent; vegetated surfaces can instead use a collector-radius form of</w:t>
      </w:r>
      <w:r>
        <w:t xml:space="preserve"> </w:t>
      </w:r>
      <m:oMath>
        <m:r>
          <m:t>S</m:t>
        </m:r>
        <m:r>
          <m:t>t</m:t>
        </m:r>
      </m:oMath>
      <w:r>
        <w:t xml:space="preserve">. Interception</w:t>
      </w:r>
      <w:r>
        <w:t xml:space="preserve"> </w:t>
      </w:r>
      <m:oMath>
        <m:sSub>
          <m:e>
            <m:r>
              <m:t>E</m:t>
            </m:r>
          </m:e>
          <m:sub>
            <m:r>
              <m:t>I</m:t>
            </m:r>
            <m:r>
              <m:t>N</m:t>
            </m:r>
            <m:r>
              <m:t>T</m:t>
            </m:r>
          </m:sub>
        </m:sSub>
      </m:oMath>
      <w:r>
        <w:t xml:space="preserve"> </w:t>
      </w:r>
      <w:r>
        <w:t xml:space="preserve">is calculated from particle-to-collector geometry. The surface resistance is</w:t>
      </w:r>
    </w:p>
    <w:p>
      <w:pPr>
        <w:pStyle w:val="BodyText"/>
      </w:pPr>
      <m:oMathPara>
        <m:oMathParaPr>
          <m:jc m:val="center"/>
        </m:oMathParaPr>
        <m:oMath>
          <m:sSub>
            <m:e>
              <m:r>
                <m:t>r</m:t>
              </m:r>
            </m:e>
            <m:sub>
              <m:r>
                <m:t>s</m:t>
              </m:r>
            </m:sub>
          </m:sSub>
          <m:r>
            <m:rPr>
              <m:sty m:val="p"/>
            </m:rPr>
            <m:t>=</m:t>
          </m:r>
          <m:sSup>
            <m:e>
              <m:d>
                <m:dPr>
                  <m:begChr m:val="["/>
                  <m:sepChr m:val=""/>
                  <m:endChr m:val="]"/>
                  <m:grow/>
                </m:dPr>
                <m:e>
                  <m:r>
                    <m:t>3</m:t>
                  </m:r>
                  <m:sSub>
                    <m:e>
                      <m:r>
                        <m:t>u</m:t>
                      </m:r>
                    </m:e>
                    <m:sub>
                      <m:r>
                        <m:rPr>
                          <m:sty m:val="p"/>
                        </m:rPr>
                        <m:t>*</m:t>
                      </m:r>
                    </m:sub>
                  </m:sSub>
                  <m:r>
                    <m:rPr>
                      <m:sty m:val="p"/>
                    </m:rPr>
                    <m:t>(</m:t>
                  </m:r>
                  <m:sSub>
                    <m:e>
                      <m:r>
                        <m:t>E</m:t>
                      </m:r>
                    </m:e>
                    <m:sub>
                      <m:r>
                        <m:t>B</m:t>
                      </m:r>
                    </m:sub>
                  </m:sSub>
                  <m:r>
                    <m:rPr>
                      <m:sty m:val="p"/>
                    </m:rPr>
                    <m:t>+</m:t>
                  </m:r>
                  <m:sSub>
                    <m:e>
                      <m:r>
                        <m:t>E</m:t>
                      </m:r>
                    </m:e>
                    <m:sub>
                      <m:r>
                        <m:t>I</m:t>
                      </m:r>
                      <m:r>
                        <m:t>M</m:t>
                      </m:r>
                    </m:sub>
                  </m:sSub>
                  <m:r>
                    <m:rPr>
                      <m:sty m:val="p"/>
                    </m:rPr>
                    <m:t>+</m:t>
                  </m:r>
                  <m:sSub>
                    <m:e>
                      <m:r>
                        <m:t>E</m:t>
                      </m:r>
                    </m:e>
                    <m:sub>
                      <m:r>
                        <m:t>I</m:t>
                      </m:r>
                      <m:r>
                        <m:t>N</m:t>
                      </m:r>
                      <m:r>
                        <m:t>T</m:t>
                      </m:r>
                    </m:sub>
                  </m:sSub>
                  <m:r>
                    <m:rPr>
                      <m:sty m:val="p"/>
                    </m:rPr>
                    <m:t>)</m:t>
                  </m:r>
                </m:e>
              </m:d>
            </m:e>
            <m:sup>
              <m:r>
                <m:rPr>
                  <m:sty m:val="p"/>
                </m:rPr>
                <m:t>−</m:t>
              </m:r>
              <m:r>
                <m:t>1</m:t>
              </m:r>
            </m:sup>
          </m:sSup>
          <m:r>
            <m:rPr>
              <m:sty m:val="p"/>
            </m:rPr>
            <m:t>.</m:t>
          </m:r>
        </m:oMath>
      </m:oMathPara>
    </w:p>
    <w:p>
      <w:pPr>
        <w:pStyle w:val="FirstParagraph"/>
      </w:pPr>
      <w:r>
        <w:t xml:space="preserve">With aerodynamic resistance</w:t>
      </w:r>
      <w:r>
        <w:t xml:space="preserve"> </w:t>
      </w:r>
      <m:oMath>
        <m:sSub>
          <m:e>
            <m:r>
              <m:t>r</m:t>
            </m:r>
          </m:e>
          <m:sub>
            <m:r>
              <m:t>a</m:t>
            </m:r>
          </m:sub>
        </m:sSub>
      </m:oMath>
      <w:r>
        <w:t xml:space="preserve">, the turbulent-plus-surface resistance and total deposition velocity are</w:t>
      </w:r>
    </w:p>
    <w:p>
      <w:pPr>
        <w:pStyle w:val="BodyText"/>
      </w:pPr>
      <m:oMathPara>
        <m:oMathParaPr>
          <m:jc m:val="center"/>
        </m:oMathParaPr>
        <m:oMath>
          <m:sSub>
            <m:e>
              <m:r>
                <m:t>r</m:t>
              </m:r>
            </m:e>
            <m:sub>
              <m:r>
                <m:t>t</m:t>
              </m:r>
            </m:sub>
          </m:sSub>
          <m:r>
            <m:rPr>
              <m:sty m:val="p"/>
            </m:rPr>
            <m:t>=</m:t>
          </m:r>
          <m:sSub>
            <m:e>
              <m:r>
                <m:t>r</m:t>
              </m:r>
            </m:e>
            <m:sub>
              <m:r>
                <m:t>a</m:t>
              </m:r>
            </m:sub>
          </m:sSub>
          <m:r>
            <m:rPr>
              <m:sty m:val="p"/>
            </m:rPr>
            <m:t>+</m:t>
          </m:r>
          <m:sSub>
            <m:e>
              <m:r>
                <m:t>r</m:t>
              </m:r>
            </m:e>
            <m:sub>
              <m:r>
                <m:t>s</m:t>
              </m:r>
            </m:sub>
          </m:sSub>
          <m:r>
            <m:rPr>
              <m:sty m:val="p"/>
            </m:rPr>
            <m:t>+</m:t>
          </m:r>
          <m:sSub>
            <m:e>
              <m:r>
                <m:t>r</m:t>
              </m:r>
            </m:e>
            <m:sub>
              <m:r>
                <m:t>a</m:t>
              </m:r>
            </m:sub>
          </m:sSub>
          <m:sSub>
            <m:e>
              <m:r>
                <m:t>r</m:t>
              </m:r>
            </m:e>
            <m:sub>
              <m:r>
                <m:t>s</m:t>
              </m:r>
            </m:sub>
          </m:sSub>
          <m:sSub>
            <m:e>
              <m:r>
                <m:t>v</m:t>
              </m:r>
            </m:e>
            <m:sub>
              <m:r>
                <m:t>f</m:t>
              </m:r>
            </m:sub>
          </m:sSub>
          <m:r>
            <m:rPr>
              <m:sty m:val="p"/>
            </m:rPr>
            <m:t>,</m:t>
          </m:r>
          <m:r>
            <m:t>  </m:t>
          </m:r>
          <m:sSub>
            <m:e>
              <m:r>
                <m:t>v</m:t>
              </m:r>
            </m:e>
            <m:sub>
              <m:r>
                <m:t>d</m:t>
              </m:r>
            </m:sub>
          </m:sSub>
          <m:r>
            <m:rPr>
              <m:sty m:val="p"/>
            </m:rPr>
            <m:t>=</m:t>
          </m:r>
          <m:sSub>
            <m:e>
              <m:r>
                <m:t>v</m:t>
              </m:r>
            </m:e>
            <m:sub>
              <m:r>
                <m:t>f</m:t>
              </m:r>
            </m:sub>
          </m:sSub>
          <m:r>
            <m:rPr>
              <m:sty m:val="p"/>
            </m:rPr>
            <m:t>+</m:t>
          </m:r>
          <m:f>
            <m:fPr>
              <m:type m:val="bar"/>
            </m:fPr>
            <m:num>
              <m:r>
                <m:t>1</m:t>
              </m:r>
            </m:num>
            <m:den>
              <m:sSub>
                <m:e>
                  <m:r>
                    <m:t>r</m:t>
                  </m:r>
                </m:e>
                <m:sub>
                  <m:r>
                    <m:t>t</m:t>
                  </m:r>
                </m:sub>
              </m:sSub>
            </m:den>
          </m:f>
          <m:r>
            <m:rPr>
              <m:sty m:val="p"/>
            </m:rPr>
            <m:t>.</m:t>
          </m:r>
        </m:oMath>
      </m:oMathPara>
    </w:p>
    <w:p>
      <w:pPr>
        <w:pStyle w:val="FirstParagraph"/>
      </w:pPr>
      <w:r>
        <w:t xml:space="preserve">This is the size-resolved resistance framework used by CARMA/CAM and is consistent with the particle-deposition formulation summarized by Zhang et al. (2001).</w:t>
      </w:r>
    </w:p>
    <w:p>
      <w:pPr>
        <w:pStyle w:val="BodyText"/>
      </w:pPr>
      <w:r>
        <w:t xml:space="preserve">Below-cloud wet removal uses a production lookup table generated from explicit rain-drop/aerosol collision calculations rather than the legacy constant Dana–Hales scavenging coefficient. For one rain-drop class</w:t>
      </w:r>
      <w:r>
        <w:t xml:space="preserve"> </w:t>
      </w:r>
      <m:oMath>
        <m:r>
          <m:t>j</m:t>
        </m:r>
      </m:oMath>
      <w:r>
        <w:t xml:space="preserve"> </w:t>
      </w:r>
      <w:r>
        <w:t xml:space="preserve">and particle class</w:t>
      </w:r>
      <w:r>
        <w:t xml:space="preserve"> </w:t>
      </w:r>
      <m:oMath>
        <m:r>
          <m:t>a</m:t>
        </m:r>
      </m:oMath>
      <w:r>
        <w:t xml:space="preserve">, the total collection efficiency is</w:t>
      </w:r>
    </w:p>
    <w:p>
      <w:pPr>
        <w:pStyle w:val="BodyText"/>
      </w:pPr>
      <m:oMathPara>
        <m:oMathParaPr>
          <m:jc m:val="center"/>
        </m:oMathParaPr>
        <m:oMath>
          <m:sSub>
            <m:e>
              <m:r>
                <m:t>E</m:t>
              </m:r>
            </m:e>
            <m:sub>
              <m:r>
                <m:t>j</m:t>
              </m:r>
              <m:r>
                <m:t>a</m:t>
              </m:r>
            </m:sub>
          </m:sSub>
          <m:r>
            <m:rPr>
              <m:sty m:val="p"/>
            </m:rPr>
            <m:t>=</m:t>
          </m:r>
          <m:r>
            <m:rPr>
              <m:sty m:val="p"/>
            </m:rPr>
            <m:t>min</m:t>
          </m:r>
          <m:r>
            <m:rPr>
              <m:sty m:val="p"/>
            </m:rPr>
            <m:t>(</m:t>
          </m:r>
          <m:r>
            <m:t>1</m:t>
          </m:r>
          <m:r>
            <m:rPr>
              <m:sty m:val="p"/>
            </m:rPr>
            <m:t>,</m:t>
          </m:r>
          <m:sSub>
            <m:e>
              <m:r>
                <m:t>E</m:t>
              </m:r>
            </m:e>
            <m:sub>
              <m:r>
                <m:t>B</m:t>
              </m:r>
            </m:sub>
          </m:sSub>
          <m:r>
            <m:rPr>
              <m:sty m:val="p"/>
            </m:rPr>
            <m:t>+</m:t>
          </m:r>
          <m:sSub>
            <m:e>
              <m:r>
                <m:t>E</m:t>
              </m:r>
            </m:e>
            <m:sub>
              <m:r>
                <m:t>I</m:t>
              </m:r>
              <m:r>
                <m:t>N</m:t>
              </m:r>
              <m:r>
                <m:t>T</m:t>
              </m:r>
            </m:sub>
          </m:sSub>
          <m:r>
            <m:rPr>
              <m:sty m:val="p"/>
            </m:rPr>
            <m:t>+</m:t>
          </m:r>
          <m:sSub>
            <m:e>
              <m:r>
                <m:t>E</m:t>
              </m:r>
            </m:e>
            <m:sub>
              <m:r>
                <m:t>I</m:t>
              </m:r>
              <m:r>
                <m:t>M</m:t>
              </m:r>
              <m:r>
                <m:t>P</m:t>
              </m:r>
            </m:sub>
          </m:sSub>
          <m:r>
            <m:rPr>
              <m:sty m:val="p"/>
            </m:rPr>
            <m:t>)</m:t>
          </m:r>
          <m:r>
            <m:rPr>
              <m:sty m:val="p"/>
            </m:rPr>
            <m:t>,</m:t>
          </m:r>
        </m:oMath>
      </m:oMathPara>
    </w:p>
    <w:p>
      <w:pPr>
        <w:pStyle w:val="FirstParagraph"/>
      </w:pPr>
      <w:r>
        <w:t xml:space="preserve">and its sweep contribution is</w:t>
      </w:r>
    </w:p>
    <w:p>
      <w:pPr>
        <w:pStyle w:val="BodyText"/>
      </w:pPr>
      <m:oMathPara>
        <m:oMathParaPr>
          <m:jc m:val="center"/>
        </m:oMathParaPr>
        <m:oMath>
          <m:sSub>
            <m:e>
              <m:r>
                <m:rPr>
                  <m:sty m:val="p"/>
                </m:rPr>
                <m:t>Λ</m:t>
              </m:r>
            </m:e>
            <m:sub>
              <m:r>
                <m:t>j</m:t>
              </m:r>
              <m:r>
                <m:t>a</m:t>
              </m:r>
            </m:sub>
          </m:sSub>
          <m:r>
            <m:rPr>
              <m:sty m:val="p"/>
            </m:rPr>
            <m:t>=</m:t>
          </m:r>
          <m:r>
            <m:t>4</m:t>
          </m:r>
          <m:r>
            <m:t>π</m:t>
          </m:r>
          <m:sSubSup>
            <m:e>
              <m:r>
                <m:t>r</m:t>
              </m:r>
            </m:e>
            <m:sub>
              <m:r>
                <m:t>r</m:t>
              </m:r>
              <m:r>
                <m:rPr>
                  <m:sty m:val="p"/>
                </m:rPr>
                <m:t>,</m:t>
              </m:r>
              <m:r>
                <m:t>j</m:t>
              </m:r>
            </m:sub>
            <m:sup>
              <m:r>
                <m:t>2</m:t>
              </m:r>
            </m:sup>
          </m:sSubSup>
          <m:sSub>
            <m:e>
              <m:r>
                <m:t>v</m:t>
              </m:r>
            </m:e>
            <m:sub>
              <m:r>
                <m:t>r</m:t>
              </m:r>
              <m:r>
                <m:rPr>
                  <m:sty m:val="p"/>
                </m:rPr>
                <m:t>,</m:t>
              </m:r>
              <m:r>
                <m:t>j</m:t>
              </m:r>
            </m:sub>
          </m:sSub>
          <m:sSub>
            <m:e>
              <m:r>
                <m:t>n</m:t>
              </m:r>
            </m:e>
            <m:sub>
              <m:r>
                <m:t>r</m:t>
              </m:r>
              <m:r>
                <m:rPr>
                  <m:sty m:val="p"/>
                </m:rPr>
                <m:t>,</m:t>
              </m:r>
              <m:r>
                <m:t>j</m:t>
              </m:r>
            </m:sub>
          </m:sSub>
          <m:sSub>
            <m:e>
              <m:r>
                <m:t>E</m:t>
              </m:r>
            </m:e>
            <m:sub>
              <m:r>
                <m:t>j</m:t>
              </m:r>
              <m:r>
                <m:t>a</m:t>
              </m:r>
            </m:sub>
          </m:sSub>
          <m:r>
            <m:rPr>
              <m:sty m:val="p"/>
            </m:rPr>
            <m:t>.</m:t>
          </m:r>
        </m:oMath>
      </m:oMathPara>
    </w:p>
    <w:p>
      <w:pPr>
        <w:pStyle w:val="FirstParagraph"/>
      </w:pPr>
      <w:r>
        <w:t xml:space="preserve">The rain distribution is normalized to 1 mm h</w:t>
      </w:r>
      <m:oMath>
        <m:sSup>
          <m:e>
            <m:r>
              <m:t>​</m:t>
            </m:r>
          </m:e>
          <m:sup>
            <m:r>
              <m:rPr>
                <m:sty m:val="p"/>
              </m:rPr>
              <m:t>−</m:t>
            </m:r>
            <m:r>
              <m:t>1</m:t>
            </m:r>
          </m:sup>
        </m:sSup>
      </m:oMath>
      <w:r>
        <w:t xml:space="preserve"> </w:t>
      </w:r>
      <w:r>
        <w:t xml:space="preserve">during LUT construction. The resulting number/volume scavenging rates are tabulated versus particle radius and density; runtime interpolation supplies the coefficient to CAM wet deposition, where it is scaled by local precipitation and cloud conditions. In-cloud removal and resuspension remain under the host CAM wet-deposition/cloud lifecycle. Dana and Hales (1976) provide the historical washout framework, while the production</w:t>
      </w:r>
      <w:r>
        <w:t xml:space="preserve"> </w:t>
      </w:r>
      <w:r>
        <w:rPr>
          <w:rStyle w:val="VerbatimChar"/>
        </w:rPr>
        <w:t xml:space="preserve">physical_lut</w:t>
      </w:r>
      <w:r>
        <w:t xml:space="preserve"> </w:t>
      </w:r>
      <w:r>
        <w:t xml:space="preserve">explicitly resolves Brownian, interception, and impaction collection.</w:t>
      </w:r>
    </w:p>
    <w:p>
      <w:pPr>
        <w:pStyle w:val="CaptionedFigure"/>
      </w:pPr>
      <w:r>
        <w:drawing>
          <wp:inline>
            <wp:extent cx="5334000" cy="2736332"/>
            <wp:effectExtent b="0" l="0" r="0" t="0"/>
            <wp:docPr descr="Figure S6. Emission and removal algorithms." title="" id="37" name="Picture"/>
            <a:graphic>
              <a:graphicData uri="http://schemas.openxmlformats.org/drawingml/2006/picture">
                <pic:pic>
                  <pic:nvPicPr>
                    <pic:cNvPr descr="../figures/figS08_emission_removal_algorithms.png" id="38" name="Picture"/>
                    <pic:cNvPicPr>
                      <a:picLocks noChangeArrowheads="1" noChangeAspect="1"/>
                    </pic:cNvPicPr>
                  </pic:nvPicPr>
                  <pic:blipFill>
                    <a:blip r:embed="rId36"/>
                    <a:stretch>
                      <a:fillRect/>
                    </a:stretch>
                  </pic:blipFill>
                  <pic:spPr bwMode="auto">
                    <a:xfrm>
                      <a:off x="0" y="0"/>
                      <a:ext cx="5334000" cy="2736332"/>
                    </a:xfrm>
                    <a:prstGeom prst="rect">
                      <a:avLst/>
                    </a:prstGeom>
                    <a:noFill/>
                    <a:ln w="9525">
                      <a:noFill/>
                      <a:headEnd/>
                      <a:tailEnd/>
                    </a:ln>
                  </pic:spPr>
                </pic:pic>
              </a:graphicData>
            </a:graphic>
          </wp:inline>
        </w:drawing>
      </w:r>
    </w:p>
    <w:p>
      <w:pPr>
        <w:pStyle w:val="ImageCaption"/>
      </w:pPr>
      <w:r>
        <w:t xml:space="preserve">Figure S6. Emission and removal algorithms.</w:t>
      </w:r>
    </w:p>
    <w:p>
      <w:pPr>
        <w:pStyle w:val="BodyText"/>
      </w:pPr>
      <w:r>
        <w:rPr>
          <w:b/>
          <w:bCs/>
        </w:rPr>
        <w:t xml:space="preserve">Figure S6.</w:t>
      </w:r>
      <w:r>
        <w:t xml:space="preserve"> </w:t>
      </w:r>
      <w:r>
        <w:t xml:space="preserve">Emission and removal operators around the prognostic SCRAM state. Source number and mass enter through distinct moment mappings; settling and deposition use the instantaneous particle geometry; production below-cloud scavenging uses the physical collision LUT.</w:t>
      </w:r>
    </w:p>
    <w:bookmarkEnd w:id="39"/>
    <w:bookmarkStart w:id="43" w:name="text-s11.-reduced-shell-optical-closure"/>
    <w:p>
      <w:pPr>
        <w:pStyle w:val="Heading1"/>
      </w:pPr>
      <w:r>
        <w:t xml:space="preserve">Text S11. Reduced-shell optical closure</w:t>
      </w:r>
    </w:p>
    <w:p>
      <w:pPr>
        <w:pStyle w:val="FirstParagraph"/>
      </w:pPr>
      <w:r>
        <w:t xml:space="preserve">The formal production optics use</w:t>
      </w:r>
      <w:r>
        <w:t xml:space="preserve"> </w:t>
      </w:r>
      <w:r>
        <w:rPr>
          <w:rStyle w:val="VerbatimChar"/>
        </w:rPr>
        <w:t xml:space="preserve">Optics_mixing=2</w:t>
      </w:r>
      <w:r>
        <w:t xml:space="preserve">,</w:t>
      </w:r>
      <w:r>
        <w:t xml:space="preserve"> </w:t>
      </w:r>
      <w:r>
        <w:rPr>
          <w:rStyle w:val="VerbatimChar"/>
        </w:rPr>
        <w:t xml:space="preserve">Optics_perclass=1</w:t>
      </w:r>
      <w:r>
        <w:t xml:space="preserve">, and</w:t>
      </w:r>
      <w:r>
        <w:t xml:space="preserve"> </w:t>
      </w:r>
      <w:r>
        <w:rPr>
          <w:rStyle w:val="VerbatimChar"/>
        </w:rPr>
        <w:t xml:space="preserve">Optics_dryshell_selector=2</w:t>
      </w:r>
      <w:r>
        <w:t xml:space="preserve">. Optical calculations are performed independently for each size–composition class before their layer optical moments are summed. The closure is a radiative mapping of the prognostic composition and should not be interpreted as an explicit prediction of particle morphology.</w:t>
      </w:r>
    </w:p>
    <w:p>
      <w:pPr>
        <w:pStyle w:val="BodyText"/>
      </w:pPr>
      <w:r>
        <w:t xml:space="preserve">For each class, dry species volumes are</w:t>
      </w:r>
      <w:r>
        <w:t xml:space="preserve"> </w:t>
      </w:r>
      <m:oMath>
        <m:sSub>
          <m:e>
            <m:r>
              <m:t>V</m:t>
            </m:r>
          </m:e>
          <m:sub>
            <m:r>
              <m:t>s</m:t>
            </m:r>
          </m:sub>
        </m:sSub>
        <m:r>
          <m:rPr>
            <m:sty m:val="p"/>
          </m:rPr>
          <m:t>=</m:t>
        </m:r>
        <m:sSub>
          <m:e>
            <m:r>
              <m:t>M</m:t>
            </m:r>
          </m:e>
          <m:sub>
            <m:r>
              <m:t>s</m:t>
            </m:r>
          </m:sub>
        </m:sSub>
        <m:r>
          <m:rPr>
            <m:sty m:val="p"/>
          </m:rPr>
          <m:t>/</m:t>
        </m:r>
        <m:sSub>
          <m:e>
            <m:r>
              <m:t>ρ</m:t>
            </m:r>
          </m:e>
          <m:sub>
            <m:r>
              <m:t>s</m:t>
            </m:r>
          </m:sub>
        </m:sSub>
      </m:oMath>
      <w:r>
        <w:t xml:space="preserve">. The composite refractory core is</w:t>
      </w:r>
    </w:p>
    <w:p>
      <w:pPr>
        <w:pStyle w:val="BodyText"/>
      </w:pPr>
      <m:oMathPara>
        <m:oMathParaPr>
          <m:jc m:val="center"/>
        </m:oMathParaPr>
        <m:oMath>
          <m:sSub>
            <m:e>
              <m:r>
                <m:t>V</m:t>
              </m:r>
            </m:e>
            <m:sub>
              <m:r>
                <m:t>c</m:t>
              </m:r>
            </m:sub>
          </m:sSub>
          <m:r>
            <m:rPr>
              <m:sty m:val="p"/>
            </m:rPr>
            <m:t>=</m:t>
          </m:r>
          <m:sSub>
            <m:e>
              <m:r>
                <m:t>V</m:t>
              </m:r>
            </m:e>
            <m:sub>
              <m:r>
                <m:t>B</m:t>
              </m:r>
              <m:r>
                <m:t>C</m:t>
              </m:r>
            </m:sub>
          </m:sSub>
          <m:r>
            <m:rPr>
              <m:sty m:val="p"/>
            </m:rPr>
            <m:t>+</m:t>
          </m:r>
          <m:sSub>
            <m:e>
              <m:r>
                <m:t>V</m:t>
              </m:r>
            </m:e>
            <m:sub>
              <m:r>
                <m:t>d</m:t>
              </m:r>
              <m:r>
                <m:t>u</m:t>
              </m:r>
              <m:r>
                <m:t>s</m:t>
              </m:r>
              <m:r>
                <m:t>t</m:t>
              </m:r>
            </m:sub>
          </m:sSub>
          <m:r>
            <m:rPr>
              <m:sty m:val="p"/>
            </m:rPr>
            <m:t>,</m:t>
          </m:r>
          <m:r>
            <m:t>  </m:t>
          </m:r>
          <m:sSub>
            <m:e>
              <m:r>
                <m:t>f</m:t>
              </m:r>
            </m:e>
            <m:sub>
              <m:r>
                <m:t>B</m:t>
              </m:r>
              <m:r>
                <m:t>C</m:t>
              </m:r>
              <m:r>
                <m:rPr>
                  <m:sty m:val="p"/>
                </m:rPr>
                <m:t>,</m:t>
              </m:r>
              <m:r>
                <m:t>c</m:t>
              </m:r>
            </m:sub>
          </m:sSub>
          <m:r>
            <m:rPr>
              <m:sty m:val="p"/>
            </m:rPr>
            <m:t>=</m:t>
          </m:r>
          <m:f>
            <m:fPr>
              <m:type m:val="bar"/>
            </m:fPr>
            <m:num>
              <m:sSub>
                <m:e>
                  <m:r>
                    <m:t>V</m:t>
                  </m:r>
                </m:e>
                <m:sub>
                  <m:r>
                    <m:t>B</m:t>
                  </m:r>
                  <m:r>
                    <m:t>C</m:t>
                  </m:r>
                </m:sub>
              </m:sSub>
            </m:num>
            <m:den>
              <m:sSub>
                <m:e>
                  <m:r>
                    <m:t>V</m:t>
                  </m:r>
                </m:e>
                <m:sub>
                  <m:r>
                    <m:t>c</m:t>
                  </m:r>
                </m:sub>
              </m:sSub>
            </m:den>
          </m:f>
          <m:r>
            <m:rPr>
              <m:sty m:val="p"/>
            </m:rPr>
            <m:t>,</m:t>
          </m:r>
        </m:oMath>
      </m:oMathPara>
    </w:p>
    <w:p>
      <w:pPr>
        <w:pStyle w:val="FirstParagraph"/>
      </w:pPr>
      <w:r>
        <w:t xml:space="preserve">and the core refractive index is linearly volume mixed,</w:t>
      </w:r>
    </w:p>
    <w:p>
      <w:pPr>
        <w:pStyle w:val="BodyText"/>
      </w:pPr>
      <m:oMathPara>
        <m:oMathParaPr>
          <m:jc m:val="center"/>
        </m:oMathParaPr>
        <m:oMath>
          <m:sSub>
            <m:e>
              <m:r>
                <m:t>m</m:t>
              </m:r>
            </m:e>
            <m:sub>
              <m:r>
                <m:t>c</m:t>
              </m:r>
            </m:sub>
          </m:sSub>
          <m:r>
            <m:rPr>
              <m:sty m:val="p"/>
            </m:rPr>
            <m:t>(</m:t>
          </m:r>
          <m:r>
            <m:t>λ</m:t>
          </m:r>
          <m:r>
            <m:rPr>
              <m:sty m:val="p"/>
            </m:rPr>
            <m:t>)</m:t>
          </m:r>
          <m:r>
            <m:rPr>
              <m:sty m:val="p"/>
            </m:rPr>
            <m:t>=</m:t>
          </m:r>
          <m:sSub>
            <m:e>
              <m:r>
                <m:t>f</m:t>
              </m:r>
            </m:e>
            <m:sub>
              <m:r>
                <m:t>B</m:t>
              </m:r>
              <m:r>
                <m:t>C</m:t>
              </m:r>
              <m:r>
                <m:rPr>
                  <m:sty m:val="p"/>
                </m:rPr>
                <m:t>,</m:t>
              </m:r>
              <m:r>
                <m:t>c</m:t>
              </m:r>
            </m:sub>
          </m:sSub>
          <m:sSub>
            <m:e>
              <m:r>
                <m:t>m</m:t>
              </m:r>
            </m:e>
            <m:sub>
              <m:r>
                <m:t>B</m:t>
              </m:r>
              <m:r>
                <m:t>C</m:t>
              </m:r>
            </m:sub>
          </m:sSub>
          <m:r>
            <m:rPr>
              <m:sty m:val="p"/>
            </m:rPr>
            <m:t>(</m:t>
          </m:r>
          <m:r>
            <m:t>λ</m:t>
          </m:r>
          <m:r>
            <m:rPr>
              <m:sty m:val="p"/>
            </m:rPr>
            <m:t>)</m:t>
          </m:r>
          <m:r>
            <m:rPr>
              <m:sty m:val="p"/>
            </m:rPr>
            <m:t>+</m:t>
          </m:r>
          <m:r>
            <m:rPr>
              <m:sty m:val="p"/>
            </m:rPr>
            <m:t>(</m:t>
          </m:r>
          <m:r>
            <m:t>1</m:t>
          </m:r>
          <m:r>
            <m:rPr>
              <m:sty m:val="p"/>
            </m:rPr>
            <m:t>−</m:t>
          </m:r>
          <m:sSub>
            <m:e>
              <m:r>
                <m:t>f</m:t>
              </m:r>
            </m:e>
            <m:sub>
              <m:r>
                <m:t>B</m:t>
              </m:r>
              <m:r>
                <m:t>C</m:t>
              </m:r>
              <m:r>
                <m:rPr>
                  <m:sty m:val="p"/>
                </m:rPr>
                <m:t>,</m:t>
              </m:r>
              <m:r>
                <m:t>c</m:t>
              </m:r>
            </m:sub>
          </m:sSub>
          <m:r>
            <m:rPr>
              <m:sty m:val="p"/>
            </m:rPr>
            <m:t>)</m:t>
          </m:r>
          <m:sSub>
            <m:e>
              <m:r>
                <m:t>m</m:t>
              </m:r>
            </m:e>
            <m:sub>
              <m:r>
                <m:t>d</m:t>
              </m:r>
              <m:r>
                <m:t>u</m:t>
              </m:r>
              <m:r>
                <m:t>s</m:t>
              </m:r>
              <m:r>
                <m:t>t</m:t>
              </m:r>
            </m:sub>
          </m:sSub>
          <m:r>
            <m:rPr>
              <m:sty m:val="p"/>
            </m:rPr>
            <m:t>(</m:t>
          </m:r>
          <m:r>
            <m:t>λ</m:t>
          </m:r>
          <m:r>
            <m:rPr>
              <m:sty m:val="p"/>
            </m:rPr>
            <m:t>)</m:t>
          </m:r>
          <m:r>
            <m:rPr>
              <m:sty m:val="p"/>
            </m:rPr>
            <m:t>.</m:t>
          </m:r>
        </m:oMath>
      </m:oMathPara>
    </w:p>
    <w:p>
      <w:pPr>
        <w:pStyle w:val="FirstParagraph"/>
      </w:pPr>
      <w:r>
        <w:t xml:space="preserve">All remaining dry material is assigned to the dry shell. Hygroscopic growth is calculated from host-model relative humidity using the same species</w:t>
      </w:r>
      <w:r>
        <w:t xml:space="preserve"> </w:t>
      </w:r>
      <m:oMath>
        <m:r>
          <m:t>κ</m:t>
        </m:r>
      </m:oMath>
      <w:r>
        <w:t xml:space="preserve"> </w:t>
      </w:r>
      <w:r>
        <w:t xml:space="preserve">table as CCN activation. For the class,</w:t>
      </w:r>
    </w:p>
    <w:p>
      <w:pPr>
        <w:pStyle w:val="BodyText"/>
      </w:pPr>
      <m:oMathPara>
        <m:oMathParaPr>
          <m:jc m:val="center"/>
        </m:oMathParaPr>
        <m:oMath>
          <m:sSub>
            <m:e>
              <m:r>
                <m:t>κ</m:t>
              </m:r>
            </m:e>
            <m:sub>
              <m:r>
                <m:t>e</m:t>
              </m:r>
              <m:r>
                <m:t>f</m:t>
              </m:r>
              <m:r>
                <m:t>f</m:t>
              </m:r>
            </m:sub>
          </m:sSub>
          <m:r>
            <m:rPr>
              <m:sty m:val="p"/>
            </m:rPr>
            <m:t>=</m:t>
          </m:r>
          <m:f>
            <m:fPr>
              <m:type m:val="bar"/>
            </m:fPr>
            <m:num>
              <m:nary>
                <m:naryPr>
                  <m:chr m:val="∑"/>
                  <m:limLoc m:val="undOvr"/>
                  <m:subHide m:val="off"/>
                  <m:supHide m:val="on"/>
                </m:naryPr>
                <m:sub>
                  <m:r>
                    <m:t>s</m:t>
                  </m:r>
                </m:sub>
                <m:sup>
                  <m:r>
                    <m:t>​</m:t>
                  </m:r>
                </m:sup>
                <m:e>
                  <m:sSub>
                    <m:e>
                      <m:r>
                        <m:t>V</m:t>
                      </m:r>
                    </m:e>
                    <m:sub>
                      <m:r>
                        <m:t>s</m:t>
                      </m:r>
                    </m:sub>
                  </m:sSub>
                </m:e>
              </m:nary>
              <m:sSub>
                <m:e>
                  <m:r>
                    <m:t>κ</m:t>
                  </m:r>
                </m:e>
                <m:sub>
                  <m:r>
                    <m:t>s</m:t>
                  </m:r>
                </m:sub>
              </m:sSub>
            </m:num>
            <m:den>
              <m:nary>
                <m:naryPr>
                  <m:chr m:val="∑"/>
                  <m:limLoc m:val="undOvr"/>
                  <m:subHide m:val="off"/>
                  <m:supHide m:val="on"/>
                </m:naryPr>
                <m:sub>
                  <m:r>
                    <m:t>s</m:t>
                  </m:r>
                </m:sub>
                <m:sup>
                  <m:r>
                    <m:t>​</m:t>
                  </m:r>
                </m:sup>
                <m:e>
                  <m:sSub>
                    <m:e>
                      <m:r>
                        <m:t>V</m:t>
                      </m:r>
                    </m:e>
                    <m:sub>
                      <m:r>
                        <m:t>s</m:t>
                      </m:r>
                    </m:sub>
                  </m:sSub>
                </m:e>
              </m:nary>
            </m:den>
          </m:f>
          <m:r>
            <m:rPr>
              <m:sty m:val="p"/>
            </m:rPr>
            <m:t>,</m:t>
          </m:r>
        </m:oMath>
      </m:oMathPara>
    </w:p>
    <w:p>
      <w:pPr>
        <w:pStyle w:val="FirstParagraph"/>
      </w:pPr>
      <w:r>
        <w:t xml:space="preserve">with</w:t>
      </w:r>
      <w:r>
        <w:t xml:space="preserve"> </w:t>
      </w:r>
      <w:r>
        <w:rPr>
          <w:rStyle w:val="VerbatimChar"/>
        </w:rPr>
        <w:t xml:space="preserve">PH2O</w:t>
      </w:r>
      <w:r>
        <w:t xml:space="preserve"> </w:t>
      </w:r>
      <w:r>
        <w:t xml:space="preserve">excluded. The optical RH is limited to 0.95. A Kelvin-free</w:t>
      </w:r>
      <w:r>
        <w:t xml:space="preserve"> </w:t>
      </w:r>
      <m:oMath>
        <m:r>
          <m:t>κ</m:t>
        </m:r>
      </m:oMath>
      <w:r>
        <w:t xml:space="preserve">-Köhler growth factor provides an upper bound, after which the code solves</w:t>
      </w:r>
    </w:p>
    <w:p>
      <w:pPr>
        <w:pStyle w:val="BodyText"/>
      </w:pPr>
      <m:oMathPara>
        <m:oMathParaPr>
          <m:jc m:val="center"/>
        </m:oMathParaPr>
        <m:oMath>
          <m:r>
            <m:t>R</m:t>
          </m:r>
          <m:r>
            <m:t>H</m:t>
          </m:r>
          <m:r>
            <m:rPr>
              <m:sty m:val="p"/>
            </m:rPr>
            <m:t>=</m:t>
          </m:r>
          <m:sSub>
            <m:e>
              <m:r>
                <m:t>a</m:t>
              </m:r>
            </m:e>
            <m:sub>
              <m:r>
                <m:t>w</m:t>
              </m:r>
            </m:sub>
          </m:sSub>
          <m:r>
            <m:rPr>
              <m:sty m:val="p"/>
            </m:rPr>
            <m:t>(</m:t>
          </m:r>
          <m:sSub>
            <m:e>
              <m:r>
                <m:t>r</m:t>
              </m:r>
            </m:e>
            <m:sub>
              <m:r>
                <m:t>w</m:t>
              </m:r>
            </m:sub>
          </m:sSub>
          <m:r>
            <m:rPr>
              <m:sty m:val="p"/>
            </m:rPr>
            <m:t>)</m:t>
          </m:r>
          <m:r>
            <m:rPr>
              <m:sty m:val="p"/>
            </m:rPr>
            <m:t>exp</m:t>
          </m:r>
          <m:d>
            <m:dPr>
              <m:begChr m:val="("/>
              <m:sepChr m:val=""/>
              <m:endChr m:val=")"/>
              <m:grow/>
            </m:dPr>
            <m:e>
              <m:f>
                <m:fPr>
                  <m:type m:val="bar"/>
                </m:fPr>
                <m:num>
                  <m:r>
                    <m:t>A</m:t>
                  </m:r>
                </m:num>
                <m:den>
                  <m:sSub>
                    <m:e>
                      <m:r>
                        <m:t>r</m:t>
                      </m:r>
                    </m:e>
                    <m:sub>
                      <m:r>
                        <m:t>w</m:t>
                      </m:r>
                    </m:sub>
                  </m:sSub>
                </m:den>
              </m:f>
            </m:e>
          </m:d>
          <m:r>
            <m:rPr>
              <m:sty m:val="p"/>
            </m:rPr>
            <m:t>,</m:t>
          </m:r>
        </m:oMath>
      </m:oMathPara>
    </w:p>
    <w:p>
      <w:pPr>
        <w:pStyle w:val="FirstParagraph"/>
      </w:pPr>
      <w:r>
        <w:t xml:space="preserve">where</w:t>
      </w:r>
    </w:p>
    <w:p>
      <w:pPr>
        <w:pStyle w:val="BodyText"/>
      </w:pPr>
      <m:oMathPara>
        <m:oMathParaPr>
          <m:jc m:val="center"/>
        </m:oMathParaPr>
        <m:oMath>
          <m:sSub>
            <m:e>
              <m:r>
                <m:t>a</m:t>
              </m:r>
            </m:e>
            <m:sub>
              <m:r>
                <m:t>w</m:t>
              </m:r>
            </m:sub>
          </m:sSub>
          <m:r>
            <m:rPr>
              <m:sty m:val="p"/>
            </m:rPr>
            <m:t>=</m:t>
          </m:r>
          <m:f>
            <m:fPr>
              <m:type m:val="bar"/>
            </m:fPr>
            <m:num>
              <m:sSubSup>
                <m:e>
                  <m:r>
                    <m:t>r</m:t>
                  </m:r>
                </m:e>
                <m:sub>
                  <m:r>
                    <m:t>w</m:t>
                  </m:r>
                </m:sub>
                <m:sup>
                  <m:r>
                    <m:t>3</m:t>
                  </m:r>
                </m:sup>
              </m:sSubSup>
              <m:r>
                <m:rPr>
                  <m:sty m:val="p"/>
                </m:rPr>
                <m:t>−</m:t>
              </m:r>
              <m:sSubSup>
                <m:e>
                  <m:r>
                    <m:t>r</m:t>
                  </m:r>
                </m:e>
                <m:sub>
                  <m:r>
                    <m:t>d</m:t>
                  </m:r>
                </m:sub>
                <m:sup>
                  <m:r>
                    <m:t>3</m:t>
                  </m:r>
                </m:sup>
              </m:sSubSup>
            </m:num>
            <m:den>
              <m:sSubSup>
                <m:e>
                  <m:r>
                    <m:t>r</m:t>
                  </m:r>
                </m:e>
                <m:sub>
                  <m:r>
                    <m:t>w</m:t>
                  </m:r>
                </m:sub>
                <m:sup>
                  <m:r>
                    <m:t>3</m:t>
                  </m:r>
                </m:sup>
              </m:sSubSup>
              <m:r>
                <m:rPr>
                  <m:sty m:val="p"/>
                </m:rPr>
                <m:t>−</m:t>
              </m:r>
              <m:sSubSup>
                <m:e>
                  <m:r>
                    <m:t>r</m:t>
                  </m:r>
                </m:e>
                <m:sub>
                  <m:r>
                    <m:t>d</m:t>
                  </m:r>
                </m:sub>
                <m:sup>
                  <m:r>
                    <m:t>3</m:t>
                  </m:r>
                </m:sup>
              </m:sSubSup>
              <m:r>
                <m:rPr>
                  <m:sty m:val="p"/>
                </m:rPr>
                <m:t>(</m:t>
              </m:r>
              <m:r>
                <m:t>1</m:t>
              </m:r>
              <m:r>
                <m:rPr>
                  <m:sty m:val="p"/>
                </m:rPr>
                <m:t>−</m:t>
              </m:r>
              <m:sSub>
                <m:e>
                  <m:r>
                    <m:t>κ</m:t>
                  </m:r>
                </m:e>
                <m:sub>
                  <m:r>
                    <m:t>e</m:t>
                  </m:r>
                  <m:r>
                    <m:t>f</m:t>
                  </m:r>
                  <m:r>
                    <m:t>f</m:t>
                  </m:r>
                </m:sub>
              </m:sSub>
              <m:r>
                <m:rPr>
                  <m:sty m:val="p"/>
                </m:rPr>
                <m:t>)</m:t>
              </m:r>
            </m:den>
          </m:f>
          <m:r>
            <m:rPr>
              <m:sty m:val="p"/>
            </m:rPr>
            <m:t>,</m:t>
          </m:r>
          <m:r>
            <m:t>  </m:t>
          </m:r>
          <m:r>
            <m:t>A</m:t>
          </m:r>
          <m:r>
            <m:rPr>
              <m:sty m:val="p"/>
            </m:rPr>
            <m:t>=</m:t>
          </m:r>
          <m:f>
            <m:fPr>
              <m:type m:val="bar"/>
            </m:fPr>
            <m:num>
              <m:r>
                <m:t>2</m:t>
              </m:r>
              <m:sSub>
                <m:e>
                  <m:r>
                    <m:t>σ</m:t>
                  </m:r>
                </m:e>
                <m:sub>
                  <m:r>
                    <m:t>w</m:t>
                  </m:r>
                </m:sub>
              </m:sSub>
              <m:sSub>
                <m:e>
                  <m:r>
                    <m:t>M</m:t>
                  </m:r>
                </m:e>
                <m:sub>
                  <m:r>
                    <m:t>w</m:t>
                  </m:r>
                </m:sub>
              </m:sSub>
            </m:num>
            <m:den>
              <m:r>
                <m:t>R</m:t>
              </m:r>
              <m:r>
                <m:t>T</m:t>
              </m:r>
              <m:sSub>
                <m:e>
                  <m:r>
                    <m:t>ρ</m:t>
                  </m:r>
                </m:e>
                <m:sub>
                  <m:r>
                    <m:t>w</m:t>
                  </m:r>
                </m:sub>
              </m:sSub>
            </m:den>
          </m:f>
          <m:r>
            <m:rPr>
              <m:sty m:val="p"/>
            </m:rPr>
            <m:t>,</m:t>
          </m:r>
        </m:oMath>
      </m:oMathPara>
    </w:p>
    <w:p>
      <w:pPr>
        <w:pStyle w:val="FirstParagraph"/>
      </w:pPr>
      <w:r>
        <w:t xml:space="preserve">by bounded bisection. This use of host RH is deliberate: prognostic</w:t>
      </w:r>
      <w:r>
        <w:t xml:space="preserve"> </w:t>
      </w:r>
      <w:r>
        <w:rPr>
          <w:rStyle w:val="VerbatimChar"/>
        </w:rPr>
        <w:t xml:space="preserve">PH2O</w:t>
      </w:r>
      <w:r>
        <w:t xml:space="preserve"> </w:t>
      </w:r>
      <w:r>
        <w:t xml:space="preserve">remains available to thermodynamics and diagnostics but is not allowed to define the optical wet radius directly.</w:t>
      </w:r>
    </w:p>
    <w:p>
      <w:pPr>
        <w:pStyle w:val="BodyText"/>
      </w:pPr>
      <w:r>
        <w:t xml:space="preserve">The optical geometry is described by</w:t>
      </w:r>
    </w:p>
    <w:p>
      <w:pPr>
        <w:pStyle w:val="BodyText"/>
      </w:pPr>
      <m:oMathPara>
        <m:oMathParaPr>
          <m:jc m:val="center"/>
        </m:oMathParaPr>
        <m:oMath>
          <m:r>
            <m:t>η</m:t>
          </m:r>
          <m:r>
            <m:rPr>
              <m:sty m:val="p"/>
            </m:rPr>
            <m:t>=</m:t>
          </m:r>
          <m:f>
            <m:fPr>
              <m:type m:val="bar"/>
            </m:fPr>
            <m:num>
              <m:sSub>
                <m:e>
                  <m:r>
                    <m:t>r</m:t>
                  </m:r>
                </m:e>
                <m:sub>
                  <m:r>
                    <m:t>c</m:t>
                  </m:r>
                </m:sub>
              </m:sSub>
            </m:num>
            <m:den>
              <m:sSub>
                <m:e>
                  <m:r>
                    <m:t>r</m:t>
                  </m:r>
                </m:e>
                <m:sub>
                  <m:r>
                    <m:t>w</m:t>
                  </m:r>
                </m:sub>
              </m:sSub>
            </m:den>
          </m:f>
          <m:r>
            <m:rPr>
              <m:sty m:val="p"/>
            </m:rPr>
            <m:t>=</m:t>
          </m:r>
          <m:sSup>
            <m:e>
              <m:d>
                <m:dPr>
                  <m:begChr m:val="("/>
                  <m:sepChr m:val=""/>
                  <m:endChr m:val=")"/>
                  <m:grow/>
                </m:dPr>
                <m:e>
                  <m:f>
                    <m:fPr>
                      <m:type m:val="bar"/>
                    </m:fPr>
                    <m:num>
                      <m:sSub>
                        <m:e>
                          <m:r>
                            <m:t>V</m:t>
                          </m:r>
                        </m:e>
                        <m:sub>
                          <m:r>
                            <m:t>c</m:t>
                          </m:r>
                        </m:sub>
                      </m:sSub>
                    </m:num>
                    <m:den>
                      <m:sSub>
                        <m:e>
                          <m:r>
                            <m:t>V</m:t>
                          </m:r>
                        </m:e>
                        <m:sub>
                          <m:r>
                            <m:t>t</m:t>
                          </m:r>
                          <m:r>
                            <m:t>o</m:t>
                          </m:r>
                          <m:r>
                            <m:t>t</m:t>
                          </m:r>
                          <m:r>
                            <m:rPr>
                              <m:sty m:val="p"/>
                            </m:rPr>
                            <m:t>,</m:t>
                          </m:r>
                          <m:r>
                            <m:t>w</m:t>
                          </m:r>
                          <m:r>
                            <m:t>e</m:t>
                          </m:r>
                          <m:r>
                            <m:t>t</m:t>
                          </m:r>
                        </m:sub>
                      </m:sSub>
                    </m:den>
                  </m:f>
                </m:e>
              </m:d>
            </m:e>
            <m:sup>
              <m:r>
                <m:t>1</m:t>
              </m:r>
              <m:r>
                <m:rPr>
                  <m:sty m:val="p"/>
                </m:rPr>
                <m:t>/</m:t>
              </m:r>
              <m:r>
                <m:t>3</m:t>
              </m:r>
            </m:sup>
          </m:sSup>
          <m:r>
            <m:rPr>
              <m:sty m:val="p"/>
            </m:rPr>
            <m:t>,</m:t>
          </m:r>
          <m:r>
            <m:t>  </m:t>
          </m:r>
          <m:sSub>
            <m:e>
              <m:r>
                <m:t>χ</m:t>
              </m:r>
            </m:e>
            <m:sub>
              <m:r>
                <m:t>w</m:t>
              </m:r>
            </m:sub>
          </m:sSub>
          <m:r>
            <m:rPr>
              <m:sty m:val="p"/>
            </m:rPr>
            <m:t>=</m:t>
          </m:r>
          <m:f>
            <m:fPr>
              <m:type m:val="bar"/>
            </m:fPr>
            <m:num>
              <m:sSub>
                <m:e>
                  <m:r>
                    <m:t>V</m:t>
                  </m:r>
                </m:e>
                <m:sub>
                  <m:r>
                    <m:t>s</m:t>
                  </m:r>
                  <m:r>
                    <m:t>h</m:t>
                  </m:r>
                  <m:r>
                    <m:t>e</m:t>
                  </m:r>
                  <m:r>
                    <m:t>l</m:t>
                  </m:r>
                  <m:r>
                    <m:t>l</m:t>
                  </m:r>
                  <m:r>
                    <m:rPr>
                      <m:sty m:val="p"/>
                    </m:rPr>
                    <m:t>,</m:t>
                  </m:r>
                  <m:r>
                    <m:t>w</m:t>
                  </m:r>
                  <m:r>
                    <m:t>e</m:t>
                  </m:r>
                  <m:r>
                    <m:t>t</m:t>
                  </m:r>
                </m:sub>
              </m:sSub>
              <m:r>
                <m:rPr>
                  <m:sty m:val="p"/>
                </m:rPr>
                <m:t>−</m:t>
              </m:r>
              <m:sSub>
                <m:e>
                  <m:r>
                    <m:t>V</m:t>
                  </m:r>
                </m:e>
                <m:sub>
                  <m:r>
                    <m:t>s</m:t>
                  </m:r>
                  <m:r>
                    <m:t>h</m:t>
                  </m:r>
                  <m:r>
                    <m:t>e</m:t>
                  </m:r>
                  <m:r>
                    <m:t>l</m:t>
                  </m:r>
                  <m:r>
                    <m:t>l</m:t>
                  </m:r>
                  <m:r>
                    <m:rPr>
                      <m:sty m:val="p"/>
                    </m:rPr>
                    <m:t>,</m:t>
                  </m:r>
                  <m:r>
                    <m:t>d</m:t>
                  </m:r>
                  <m:r>
                    <m:t>r</m:t>
                  </m:r>
                  <m:r>
                    <m:t>y</m:t>
                  </m:r>
                </m:sub>
              </m:sSub>
            </m:num>
            <m:den>
              <m:sSub>
                <m:e>
                  <m:r>
                    <m:t>V</m:t>
                  </m:r>
                </m:e>
                <m:sub>
                  <m:r>
                    <m:t>s</m:t>
                  </m:r>
                  <m:r>
                    <m:t>h</m:t>
                  </m:r>
                  <m:r>
                    <m:t>e</m:t>
                  </m:r>
                  <m:r>
                    <m:t>l</m:t>
                  </m:r>
                  <m:r>
                    <m:t>l</m:t>
                  </m:r>
                  <m:r>
                    <m:rPr>
                      <m:sty m:val="p"/>
                    </m:rPr>
                    <m:t>,</m:t>
                  </m:r>
                  <m:r>
                    <m:t>w</m:t>
                  </m:r>
                  <m:r>
                    <m:t>e</m:t>
                  </m:r>
                  <m:r>
                    <m:t>t</m:t>
                  </m:r>
                </m:sub>
              </m:sSub>
            </m:den>
          </m:f>
          <m:r>
            <m:rPr>
              <m:sty m:val="p"/>
            </m:rPr>
            <m:t>.</m:t>
          </m:r>
        </m:oMath>
      </m:oMathPara>
    </w:p>
    <w:p>
      <w:pPr>
        <w:pStyle w:val="FirstParagraph"/>
      </w:pPr>
      <w:r>
        <w:t xml:space="preserve">The dry shell has two end members in the same LUT. Define</w:t>
      </w:r>
    </w:p>
    <w:p>
      <w:pPr>
        <w:pStyle w:val="BodyText"/>
      </w:pPr>
      <m:oMathPara>
        <m:oMathParaPr>
          <m:jc m:val="center"/>
        </m:oMathParaPr>
        <m:oMath>
          <m:sSub>
            <m:e>
              <m:r>
                <m:t>ϕ</m:t>
              </m:r>
            </m:e>
            <m:sub>
              <m:r>
                <m:t>o</m:t>
              </m:r>
              <m:r>
                <m:t>r</m:t>
              </m:r>
              <m:r>
                <m:t>g</m:t>
              </m:r>
              <m:r>
                <m:rPr>
                  <m:sty m:val="p"/>
                </m:rPr>
                <m:t>,</m:t>
              </m:r>
              <m:r>
                <m:t>d</m:t>
              </m:r>
              <m:r>
                <m:t>r</m:t>
              </m:r>
              <m:r>
                <m:t>y</m:t>
              </m:r>
            </m:sub>
          </m:sSub>
          <m:r>
            <m:rPr>
              <m:sty m:val="p"/>
            </m:rPr>
            <m:t>=</m:t>
          </m:r>
          <m:f>
            <m:fPr>
              <m:type m:val="bar"/>
            </m:fPr>
            <m:num>
              <m:sSub>
                <m:e>
                  <m:r>
                    <m:t>V</m:t>
                  </m:r>
                </m:e>
                <m:sub>
                  <m:r>
                    <m:t>o</m:t>
                  </m:r>
                  <m:r>
                    <m:t>r</m:t>
                  </m:r>
                  <m:r>
                    <m:t>g</m:t>
                  </m:r>
                </m:sub>
              </m:sSub>
            </m:num>
            <m:den>
              <m:sSub>
                <m:e>
                  <m:r>
                    <m:t>V</m:t>
                  </m:r>
                </m:e>
                <m:sub>
                  <m:r>
                    <m:t>s</m:t>
                  </m:r>
                  <m:r>
                    <m:t>h</m:t>
                  </m:r>
                  <m:r>
                    <m:t>e</m:t>
                  </m:r>
                  <m:r>
                    <m:t>l</m:t>
                  </m:r>
                  <m:r>
                    <m:t>l</m:t>
                  </m:r>
                  <m:r>
                    <m:rPr>
                      <m:sty m:val="p"/>
                    </m:rPr>
                    <m:t>,</m:t>
                  </m:r>
                  <m:r>
                    <m:t>d</m:t>
                  </m:r>
                  <m:r>
                    <m:t>r</m:t>
                  </m:r>
                  <m:r>
                    <m:t>y</m:t>
                  </m:r>
                </m:sub>
              </m:sSub>
            </m:den>
          </m:f>
          <m:r>
            <m:rPr>
              <m:sty m:val="p"/>
            </m:rPr>
            <m:t>.</m:t>
          </m:r>
        </m:oMath>
      </m:oMathPara>
    </w:p>
    <w:p>
      <w:pPr>
        <w:pStyle w:val="FirstParagraph"/>
      </w:pPr>
      <w:r>
        <w:t xml:space="preserve">The production selector uses a sulfate-like dry shell for</w:t>
      </w:r>
      <w:r>
        <w:t xml:space="preserve"> </w:t>
      </w:r>
      <m:oMath>
        <m:sSub>
          <m:e>
            <m:r>
              <m:t>ϕ</m:t>
            </m:r>
          </m:e>
          <m:sub>
            <m:r>
              <m:t>o</m:t>
            </m:r>
            <m:r>
              <m:t>r</m:t>
            </m:r>
            <m:r>
              <m:t>g</m:t>
            </m:r>
            <m:r>
              <m:rPr>
                <m:sty m:val="p"/>
              </m:rPr>
              <m:t>,</m:t>
            </m:r>
            <m:r>
              <m:t>d</m:t>
            </m:r>
            <m:r>
              <m:t>r</m:t>
            </m:r>
            <m:r>
              <m:t>y</m:t>
            </m:r>
          </m:sub>
        </m:sSub>
        <m:r>
          <m:rPr>
            <m:sty m:val="p"/>
          </m:rPr>
          <m:t>≤</m:t>
        </m:r>
        <m:r>
          <m:t>0.5</m:t>
        </m:r>
      </m:oMath>
      <w:r>
        <w:t xml:space="preserve"> </w:t>
      </w:r>
      <w:r>
        <w:t xml:space="preserve">and a BrC/organic-like dry shell for</w:t>
      </w:r>
      <w:r>
        <w:t xml:space="preserve"> </w:t>
      </w:r>
      <m:oMath>
        <m:sSub>
          <m:e>
            <m:r>
              <m:t>ϕ</m:t>
            </m:r>
          </m:e>
          <m:sub>
            <m:r>
              <m:t>o</m:t>
            </m:r>
            <m:r>
              <m:t>r</m:t>
            </m:r>
            <m:r>
              <m:t>g</m:t>
            </m:r>
            <m:r>
              <m:rPr>
                <m:sty m:val="p"/>
              </m:rPr>
              <m:t>,</m:t>
            </m:r>
            <m:r>
              <m:t>d</m:t>
            </m:r>
            <m:r>
              <m:t>r</m:t>
            </m:r>
            <m:r>
              <m:t>y</m:t>
            </m:r>
          </m:sub>
        </m:sSub>
        <m:r>
          <m:rPr>
            <m:sty m:val="p"/>
          </m:rPr>
          <m:t>&gt;</m:t>
        </m:r>
        <m:r>
          <m:t>0.5</m:t>
        </m:r>
      </m:oMath>
      <w:r>
        <w:t xml:space="preserve">. The wet-shell complex refractive index is</w:t>
      </w:r>
    </w:p>
    <w:p>
      <w:pPr>
        <w:pStyle w:val="BodyText"/>
      </w:pPr>
      <m:oMathPara>
        <m:oMathParaPr>
          <m:jc m:val="center"/>
        </m:oMathParaPr>
        <m:oMath>
          <m:sSub>
            <m:e>
              <m:r>
                <m:t>m</m:t>
              </m:r>
            </m:e>
            <m:sub>
              <m:r>
                <m:t>s</m:t>
              </m:r>
              <m:r>
                <m:t>h</m:t>
              </m:r>
              <m:r>
                <m:t>e</m:t>
              </m:r>
              <m:r>
                <m:t>l</m:t>
              </m:r>
              <m:r>
                <m:t>l</m:t>
              </m:r>
            </m:sub>
          </m:sSub>
          <m:r>
            <m:rPr>
              <m:sty m:val="p"/>
            </m:rPr>
            <m:t>(</m:t>
          </m:r>
          <m:r>
            <m:t>λ</m:t>
          </m:r>
          <m:r>
            <m:rPr>
              <m:sty m:val="p"/>
            </m:rPr>
            <m:t>,</m:t>
          </m:r>
          <m:sSub>
            <m:e>
              <m:r>
                <m:t>χ</m:t>
              </m:r>
            </m:e>
            <m:sub>
              <m:r>
                <m:t>w</m:t>
              </m:r>
            </m:sub>
          </m:sSub>
          <m:r>
            <m:rPr>
              <m:sty m:val="p"/>
            </m:rPr>
            <m:t>)</m:t>
          </m:r>
          <m:r>
            <m:rPr>
              <m:sty m:val="p"/>
            </m:rPr>
            <m:t>=</m:t>
          </m:r>
          <m:r>
            <m:rPr>
              <m:sty m:val="p"/>
            </m:rPr>
            <m:t>(</m:t>
          </m:r>
          <m:r>
            <m:t>1</m:t>
          </m:r>
          <m:r>
            <m:rPr>
              <m:sty m:val="p"/>
            </m:rPr>
            <m:t>−</m:t>
          </m:r>
          <m:sSub>
            <m:e>
              <m:r>
                <m:t>χ</m:t>
              </m:r>
            </m:e>
            <m:sub>
              <m:r>
                <m:t>w</m:t>
              </m:r>
            </m:sub>
          </m:sSub>
          <m:r>
            <m:rPr>
              <m:sty m:val="p"/>
            </m:rPr>
            <m:t>)</m:t>
          </m:r>
          <m:sSub>
            <m:e>
              <m:r>
                <m:t>m</m:t>
              </m:r>
            </m:e>
            <m:sub>
              <m:r>
                <m:t>d</m:t>
              </m:r>
              <m:r>
                <m:t>r</m:t>
              </m:r>
              <m:r>
                <m:t>y</m:t>
              </m:r>
            </m:sub>
          </m:sSub>
          <m:r>
            <m:rPr>
              <m:sty m:val="p"/>
            </m:rPr>
            <m:t>(</m:t>
          </m:r>
          <m:r>
            <m:t>λ</m:t>
          </m:r>
          <m:r>
            <m:rPr>
              <m:sty m:val="p"/>
            </m:rPr>
            <m:t>)</m:t>
          </m:r>
          <m:r>
            <m:rPr>
              <m:sty m:val="p"/>
            </m:rPr>
            <m:t>+</m:t>
          </m:r>
          <m:sSub>
            <m:e>
              <m:r>
                <m:t>χ</m:t>
              </m:r>
            </m:e>
            <m:sub>
              <m:r>
                <m:t>w</m:t>
              </m:r>
            </m:sub>
          </m:sSub>
          <m:sSub>
            <m:e>
              <m:r>
                <m:t>m</m:t>
              </m:r>
            </m:e>
            <m:sub>
              <m:r>
                <m:t>w</m:t>
              </m:r>
              <m:r>
                <m:t>a</m:t>
              </m:r>
              <m:r>
                <m:t>t</m:t>
              </m:r>
              <m:r>
                <m:t>e</m:t>
              </m:r>
              <m:r>
                <m:t>r</m:t>
              </m:r>
            </m:sub>
          </m:sSub>
          <m:r>
            <m:rPr>
              <m:sty m:val="p"/>
            </m:rPr>
            <m:t>(</m:t>
          </m:r>
          <m:r>
            <m:t>λ</m:t>
          </m:r>
          <m:r>
            <m:rPr>
              <m:sty m:val="p"/>
            </m:rPr>
            <m:t>)</m:t>
          </m:r>
          <m:r>
            <m:rPr>
              <m:sty m:val="p"/>
            </m:rPr>
            <m:t>.</m:t>
          </m:r>
        </m:oMath>
      </m:oMathPara>
    </w:p>
    <w:p>
      <w:pPr>
        <w:pStyle w:val="FirstParagraph"/>
      </w:pPr>
      <w:r>
        <w:t xml:space="preserve">This packed binary-endmember design adds one physically interpretable organic-dominance decision while keeping water uptake continuous. The offline coated-sphere calculations use the Bohren–Huffman Mie solution; the runtime interpolates</w:t>
      </w:r>
      <w:r>
        <w:t xml:space="preserve"> </w:t>
      </w:r>
      <m:oMath>
        <m:sSub>
          <m:e>
            <m:r>
              <m:t>Q</m:t>
            </m:r>
          </m:e>
          <m:sub>
            <m:r>
              <m:t>e</m:t>
            </m:r>
            <m:r>
              <m:t>x</m:t>
            </m:r>
            <m:r>
              <m:t>t</m:t>
            </m:r>
          </m:sub>
        </m:sSub>
      </m:oMath>
      <w:r>
        <w:t xml:space="preserve">,</w:t>
      </w:r>
      <w:r>
        <w:t xml:space="preserve"> </w:t>
      </w:r>
      <m:oMath>
        <m:sSub>
          <m:e>
            <m:r>
              <m:t>Q</m:t>
            </m:r>
          </m:e>
          <m:sub>
            <m:r>
              <m:t>s</m:t>
            </m:r>
            <m:r>
              <m:t>c</m:t>
            </m:r>
            <m:r>
              <m:t>a</m:t>
            </m:r>
          </m:sub>
        </m:sSub>
      </m:oMath>
      <w:r>
        <w:t xml:space="preserve">, and asymmetry parameter</w:t>
      </w:r>
      <w:r>
        <w:t xml:space="preserve"> </w:t>
      </w:r>
      <m:oMath>
        <m:r>
          <m:t>g</m:t>
        </m:r>
      </m:oMath>
      <w:r>
        <w:t xml:space="preserve"> </w:t>
      </w:r>
      <w:r>
        <w:t xml:space="preserve">in</w:t>
      </w:r>
      <w:r>
        <w:t xml:space="preserve"> </w:t>
      </w:r>
      <m:oMath>
        <m:r>
          <m:rPr>
            <m:sty m:val="p"/>
          </m:rPr>
          <m:t>log</m:t>
        </m:r>
        <m:sSub>
          <m:e>
            <m:r>
              <m:t>r</m:t>
            </m:r>
          </m:e>
          <m:sub>
            <m:r>
              <m:t>w</m:t>
            </m:r>
          </m:sub>
        </m:sSub>
      </m:oMath>
      <w:r>
        <w:t xml:space="preserve">,</w:t>
      </w:r>
      <w:r>
        <w:t xml:space="preserve"> </w:t>
      </w:r>
      <m:oMath>
        <m:r>
          <m:t>η</m:t>
        </m:r>
      </m:oMath>
      <w:r>
        <w:t xml:space="preserve">,</w:t>
      </w:r>
      <w:r>
        <w:t xml:space="preserve"> </w:t>
      </w:r>
      <m:oMath>
        <m:sSub>
          <m:e>
            <m:r>
              <m:t>f</m:t>
            </m:r>
          </m:e>
          <m:sub>
            <m:r>
              <m:t>B</m:t>
            </m:r>
            <m:r>
              <m:t>C</m:t>
            </m:r>
            <m:r>
              <m:rPr>
                <m:sty m:val="p"/>
              </m:rPr>
              <m:t>,</m:t>
            </m:r>
            <m:r>
              <m:t>c</m:t>
            </m:r>
          </m:sub>
        </m:sSub>
      </m:oMath>
      <w:r>
        <w:t xml:space="preserve">, and</w:t>
      </w:r>
      <w:r>
        <w:t xml:space="preserve"> </w:t>
      </w:r>
      <m:oMath>
        <m:sSub>
          <m:e>
            <m:r>
              <m:t>χ</m:t>
            </m:r>
          </m:e>
          <m:sub>
            <m:r>
              <m:t>w</m:t>
            </m:r>
          </m:sub>
        </m:sSub>
      </m:oMath>
      <w:r>
        <w:t xml:space="preserve">, with dry-shell mode as a discrete selector. Optical constants are based on established BC, dust, and aerosol-optics compilations (Bond &amp; Bergstrom, 2006; Sokolik &amp; Toon, 1999; Hess et al., 1998).</w:t>
      </w:r>
    </w:p>
    <w:p>
      <w:pPr>
        <w:pStyle w:val="BodyText"/>
      </w:pPr>
      <w:r>
        <w:t xml:space="preserve">The formal External run uses a 871,200-node LUT. Its production SHA256 is</w:t>
      </w:r>
      <w:r>
        <w:t xml:space="preserve"> </w:t>
      </w:r>
      <w:r>
        <w:rPr>
          <w:rStyle w:val="VerbatimChar"/>
        </w:rPr>
        <w:t xml:space="preserve">0e9054cca9e22c196bbf92e7e81473514033794b52ce69dd9b232a0c5b797c6e</w:t>
      </w:r>
      <w:r>
        <w:t xml:space="preserve">. The frozen production LUT reports</w:t>
      </w:r>
      <w:r>
        <w:t xml:space="preserve"> </w:t>
      </w:r>
      <w:r>
        <w:rPr>
          <w:rStyle w:val="VerbatimChar"/>
        </w:rPr>
        <w:t xml:space="preserve">failed_nodes=0</w:t>
      </w:r>
      <w:r>
        <w:t xml:space="preserve">; 1,254 primary coated-sphere solver failures were recovered by the independent multilayer</w:t>
      </w:r>
      <w:r>
        <w:t xml:space="preserve"> </w:t>
      </w:r>
      <w:r>
        <w:rPr>
          <w:rStyle w:val="VerbatimChar"/>
        </w:rPr>
        <w:t xml:space="preserve">scattnlay</w:t>
      </w:r>
      <w:r>
        <w:t xml:space="preserve"> </w:t>
      </w:r>
      <w:r>
        <w:t xml:space="preserve">fallback, leaving no unresolved nodes. This runtime file, rather than an older install-package copy, defines the paper optics.</w:t>
      </w:r>
    </w:p>
    <w:p>
      <w:pPr>
        <w:pStyle w:val="BodyText"/>
      </w:pPr>
      <w:r>
        <w:rPr>
          <w:b/>
          <w:bCs/>
        </w:rPr>
        <w:t xml:space="preserve">Table S7. Production reduced-shell LUT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LUT coordinate</w:t>
            </w:r>
          </w:p>
        </w:tc>
        <w:tc>
          <w:tcPr/>
          <w:p>
            <w:pPr>
              <w:pStyle w:val="Compact"/>
            </w:pPr>
            <w:r>
              <w:t xml:space="preserve">nodes</w:t>
            </w:r>
          </w:p>
        </w:tc>
        <w:tc>
          <w:tcPr/>
          <w:p>
            <w:pPr>
              <w:pStyle w:val="Compact"/>
            </w:pPr>
            <w:r>
              <w:t xml:space="preserve">definition</w:t>
            </w:r>
          </w:p>
        </w:tc>
      </w:tr>
      <w:tr>
        <w:tc>
          <w:tcPr/>
          <w:p>
            <w:pPr>
              <w:pStyle w:val="Compact"/>
            </w:pPr>
            <w:r>
              <w:t xml:space="preserve">wavelength</w:t>
            </w:r>
          </w:p>
        </w:tc>
        <w:tc>
          <w:tcPr/>
          <w:p>
            <w:pPr>
              <w:pStyle w:val="Compact"/>
            </w:pPr>
            <w:r>
              <w:t xml:space="preserve">30</w:t>
            </w:r>
          </w:p>
        </w:tc>
        <w:tc>
          <w:tcPr/>
          <w:p>
            <w:pPr>
              <w:pStyle w:val="Compact"/>
            </w:pPr>
            <w:r>
              <w:t xml:space="preserve">RRTMG LW+SW band centers</w:t>
            </w:r>
          </w:p>
        </w:tc>
      </w:tr>
      <w:tr>
        <w:tc>
          <w:tcPr/>
          <w:p>
            <w:pPr>
              <w:pStyle w:val="Compact"/>
            </w:pPr>
            <w:r>
              <w:t xml:space="preserve">r_wet</w:t>
            </w:r>
          </w:p>
        </w:tc>
        <w:tc>
          <w:tcPr/>
          <w:p>
            <w:pPr>
              <w:pStyle w:val="Compact"/>
            </w:pPr>
            <w:r>
              <w:t xml:space="preserve">22</w:t>
            </w:r>
          </w:p>
        </w:tc>
        <w:tc>
          <w:tcPr/>
          <w:p>
            <w:pPr>
              <w:pStyle w:val="Compact"/>
            </w:pPr>
            <w:r>
              <w:t xml:space="preserve">wet outer radius; interpolation in log(r_wet)</w:t>
            </w:r>
          </w:p>
        </w:tc>
      </w:tr>
      <w:tr>
        <w:tc>
          <w:tcPr/>
          <w:p>
            <w:pPr>
              <w:pStyle w:val="Compact"/>
            </w:pPr>
            <w:r>
              <w:t xml:space="preserve">eta</w:t>
            </w:r>
          </w:p>
        </w:tc>
        <w:tc>
          <w:tcPr/>
          <w:p>
            <w:pPr>
              <w:pStyle w:val="Compact"/>
            </w:pPr>
            <w:r>
              <w:t xml:space="preserve">10</w:t>
            </w:r>
          </w:p>
        </w:tc>
        <w:tc>
          <w:tcPr/>
          <w:p>
            <w:pPr>
              <w:pStyle w:val="Compact"/>
            </w:pPr>
            <w:r>
              <w:t xml:space="preserve">r_core/r_wet</w:t>
            </w:r>
          </w:p>
        </w:tc>
      </w:tr>
      <w:tr>
        <w:tc>
          <w:tcPr/>
          <w:p>
            <w:pPr>
              <w:pStyle w:val="Compact"/>
            </w:pPr>
            <w:r>
              <w:t xml:space="preserve">f_BC,core</w:t>
            </w:r>
          </w:p>
        </w:tc>
        <w:tc>
          <w:tcPr/>
          <w:p>
            <w:pPr>
              <w:pStyle w:val="Compact"/>
            </w:pPr>
            <w:r>
              <w:t xml:space="preserve">6</w:t>
            </w:r>
          </w:p>
        </w:tc>
        <w:tc>
          <w:tcPr/>
          <w:p>
            <w:pPr>
              <w:pStyle w:val="Compact"/>
            </w:pPr>
            <w:r>
              <w:t xml:space="preserve">BC volume fraction within BC+dust composite core</w:t>
            </w:r>
          </w:p>
        </w:tc>
      </w:tr>
      <w:tr>
        <w:tc>
          <w:tcPr/>
          <w:p>
            <w:pPr>
              <w:pStyle w:val="Compact"/>
            </w:pPr>
            <w:r>
              <w:t xml:space="preserve">chi_w</w:t>
            </w:r>
          </w:p>
        </w:tc>
        <w:tc>
          <w:tcPr/>
          <w:p>
            <w:pPr>
              <w:pStyle w:val="Compact"/>
            </w:pPr>
            <w:r>
              <w:t xml:space="preserve">11</w:t>
            </w:r>
          </w:p>
        </w:tc>
        <w:tc>
          <w:tcPr/>
          <w:p>
            <w:pPr>
              <w:pStyle w:val="Compact"/>
            </w:pPr>
            <w:r>
              <w:t xml:space="preserve">wet-shell water volume fraction = 1-1/Gamma_shell</w:t>
            </w:r>
          </w:p>
        </w:tc>
      </w:tr>
      <w:tr>
        <w:tc>
          <w:tcPr/>
          <w:p>
            <w:pPr>
              <w:pStyle w:val="Compact"/>
            </w:pPr>
            <w:r>
              <w:t xml:space="preserve">dry-shell mode</w:t>
            </w:r>
          </w:p>
        </w:tc>
        <w:tc>
          <w:tcPr/>
          <w:p>
            <w:pPr>
              <w:pStyle w:val="Compact"/>
            </w:pPr>
            <w:r>
              <w:t xml:space="preserve">2</w:t>
            </w:r>
          </w:p>
        </w:tc>
        <w:tc>
          <w:tcPr/>
          <w:p>
            <w:pPr>
              <w:pStyle w:val="Compact"/>
            </w:pPr>
            <w:r>
              <w:t xml:space="preserve">sulfate-like or BrC/organic-like end member</w:t>
            </w:r>
          </w:p>
        </w:tc>
      </w:tr>
    </w:tbl>
    <w:p>
      <w:pPr>
        <w:pStyle w:val="CaptionedFigure"/>
      </w:pPr>
      <w:r>
        <w:drawing>
          <wp:inline>
            <wp:extent cx="5334000" cy="2925703"/>
            <wp:effectExtent b="0" l="0" r="0" t="0"/>
            <wp:docPr descr="Figure S7. Production reduced-shell optical algorithm." title="" id="41" name="Picture"/>
            <a:graphic>
              <a:graphicData uri="http://schemas.openxmlformats.org/drawingml/2006/picture">
                <pic:pic>
                  <pic:nvPicPr>
                    <pic:cNvPr descr="../figures/figS06_reducedshell_optics_algorithm.png" id="42" name="Picture"/>
                    <pic:cNvPicPr>
                      <a:picLocks noChangeArrowheads="1" noChangeAspect="1"/>
                    </pic:cNvPicPr>
                  </pic:nvPicPr>
                  <pic:blipFill>
                    <a:blip r:embed="rId40"/>
                    <a:stretch>
                      <a:fillRect/>
                    </a:stretch>
                  </pic:blipFill>
                  <pic:spPr bwMode="auto">
                    <a:xfrm>
                      <a:off x="0" y="0"/>
                      <a:ext cx="5334000" cy="2925703"/>
                    </a:xfrm>
                    <a:prstGeom prst="rect">
                      <a:avLst/>
                    </a:prstGeom>
                    <a:noFill/>
                    <a:ln w="9525">
                      <a:noFill/>
                      <a:headEnd/>
                      <a:tailEnd/>
                    </a:ln>
                  </pic:spPr>
                </pic:pic>
              </a:graphicData>
            </a:graphic>
          </wp:inline>
        </w:drawing>
      </w:r>
    </w:p>
    <w:p>
      <w:pPr>
        <w:pStyle w:val="ImageCaption"/>
      </w:pPr>
      <w:r>
        <w:t xml:space="preserve">Figure S7. Production reduced-shell optical algorithm.</w:t>
      </w:r>
    </w:p>
    <w:p>
      <w:pPr>
        <w:pStyle w:val="BodyText"/>
      </w:pPr>
      <w:r>
        <w:rPr>
          <w:b/>
          <w:bCs/>
        </w:rPr>
        <w:t xml:space="preserve">Figure S7.</w:t>
      </w:r>
      <w:r>
        <w:t xml:space="preserve"> </w:t>
      </w:r>
      <w:r>
        <w:t xml:space="preserve">Production reduced-shell optical closure. BC and mineral dust form a two-component composite core; the dry shell switches between sulfate-like and BrC/organic-like end members, and water continuously dilutes the selected shell through</w:t>
      </w:r>
      <w:r>
        <w:t xml:space="preserve"> </w:t>
      </w:r>
      <m:oMath>
        <m:sSub>
          <m:e>
            <m:r>
              <m:t>χ</m:t>
            </m:r>
          </m:e>
          <m:sub>
            <m:r>
              <m:t>w</m:t>
            </m:r>
          </m:sub>
        </m:sSub>
      </m:oMath>
      <w:r>
        <w:t xml:space="preserve">. This is a radiative closure, not a claim of explicit core–shell particle morphology.</w:t>
      </w:r>
    </w:p>
    <w:bookmarkEnd w:id="43"/>
    <w:bookmarkStart w:id="47" w:name="Xe0a6ca00b8743c5f700b30c49a42b73a4d3adab"/>
    <w:p>
      <w:pPr>
        <w:pStyle w:val="Heading1"/>
      </w:pPr>
      <w:r>
        <w:t xml:space="preserve">Text S12. Sectional CCN activation and prognostic cloud-borne aerosol lifecycle</w:t>
      </w:r>
    </w:p>
    <w:p>
      <w:pPr>
        <w:pStyle w:val="FirstParagraph"/>
      </w:pPr>
      <w:r>
        <w:t xml:space="preserve">CCN activation is calculated for every populated size×composition cell. The effective hygroscopicity is volume weighted (Petters &amp; Kreidenweis, 2007),</w:t>
      </w:r>
    </w:p>
    <w:p>
      <w:pPr>
        <w:pStyle w:val="BodyText"/>
      </w:pPr>
      <m:oMathPara>
        <m:oMathParaPr>
          <m:jc m:val="center"/>
        </m:oMathParaPr>
        <m:oMath>
          <m:sSub>
            <m:e>
              <m:r>
                <m:t>ϵ</m:t>
              </m:r>
            </m:e>
            <m:sub>
              <m:r>
                <m:t>s</m:t>
              </m:r>
            </m:sub>
          </m:sSub>
          <m:r>
            <m:rPr>
              <m:sty m:val="p"/>
            </m:rPr>
            <m:t>=</m:t>
          </m:r>
          <m:f>
            <m:fPr>
              <m:type m:val="bar"/>
            </m:fPr>
            <m:num>
              <m:sSub>
                <m:e>
                  <m:r>
                    <m:t>M</m:t>
                  </m:r>
                </m:e>
                <m:sub>
                  <m:r>
                    <m:t>s</m:t>
                  </m:r>
                </m:sub>
              </m:sSub>
              <m:r>
                <m:rPr>
                  <m:sty m:val="p"/>
                </m:rPr>
                <m:t>/</m:t>
              </m:r>
              <m:sSub>
                <m:e>
                  <m:r>
                    <m:t>ρ</m:t>
                  </m:r>
                </m:e>
                <m:sub>
                  <m:r>
                    <m:t>s</m:t>
                  </m:r>
                </m:sub>
              </m:sSub>
            </m:num>
            <m:den>
              <m:nary>
                <m:naryPr>
                  <m:chr m:val="∑"/>
                  <m:limLoc m:val="undOvr"/>
                  <m:subHide m:val="off"/>
                  <m:supHide m:val="on"/>
                </m:naryPr>
                <m:sub>
                  <m:r>
                    <m:t>j</m:t>
                  </m:r>
                </m:sub>
                <m:sup>
                  <m:r>
                    <m:t>​</m:t>
                  </m:r>
                </m:sup>
                <m:e>
                  <m:sSub>
                    <m:e>
                      <m:r>
                        <m:t>M</m:t>
                      </m:r>
                    </m:e>
                    <m:sub>
                      <m:r>
                        <m:t>j</m:t>
                      </m:r>
                    </m:sub>
                  </m:sSub>
                </m:e>
              </m:nary>
              <m:r>
                <m:rPr>
                  <m:sty m:val="p"/>
                </m:rPr>
                <m:t>/</m:t>
              </m:r>
              <m:sSub>
                <m:e>
                  <m:r>
                    <m:t>ρ</m:t>
                  </m:r>
                </m:e>
                <m:sub>
                  <m:r>
                    <m:t>j</m:t>
                  </m:r>
                </m:sub>
              </m:sSub>
            </m:den>
          </m:f>
          <m:r>
            <m:rPr>
              <m:sty m:val="p"/>
            </m:rPr>
            <m:t>,</m:t>
          </m:r>
          <m:r>
            <m:t>  </m:t>
          </m:r>
          <m:sSub>
            <m:e>
              <m:r>
                <m:t>κ</m:t>
              </m:r>
            </m:e>
            <m:sub>
              <m:r>
                <m:t>e</m:t>
              </m:r>
              <m:r>
                <m:t>f</m:t>
              </m:r>
              <m:r>
                <m:t>f</m:t>
              </m:r>
            </m:sub>
          </m:sSub>
          <m:r>
            <m:rPr>
              <m:sty m:val="p"/>
            </m:rPr>
            <m:t>=</m:t>
          </m:r>
          <m:nary>
            <m:naryPr>
              <m:chr m:val="∑"/>
              <m:limLoc m:val="undOvr"/>
              <m:subHide m:val="off"/>
              <m:supHide m:val="on"/>
            </m:naryPr>
            <m:sub>
              <m:r>
                <m:t>s</m:t>
              </m:r>
            </m:sub>
            <m:sup>
              <m:r>
                <m:t>​</m:t>
              </m:r>
            </m:sup>
            <m:e>
              <m:sSub>
                <m:e>
                  <m:r>
                    <m:t>ϵ</m:t>
                  </m:r>
                </m:e>
                <m:sub>
                  <m:r>
                    <m:t>s</m:t>
                  </m:r>
                </m:sub>
              </m:sSub>
            </m:e>
          </m:nary>
          <m:sSub>
            <m:e>
              <m:r>
                <m:t>κ</m:t>
              </m:r>
            </m:e>
            <m:sub>
              <m:r>
                <m:t>s</m:t>
              </m:r>
            </m:sub>
          </m:sSub>
          <m:r>
            <m:rPr>
              <m:sty m:val="p"/>
            </m:rPr>
            <m:t>,</m:t>
          </m:r>
        </m:oMath>
      </m:oMathPara>
    </w:p>
    <w:p>
      <w:pPr>
        <w:pStyle w:val="FirstParagraph"/>
      </w:pPr>
      <w:r>
        <w:t xml:space="preserve">again excluding particle water. With local temperature-dependent Kelvin parameter</w:t>
      </w:r>
      <w:r>
        <w:t xml:space="preserve"> </w:t>
      </w:r>
      <m:oMath>
        <m:r>
          <m:t>A</m:t>
        </m:r>
      </m:oMath>
      <w:r>
        <w:t xml:space="preserve">, the production code evaluates the</w:t>
      </w:r>
      <w:r>
        <w:t xml:space="preserve"> </w:t>
      </w:r>
      <m:oMath>
        <m:r>
          <m:t>κ</m:t>
        </m:r>
      </m:oMath>
      <w:r>
        <w:t xml:space="preserve">-Köhler critical supersaturation of the dry bin center as</w:t>
      </w:r>
    </w:p>
    <w:p>
      <w:pPr>
        <w:pStyle w:val="BodyText"/>
      </w:pPr>
      <m:oMathPara>
        <m:oMathParaPr>
          <m:jc m:val="center"/>
        </m:oMathParaPr>
        <m:oMath>
          <m:sSub>
            <m:e>
              <m:r>
                <m:t>S</m:t>
              </m:r>
            </m:e>
            <m:sub>
              <m:r>
                <m:t>c</m:t>
              </m:r>
            </m:sub>
          </m:sSub>
          <m:r>
            <m:rPr>
              <m:sty m:val="p"/>
            </m:rPr>
            <m:t>=</m:t>
          </m:r>
          <m:r>
            <m:t>2</m:t>
          </m:r>
          <m:r>
            <m:t>A</m:t>
          </m:r>
          <m:rad>
            <m:radPr>
              <m:degHide m:val="on"/>
            </m:radPr>
            <m:deg/>
            <m:e>
              <m:f>
                <m:fPr>
                  <m:type m:val="bar"/>
                </m:fPr>
                <m:num>
                  <m:r>
                    <m:t>A</m:t>
                  </m:r>
                </m:num>
                <m:den>
                  <m:r>
                    <m:t>27</m:t>
                  </m:r>
                  <m:sSub>
                    <m:e>
                      <m:r>
                        <m:t>κ</m:t>
                      </m:r>
                    </m:e>
                    <m:sub>
                      <m:r>
                        <m:t>e</m:t>
                      </m:r>
                      <m:r>
                        <m:t>f</m:t>
                      </m:r>
                      <m:r>
                        <m:t>f</m:t>
                      </m:r>
                    </m:sub>
                  </m:sSub>
                  <m:sSubSup>
                    <m:e>
                      <m:r>
                        <m:t>r</m:t>
                      </m:r>
                    </m:e>
                    <m:sub>
                      <m:r>
                        <m:t>d</m:t>
                      </m:r>
                    </m:sub>
                    <m:sup>
                      <m:r>
                        <m:t>3</m:t>
                      </m:r>
                    </m:sup>
                  </m:sSubSup>
                </m:den>
              </m:f>
            </m:e>
          </m:rad>
          <m:r>
            <m:rPr>
              <m:sty m:val="p"/>
            </m:rPr>
            <m:t>.</m:t>
          </m:r>
        </m:oMath>
      </m:oMathPara>
    </w:p>
    <w:p>
      <w:pPr>
        <w:pStyle w:val="FirstParagraph"/>
      </w:pPr>
      <w:r>
        <w:t xml:space="preserve">A purely hydrophobic resolved class with</w:t>
      </w:r>
      <w:r>
        <w:t xml:space="preserve"> </w:t>
      </w:r>
      <m:oMath>
        <m:sSub>
          <m:e>
            <m:r>
              <m:t>κ</m:t>
            </m:r>
          </m:e>
          <m:sub>
            <m:r>
              <m:t>e</m:t>
            </m:r>
            <m:r>
              <m:t>f</m:t>
            </m:r>
            <m:r>
              <m:t>f</m:t>
            </m:r>
          </m:sub>
        </m:sSub>
        <m:r>
          <m:rPr>
            <m:sty m:val="p"/>
          </m:rPr>
          <m:t>=</m:t>
        </m:r>
        <m:r>
          <m:t>0</m:t>
        </m:r>
      </m:oMath>
      <w:r>
        <w:t xml:space="preserve"> </w:t>
      </w:r>
      <w:r>
        <w:t xml:space="preserve">remains physically present but does not contribute to liquid-water activation.</w:t>
      </w:r>
    </w:p>
    <w:p>
      <w:pPr>
        <w:pStyle w:val="BodyText"/>
      </w:pPr>
      <w:r>
        <w:t xml:space="preserve">Dynamic activation uses same-timestep CAM subgrid updraft (</w:t>
      </w:r>
      <w:r>
        <w:rPr>
          <w:rStyle w:val="VerbatimChar"/>
        </w:rPr>
        <w:t xml:space="preserve">WSUB_CURR</w:t>
      </w:r>
      <w:r>
        <w:t xml:space="preserve">, with the production lower floor of 0.20 m s</w:t>
      </w:r>
      <m:oMath>
        <m:sSup>
          <m:e>
            <m:r>
              <m:t>​</m:t>
            </m:r>
          </m:e>
          <m:sup>
            <m:r>
              <m:rPr>
                <m:sty m:val="p"/>
              </m:rPr>
              <m:t>−</m:t>
            </m:r>
            <m:r>
              <m:t>1</m:t>
            </m:r>
          </m:sup>
        </m:sSup>
      </m:oMath>
      <w:r>
        <w:t xml:space="preserve">) and the Abdul-Razzak and Ghan (2000) maximum-supersaturation framework. Each SCRAM bin×composition class is one competing sectional mode. For the monodisperse-bin limit used in the maximum-supersaturation calculation,</w:t>
      </w:r>
      <w:r>
        <w:t xml:space="preserve"> </w:t>
      </w:r>
      <m:oMath>
        <m:sSub>
          <m:e>
            <m:r>
              <m:t>F</m:t>
            </m:r>
          </m:e>
          <m:sub>
            <m:r>
              <m:t>1</m:t>
            </m:r>
          </m:sub>
        </m:sSub>
        <m:r>
          <m:rPr>
            <m:sty m:val="p"/>
          </m:rPr>
          <m:t>=</m:t>
        </m:r>
        <m:r>
          <m:t>0.5</m:t>
        </m:r>
      </m:oMath>
      <w:r>
        <w:t xml:space="preserve"> </w:t>
      </w:r>
      <w:r>
        <w:t xml:space="preserve">and</w:t>
      </w:r>
      <w:r>
        <w:t xml:space="preserve"> </w:t>
      </w:r>
      <m:oMath>
        <m:sSub>
          <m:e>
            <m:r>
              <m:t>F</m:t>
            </m:r>
          </m:e>
          <m:sub>
            <m:r>
              <m:t>2</m:t>
            </m:r>
          </m:sub>
        </m:sSub>
        <m:r>
          <m:rPr>
            <m:sty m:val="p"/>
          </m:rPr>
          <m:t>=</m:t>
        </m:r>
        <m:r>
          <m:t>1.0</m:t>
        </m:r>
      </m:oMath>
      <w:r>
        <w:t xml:space="preserve">, and</w:t>
      </w:r>
    </w:p>
    <w:p>
      <w:pPr>
        <w:pStyle w:val="BodyText"/>
      </w:pPr>
      <m:oMathPara>
        <m:oMathParaPr>
          <m:jc m:val="center"/>
        </m:oMathParaPr>
        <m:oMath>
          <m:sSubSup>
            <m:e>
              <m:r>
                <m:t>S</m:t>
              </m:r>
            </m:e>
            <m:sub>
              <m:r>
                <m:t>m</m:t>
              </m:r>
              <m:r>
                <m:t>a</m:t>
              </m:r>
              <m:r>
                <m:t>x</m:t>
              </m:r>
            </m:sub>
            <m:sup>
              <m:r>
                <m:t>2</m:t>
              </m:r>
            </m:sup>
          </m:sSubSup>
          <m:r>
            <m:rPr>
              <m:sty m:val="p"/>
            </m:rPr>
            <m:t>=</m:t>
          </m:r>
          <m:sSup>
            <m:e>
              <m:d>
                <m:dPr>
                  <m:begChr m:val="{"/>
                  <m:sepChr m:val=""/>
                  <m:endChr m:val="}"/>
                  <m:grow/>
                </m:dPr>
                <m:e>
                  <m:nary>
                    <m:naryPr>
                      <m:chr m:val="∑"/>
                      <m:limLoc m:val="undOvr"/>
                      <m:subHide m:val="off"/>
                      <m:supHide m:val="on"/>
                    </m:naryPr>
                    <m:sub>
                      <m:r>
                        <m:t>i</m:t>
                      </m:r>
                    </m:sub>
                    <m:sup>
                      <m:r>
                        <m:t>​</m:t>
                      </m:r>
                    </m:sup>
                    <m:e>
                      <m:f>
                        <m:fPr>
                          <m:type m:val="bar"/>
                        </m:fPr>
                        <m:num>
                          <m:sSub>
                            <m:e>
                              <m:r>
                                <m:t>F</m:t>
                              </m:r>
                            </m:e>
                            <m:sub>
                              <m:r>
                                <m:t>1</m:t>
                              </m:r>
                            </m:sub>
                          </m:sSub>
                          <m:sSub>
                            <m:e>
                              <m:r>
                                <m:t>g</m:t>
                              </m:r>
                            </m:e>
                            <m:sub>
                              <m:r>
                                <m:t>1</m:t>
                              </m:r>
                              <m:r>
                                <m:rPr>
                                  <m:sty m:val="p"/>
                                </m:rPr>
                                <m:t>,</m:t>
                              </m:r>
                              <m:r>
                                <m:t>i</m:t>
                              </m:r>
                            </m:sub>
                          </m:sSub>
                          <m:r>
                            <m:rPr>
                              <m:sty m:val="p"/>
                            </m:rPr>
                            <m:t>+</m:t>
                          </m:r>
                          <m:sSub>
                            <m:e>
                              <m:r>
                                <m:t>F</m:t>
                              </m:r>
                            </m:e>
                            <m:sub>
                              <m:r>
                                <m:t>2</m:t>
                              </m:r>
                            </m:sub>
                          </m:sSub>
                          <m:sSub>
                            <m:e>
                              <m:r>
                                <m:t>g</m:t>
                              </m:r>
                            </m:e>
                            <m:sub>
                              <m:r>
                                <m:t>2</m:t>
                              </m:r>
                              <m:r>
                                <m:rPr>
                                  <m:sty m:val="p"/>
                                </m:rPr>
                                <m:t>,</m:t>
                              </m:r>
                              <m:r>
                                <m:t>i</m:t>
                              </m:r>
                            </m:sub>
                          </m:sSub>
                        </m:num>
                        <m:den>
                          <m:sSubSup>
                            <m:e>
                              <m:r>
                                <m:t>S</m:t>
                              </m:r>
                            </m:e>
                            <m:sub>
                              <m:r>
                                <m:t>c</m:t>
                              </m:r>
                              <m:r>
                                <m:rPr>
                                  <m:sty m:val="p"/>
                                </m:rPr>
                                <m:t>,</m:t>
                              </m:r>
                              <m:r>
                                <m:t>i</m:t>
                              </m:r>
                            </m:sub>
                            <m:sup>
                              <m:r>
                                <m:t>2</m:t>
                              </m:r>
                            </m:sup>
                          </m:sSubSup>
                        </m:den>
                      </m:f>
                    </m:e>
                  </m:nary>
                </m:e>
              </m:d>
            </m:e>
            <m:sup>
              <m:r>
                <m:rPr>
                  <m:sty m:val="p"/>
                </m:rPr>
                <m:t>−</m:t>
              </m:r>
              <m:r>
                <m:t>1</m:t>
              </m:r>
            </m:sup>
          </m:sSup>
          <m:r>
            <m:rPr>
              <m:sty m:val="p"/>
            </m:rPr>
            <m:t>,</m:t>
          </m:r>
        </m:oMath>
      </m:oMathPara>
    </w:p>
    <w:p>
      <w:pPr>
        <w:pStyle w:val="FirstParagraph"/>
      </w:pPr>
      <w:r>
        <w:t xml:space="preserve">with the thermodynamic growth/competition variables</w:t>
      </w:r>
      <w:r>
        <w:t xml:space="preserve"> </w:t>
      </w:r>
      <m:oMath>
        <m:sSub>
          <m:e>
            <m:r>
              <m:t>g</m:t>
            </m:r>
          </m:e>
          <m:sub>
            <m:r>
              <m:t>1</m:t>
            </m:r>
          </m:sub>
        </m:sSub>
        <m:r>
          <m:rPr>
            <m:sty m:val="p"/>
          </m:rPr>
          <m:t>=</m:t>
        </m:r>
        <m:r>
          <m:rPr>
            <m:sty m:val="p"/>
          </m:rPr>
          <m:t>(</m:t>
        </m:r>
        <m:r>
          <m:t>ζ</m:t>
        </m:r>
        <m:r>
          <m:rPr>
            <m:sty m:val="p"/>
          </m:rPr>
          <m:t>/</m:t>
        </m:r>
        <m:sSub>
          <m:e>
            <m:r>
              <m:t>η</m:t>
            </m:r>
          </m:e>
          <m:sub>
            <m:r>
              <m:t>i</m:t>
            </m:r>
          </m:sub>
        </m:sSub>
        <m:sSup>
          <m:e>
            <m:r>
              <m:rPr>
                <m:sty m:val="p"/>
              </m:rPr>
              <m:t>)</m:t>
            </m:r>
          </m:e>
          <m:sup>
            <m:r>
              <m:t>3</m:t>
            </m:r>
            <m:r>
              <m:rPr>
                <m:sty m:val="p"/>
              </m:rPr>
              <m:t>/</m:t>
            </m:r>
            <m:r>
              <m:t>2</m:t>
            </m:r>
          </m:sup>
        </m:sSup>
      </m:oMath>
      <w:r>
        <w:t xml:space="preserve"> </w:t>
      </w:r>
      <w:r>
        <w:t xml:space="preserve">and</w:t>
      </w:r>
      <w:r>
        <w:t xml:space="preserve"> </w:t>
      </w:r>
      <m:oMath>
        <m:sSub>
          <m:e>
            <m:r>
              <m:t>g</m:t>
            </m:r>
          </m:e>
          <m:sub>
            <m:r>
              <m:t>2</m:t>
            </m:r>
          </m:sub>
        </m:sSub>
        <m:r>
          <m:rPr>
            <m:sty m:val="p"/>
          </m:rPr>
          <m:t>=</m:t>
        </m:r>
        <m:r>
          <m:rPr>
            <m:sty m:val="p"/>
          </m:rPr>
          <m:t>[</m:t>
        </m:r>
        <m:sSub>
          <m:e>
            <m:r>
              <m:t>S</m:t>
            </m:r>
          </m:e>
          <m:sub>
            <m:r>
              <m:t>c</m:t>
            </m:r>
            <m:r>
              <m:rPr>
                <m:sty m:val="p"/>
              </m:rPr>
              <m:t>,</m:t>
            </m:r>
            <m:r>
              <m:t>i</m:t>
            </m:r>
          </m:sub>
        </m:sSub>
        <m:r>
          <m:rPr>
            <m:sty m:val="p"/>
          </m:rPr>
          <m:t>/</m:t>
        </m:r>
        <m:r>
          <m:rPr>
            <m:sty m:val="p"/>
          </m:rPr>
          <m:t>(</m:t>
        </m:r>
        <m:sSub>
          <m:e>
            <m:r>
              <m:t>η</m:t>
            </m:r>
          </m:e>
          <m:sub>
            <m:r>
              <m:t>i</m:t>
            </m:r>
          </m:sub>
        </m:sSub>
        <m:r>
          <m:rPr>
            <m:sty m:val="p"/>
          </m:rPr>
          <m:t>+</m:t>
        </m:r>
        <m:r>
          <m:t>3</m:t>
        </m:r>
        <m:r>
          <m:t>ζ</m:t>
        </m:r>
        <m:sSup>
          <m:e>
            <m:r>
              <m:rPr>
                <m:sty m:val="p"/>
              </m:rPr>
              <m:t>)</m:t>
            </m:r>
          </m:e>
          <m:sup>
            <m:r>
              <m:t>1</m:t>
            </m:r>
            <m:r>
              <m:rPr>
                <m:sty m:val="p"/>
              </m:rPr>
              <m:t>/</m:t>
            </m:r>
            <m:r>
              <m:t>2</m:t>
            </m:r>
          </m:sup>
        </m:sSup>
        <m:sSup>
          <m:e>
            <m:r>
              <m:rPr>
                <m:sty m:val="p"/>
              </m:rPr>
              <m:t>]</m:t>
            </m:r>
          </m:e>
          <m:sup>
            <m:r>
              <m:t>3</m:t>
            </m:r>
            <m:r>
              <m:rPr>
                <m:sty m:val="p"/>
              </m:rPr>
              <m:t>/</m:t>
            </m:r>
            <m:r>
              <m:t>2</m:t>
            </m:r>
          </m:sup>
        </m:sSup>
      </m:oMath>
      <w:r>
        <w:t xml:space="preserve"> </w:t>
      </w:r>
      <w:r>
        <w:t xml:space="preserve">evaluated using the same diffusion, thermal-conduction, latent-heat, and air-density terms as the CAM activation calculation. At the first step, when same-step subgrid updraft is unavailable, a 0.2% supersaturation fallback is used.</w:t>
      </w:r>
    </w:p>
    <w:p>
      <w:pPr>
        <w:pStyle w:val="BodyText"/>
      </w:pPr>
      <w:r>
        <w:t xml:space="preserve">The model does not simply activate an entire size section from its midpoint. Once a target supersaturation</w:t>
      </w:r>
      <w:r>
        <w:t xml:space="preserve"> </w:t>
      </w:r>
      <m:oMath>
        <m:sSub>
          <m:e>
            <m:r>
              <m:t>S</m:t>
            </m:r>
          </m:e>
          <m:sub>
            <m:r>
              <m:t>t</m:t>
            </m:r>
          </m:sub>
        </m:sSub>
      </m:oMath>
      <w:r>
        <w:t xml:space="preserve"> </w:t>
      </w:r>
      <w:r>
        <w:t xml:space="preserve">is available, the critical dry diameter is</w:t>
      </w:r>
    </w:p>
    <w:p>
      <w:pPr>
        <w:pStyle w:val="BodyText"/>
      </w:pPr>
      <m:oMathPara>
        <m:oMathParaPr>
          <m:jc m:val="center"/>
        </m:oMathParaPr>
        <m:oMath>
          <m:sSub>
            <m:e>
              <m:r>
                <m:t>D</m:t>
              </m:r>
            </m:e>
            <m:sub>
              <m:r>
                <m:t>c</m:t>
              </m:r>
              <m:r>
                <m:t>r</m:t>
              </m:r>
              <m:r>
                <m:t>i</m:t>
              </m:r>
              <m:r>
                <m:t>t</m:t>
              </m:r>
            </m:sub>
          </m:sSub>
          <m:r>
            <m:rPr>
              <m:sty m:val="p"/>
            </m:rPr>
            <m:t>=</m:t>
          </m:r>
          <m:sSub>
            <m:e>
              <m:r>
                <m:t>D</m:t>
              </m:r>
            </m:e>
            <m:sub>
              <m:r>
                <m:t>m</m:t>
              </m:r>
              <m:r>
                <m:t>i</m:t>
              </m:r>
              <m:r>
                <m:t>d</m:t>
              </m:r>
            </m:sub>
          </m:sSub>
          <m:sSup>
            <m:e>
              <m:d>
                <m:dPr>
                  <m:begChr m:val="("/>
                  <m:sepChr m:val=""/>
                  <m:endChr m:val=")"/>
                  <m:grow/>
                </m:dPr>
                <m:e>
                  <m:f>
                    <m:fPr>
                      <m:type m:val="bar"/>
                    </m:fPr>
                    <m:num>
                      <m:sSub>
                        <m:e>
                          <m:r>
                            <m:t>S</m:t>
                          </m:r>
                        </m:e>
                        <m:sub>
                          <m:r>
                            <m:t>c</m:t>
                          </m:r>
                        </m:sub>
                      </m:sSub>
                    </m:num>
                    <m:den>
                      <m:sSub>
                        <m:e>
                          <m:r>
                            <m:t>S</m:t>
                          </m:r>
                        </m:e>
                        <m:sub>
                          <m:r>
                            <m:t>t</m:t>
                          </m:r>
                        </m:sub>
                      </m:sSub>
                    </m:den>
                  </m:f>
                </m:e>
              </m:d>
            </m:e>
            <m:sup>
              <m:r>
                <m:t>2</m:t>
              </m:r>
              <m:r>
                <m:rPr>
                  <m:sty m:val="p"/>
                </m:rPr>
                <m:t>/</m:t>
              </m:r>
              <m:r>
                <m:t>3</m:t>
              </m:r>
            </m:sup>
          </m:sSup>
          <m:r>
            <m:rPr>
              <m:sty m:val="p"/>
            </m:rPr>
            <m:t>.</m:t>
          </m:r>
        </m:oMath>
      </m:oMathPara>
    </w:p>
    <w:p>
      <w:pPr>
        <w:pStyle w:val="FirstParagraph"/>
      </w:pPr>
      <w:r>
        <w:t xml:space="preserve">Within each explicit section, a linear dry-mass density in</w:t>
      </w:r>
      <w:r>
        <w:t xml:space="preserve"> </w:t>
      </w:r>
      <m:oMath>
        <m:r>
          <m:rPr>
            <m:sty m:val="p"/>
          </m:rPr>
          <m:t>ln</m:t>
        </m:r>
        <m:r>
          <m:t>D</m:t>
        </m:r>
      </m:oMath>
      <w:r>
        <w:t xml:space="preserve"> </w:t>
      </w:r>
      <w:r>
        <w:t xml:space="preserve">is fitted so that its number and dry-volume moments equal the two prognostic moments. The corresponding number density is proportional to the reconstructed mass density divided by</w:t>
      </w:r>
      <w:r>
        <w:t xml:space="preserve"> </w:t>
      </w:r>
      <m:oMath>
        <m:sSup>
          <m:e>
            <m:r>
              <m:t>D</m:t>
            </m:r>
          </m:e>
          <m:sup>
            <m:r>
              <m:t>3</m:t>
            </m:r>
          </m:sup>
        </m:sSup>
      </m:oMath>
      <w:r>
        <w:t xml:space="preserve">. Integrating above</w:t>
      </w:r>
      <w:r>
        <w:t xml:space="preserve"> </w:t>
      </w:r>
      <m:oMath>
        <m:sSub>
          <m:e>
            <m:r>
              <m:t>D</m:t>
            </m:r>
          </m:e>
          <m:sub>
            <m:r>
              <m:t>c</m:t>
            </m:r>
            <m:r>
              <m:t>r</m:t>
            </m:r>
            <m:r>
              <m:t>i</m:t>
            </m:r>
            <m:r>
              <m:t>t</m:t>
            </m:r>
          </m:sub>
        </m:sSub>
      </m:oMath>
      <w:r>
        <w:t xml:space="preserve"> </w:t>
      </w:r>
      <w:r>
        <w:t xml:space="preserve">gives the activated-number fraction; integrating the mass density gives the mass activation fraction. The fixed-supersaturation</w:t>
      </w:r>
      <w:r>
        <w:t xml:space="preserve"> </w:t>
      </w:r>
      <w:r>
        <w:rPr>
          <w:rStyle w:val="VerbatimChar"/>
        </w:rPr>
        <w:t xml:space="preserve">SCRAM_CCN3</w:t>
      </w:r>
      <w:r>
        <w:t xml:space="preserve"> </w:t>
      </w:r>
      <w:r>
        <w:t xml:space="preserve">diagnostic uses the same resolved population and sub-bin integration with</w:t>
      </w:r>
      <w:r>
        <w:t xml:space="preserve"> </w:t>
      </w:r>
      <m:oMath>
        <m:sSub>
          <m:e>
            <m:r>
              <m:t>S</m:t>
            </m:r>
          </m:e>
          <m:sub>
            <m:r>
              <m:t>t</m:t>
            </m:r>
          </m:sub>
        </m:sSub>
        <m:r>
          <m:rPr>
            <m:sty m:val="p"/>
          </m:rPr>
          <m:t>=</m:t>
        </m:r>
        <m:r>
          <m:t>0.1</m:t>
        </m:r>
        <m:r>
          <m:rPr>
            <m:sty m:val="p"/>
          </m:rPr>
          <m:t>%</m:t>
        </m:r>
      </m:oMath>
      <w:r>
        <w:t xml:space="preserve">, whereas cloud activation uses dynamic</w:t>
      </w:r>
      <w:r>
        <w:t xml:space="preserve"> </w:t>
      </w:r>
      <m:oMath>
        <m:sSub>
          <m:e>
            <m:r>
              <m:t>S</m:t>
            </m:r>
          </m:e>
          <m:sub>
            <m:r>
              <m:t>m</m:t>
            </m:r>
            <m:r>
              <m:t>a</m:t>
            </m:r>
            <m:r>
              <m:t>x</m:t>
            </m:r>
          </m:sub>
        </m:sSub>
      </m:oMath>
      <w:r>
        <w:t xml:space="preserve">.</w:t>
      </w:r>
    </w:p>
    <w:p>
      <w:pPr>
        <w:pStyle w:val="BodyText"/>
      </w:pPr>
      <w:r>
        <w:t xml:space="preserve">The dynamically activated layer-local number is then coupled to CAM cloud geometry. Cloud-base activation samples the layer below cloud base, newly formed liquid cloud samples the current layer, and persistent-cloud activation can be controlled by a production parameter. The target activated number is converted to an equilibrium grid-mean number and only a positive droplet-number deficit contributes to</w:t>
      </w:r>
      <w:r>
        <w:t xml:space="preserve"> </w:t>
      </w:r>
      <w:r>
        <w:rPr>
          <w:rStyle w:val="VerbatimChar"/>
        </w:rPr>
        <w:t xml:space="preserve">NPCCN</w:t>
      </w:r>
      <w:r>
        <w:t xml:space="preserve">.</w:t>
      </w:r>
    </w:p>
    <w:p>
      <w:pPr>
        <w:pStyle w:val="BodyText"/>
      </w:pPr>
      <w:r>
        <w:t xml:space="preserve">For the formal production cases,</w:t>
      </w:r>
      <w:r>
        <w:t xml:space="preserve"> </w:t>
      </w:r>
      <w:r>
        <w:rPr>
          <w:rStyle w:val="VerbatimChar"/>
        </w:rPr>
        <w:t xml:space="preserve">scram_cloudborne_scheme='prognostic'</w:t>
      </w:r>
      <w:r>
        <w:t xml:space="preserve">. Activation is also a conservative aerosol transaction. A cloud turnover fraction</w:t>
      </w:r>
    </w:p>
    <w:p>
      <w:pPr>
        <w:pStyle w:val="BodyText"/>
      </w:pPr>
      <m:oMathPara>
        <m:oMathParaPr>
          <m:jc m:val="center"/>
        </m:oMathParaPr>
        <m:oMath>
          <m:sSub>
            <m:e>
              <m:r>
                <m:t>C</m:t>
              </m:r>
            </m:e>
            <m:sub>
              <m:r>
                <m:t>t</m:t>
              </m:r>
              <m:r>
                <m:t>u</m:t>
              </m:r>
              <m:r>
                <m:t>r</m:t>
              </m:r>
              <m:r>
                <m:t>n</m:t>
              </m:r>
            </m:sub>
          </m:sSub>
          <m:r>
            <m:rPr>
              <m:sty m:val="p"/>
            </m:rPr>
            <m:t>=</m:t>
          </m:r>
          <m:sSub>
            <m:e>
              <m:r>
                <m:t>L</m:t>
              </m:r>
            </m:e>
            <m:sub>
              <m:r>
                <m:t>n</m:t>
              </m:r>
              <m:r>
                <m:t>e</m:t>
              </m:r>
              <m:r>
                <m:t>w</m:t>
              </m:r>
            </m:sub>
          </m:sSub>
          <m:d>
            <m:dPr>
              <m:begChr m:val="["/>
              <m:sepChr m:val=""/>
              <m:endChr m:val="]"/>
              <m:grow/>
            </m:dPr>
            <m:e>
              <m:r>
                <m:t>1</m:t>
              </m:r>
              <m:r>
                <m:rPr>
                  <m:sty m:val="p"/>
                </m:rPr>
                <m:t>−</m:t>
              </m:r>
              <m:r>
                <m:rPr>
                  <m:sty m:val="p"/>
                </m:rPr>
                <m:t>exp</m:t>
              </m:r>
              <m:d>
                <m:dPr>
                  <m:begChr m:val="("/>
                  <m:sepChr m:val=""/>
                  <m:endChr m:val=")"/>
                  <m:grow/>
                </m:dPr>
                <m:e>
                  <m:r>
                    <m:rPr>
                      <m:sty m:val="p"/>
                    </m:rPr>
                    <m:t>−</m:t>
                  </m:r>
                  <m:f>
                    <m:fPr>
                      <m:type m:val="bar"/>
                    </m:fPr>
                    <m:num>
                      <m:r>
                        <m:rPr>
                          <m:sty m:val="p"/>
                        </m:rPr>
                        <m:t>Δ</m:t>
                      </m:r>
                      <m:r>
                        <m:t>t</m:t>
                      </m:r>
                    </m:num>
                    <m:den>
                      <m:r>
                        <m:t>10800</m:t>
                      </m:r>
                      <m:r>
                        <m:t> </m:t>
                      </m:r>
                      <m:r>
                        <m:rPr>
                          <m:sty m:val="p"/>
                        </m:rPr>
                        <m:t>s</m:t>
                      </m:r>
                    </m:den>
                  </m:f>
                </m:e>
              </m:d>
            </m:e>
          </m:d>
        </m:oMath>
      </m:oMathPara>
    </w:p>
    <w:p>
      <w:pPr>
        <w:pStyle w:val="FirstParagraph"/>
      </w:pPr>
      <w:r>
        <w:t xml:space="preserve">multiplies the sectional activation fraction. Particle number and every species mass are transferred together:</w:t>
      </w:r>
    </w:p>
    <w:p>
      <w:pPr>
        <w:pStyle w:val="BodyText"/>
      </w:pPr>
      <m:oMathPara>
        <m:oMathParaPr>
          <m:jc m:val="center"/>
        </m:oMathParaPr>
        <m:oMath>
          <m:sSub>
            <m:e>
              <m:r>
                <m:t>A</m:t>
              </m:r>
            </m:e>
            <m:sub>
              <m:r>
                <m:t>N</m:t>
              </m:r>
            </m:sub>
          </m:sSub>
          <m:r>
            <m:rPr>
              <m:sty m:val="p"/>
            </m:rPr>
            <m:t>=</m:t>
          </m:r>
          <m:sSub>
            <m:e>
              <m:r>
                <m:t>C</m:t>
              </m:r>
            </m:e>
            <m:sub>
              <m:r>
                <m:t>t</m:t>
              </m:r>
              <m:r>
                <m:t>u</m:t>
              </m:r>
              <m:r>
                <m:t>r</m:t>
              </m:r>
              <m:r>
                <m:t>n</m:t>
              </m:r>
            </m:sub>
          </m:sSub>
          <m:sSub>
            <m:e>
              <m:r>
                <m:t>f</m:t>
              </m:r>
            </m:e>
            <m:sub>
              <m:r>
                <m:t>a</m:t>
              </m:r>
              <m:r>
                <m:t>c</m:t>
              </m:r>
              <m:r>
                <m:t>t</m:t>
              </m:r>
            </m:sub>
          </m:sSub>
          <m:r>
            <m:t>N</m:t>
          </m:r>
          <m:r>
            <m:rPr>
              <m:sty m:val="p"/>
            </m:rPr>
            <m:t>,</m:t>
          </m:r>
          <m:r>
            <m:t>  </m:t>
          </m:r>
          <m:sSub>
            <m:e>
              <m:r>
                <m:t>A</m:t>
              </m:r>
            </m:e>
            <m:sub>
              <m:r>
                <m:t>s</m:t>
              </m:r>
            </m:sub>
          </m:sSub>
          <m:r>
            <m:rPr>
              <m:sty m:val="p"/>
            </m:rPr>
            <m:t>=</m:t>
          </m:r>
          <m:sSub>
            <m:e>
              <m:r>
                <m:t>C</m:t>
              </m:r>
            </m:e>
            <m:sub>
              <m:r>
                <m:t>t</m:t>
              </m:r>
              <m:r>
                <m:t>u</m:t>
              </m:r>
              <m:r>
                <m:t>r</m:t>
              </m:r>
              <m:r>
                <m:t>n</m:t>
              </m:r>
            </m:sub>
          </m:sSub>
          <m:sSub>
            <m:e>
              <m:r>
                <m:t>f</m:t>
              </m:r>
            </m:e>
            <m:sub>
              <m:r>
                <m:t>a</m:t>
              </m:r>
              <m:r>
                <m:t>c</m:t>
              </m:r>
              <m:r>
                <m:t>t</m:t>
              </m:r>
            </m:sub>
          </m:sSub>
          <m:sSub>
            <m:e>
              <m:r>
                <m:t>M</m:t>
              </m:r>
            </m:e>
            <m:sub>
              <m:r>
                <m:t>s</m:t>
              </m:r>
            </m:sub>
          </m:sSub>
          <m:r>
            <m:rPr>
              <m:sty m:val="p"/>
            </m:rPr>
            <m:t>.</m:t>
          </m:r>
        </m:oMath>
      </m:oMathPara>
    </w:p>
    <w:p>
      <w:pPr>
        <w:pStyle w:val="FirstParagraph"/>
      </w:pPr>
      <w:r>
        <w:t xml:space="preserve">The transfer is rejected if the source state lacks either resolvable number or dry composition, preventing creation of compositionless droplets or mass without particles. A separate dry-mass moment fraction is used for sulfate where the number-activation fraction would not conserve</w:t>
      </w:r>
      <w:r>
        <w:t xml:space="preserve"> </w:t>
      </w:r>
      <w:r>
        <w:rPr>
          <w:rStyle w:val="VerbatimChar"/>
        </w:rPr>
        <w:t xml:space="preserve">PSO4</w:t>
      </w:r>
      <w:r>
        <w:t xml:space="preserve"> </w:t>
      </w:r>
      <w:r>
        <w:t xml:space="preserve">mass. Number, sulfate, and total dry-mass closure are exported as explicit diagnostics.</w:t>
      </w:r>
    </w:p>
    <w:p>
      <w:pPr>
        <w:pStyle w:val="CaptionedFigure"/>
      </w:pPr>
      <w:r>
        <w:drawing>
          <wp:inline>
            <wp:extent cx="5334000" cy="2667000"/>
            <wp:effectExtent b="0" l="0" r="0" t="0"/>
            <wp:docPr descr="Figure S8. Sectional activation and CAM cloud coupling." title="" id="45" name="Picture"/>
            <a:graphic>
              <a:graphicData uri="http://schemas.openxmlformats.org/drawingml/2006/picture">
                <pic:pic>
                  <pic:nvPicPr>
                    <pic:cNvPr descr="../figures/figS07_cloud_activation_coupling.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S8. Sectional activation and CAM cloud coupling.</w:t>
      </w:r>
    </w:p>
    <w:p>
      <w:pPr>
        <w:pStyle w:val="BodyText"/>
      </w:pPr>
      <w:r>
        <w:rPr>
          <w:b/>
          <w:bCs/>
        </w:rPr>
        <w:t xml:space="preserve">Figure S8.</w:t>
      </w:r>
      <w:r>
        <w:t xml:space="preserve"> </w:t>
      </w:r>
      <w:r>
        <w:t xml:space="preserve">SCRAM sectional activation and CAM cloud coupling. The same size×composition state determines</w:t>
      </w:r>
      <w:r>
        <w:t xml:space="preserve"> </w:t>
      </w:r>
      <m:oMath>
        <m:r>
          <m:t>κ</m:t>
        </m:r>
      </m:oMath>
      <w:r>
        <w:t xml:space="preserve">, critical supersaturation, dynamic activation, and the complete-particle cloud-borne transaction.</w:t>
      </w:r>
    </w:p>
    <w:bookmarkEnd w:id="47"/>
    <w:bookmarkStart w:id="48" w:name="X4e7dff3f172f60a5b890c01123e9a5fb79aa2f3"/>
    <w:p>
      <w:pPr>
        <w:pStyle w:val="Heading1"/>
      </w:pPr>
      <w:r>
        <w:t xml:space="preserve">Text S13. Common-window construction and diagnostic-variable contract</w:t>
      </w:r>
    </w:p>
    <w:p>
      <w:pPr>
        <w:pStyle w:val="FirstParagraph"/>
      </w:pPr>
      <w:r>
        <w:t xml:space="preserve">The formal MAM4, Internal SCRAM, and External SCRAM cases have unequal current integration lengths because External SCRAM is still progressing toward the common five-year endpoint. A paper-specific Python workflow inventories every CAM history timestamp, removes initialization records, applies the same spin-up exclusion, and retains the exact date intersection. The retained dates and their hash are stored in</w:t>
      </w:r>
      <w:r>
        <w:t xml:space="preserve"> </w:t>
      </w:r>
      <w:r>
        <w:rPr>
          <w:rStyle w:val="VerbatimChar"/>
        </w:rPr>
        <w:t xml:space="preserve">provenance/common_window_*.json</w:t>
      </w:r>
      <w:r>
        <w:t xml:space="preserve">.</w:t>
      </w:r>
    </w:p>
    <w:p>
      <w:pPr>
        <w:pStyle w:val="BodyText"/>
      </w:pPr>
      <w:r>
        <w:t xml:space="preserve">The common window is regenerated whenever new External files are completed. Any table or figure containing all three cases is regenerated from the updated date set. This prevents different sample lengths from contaminating the External–Internal mixing-state contrast.</w:t>
      </w:r>
    </w:p>
    <w:p>
      <w:pPr>
        <w:pStyle w:val="BodyText"/>
      </w:pPr>
      <w:r>
        <w:t xml:space="preserve">The variable-contract audit separately verifies units, dimensions, long names, averaging convention, spectral definition, and aerosol ownership for every candidate comparison field. Fields with identical names but different physical content are excluded from three-way comparisons. This is particularly important for optics because SCRAM replaces the tropospheric MAM4 optical contribution rather than adding to it.</w:t>
      </w:r>
    </w:p>
    <w:bookmarkEnd w:id="48"/>
    <w:bookmarkStart w:id="49" w:name="Xfcb3e72f5b41cb9c8f0962090648ca18b05f2ce"/>
    <w:p>
      <w:pPr>
        <w:pStyle w:val="Heading1"/>
      </w:pPr>
      <w:r>
        <w:t xml:space="preserve">Text S14. Numerical integrity, restart, and conservation tests</w:t>
      </w:r>
    </w:p>
    <w:p>
      <w:pPr>
        <w:pStyle w:val="FirstParagraph"/>
      </w:pPr>
      <w:r>
        <w:t xml:space="preserve">The model-validation package uses process-level invariants in addition to atmospheric evaluation. The core checks include finite/nonnegative tracer screening; coagulation species-mass closure; moving-center number and species-mass closure; composition-remapping closure; CAM↔SCRAM gas conversion closure; source number/mass normalization; warm-start/tropopause number and mapped-species closure; cloud activation number/species closure; restart reproducibility; and history continuity.</w:t>
      </w:r>
    </w:p>
    <w:p>
      <w:pPr>
        <w:pStyle w:val="BodyText"/>
      </w:pPr>
      <w:r>
        <w:t xml:space="preserve">These checks are intentionally attached to individual numerical operators. A climate-model field can look plausible even when a redistribution operator violates a conserved moment, so passing a multi-year simulation is not treated as a substitute for source-level conservation tests. In the current method audit, the standalone moving-center/dual-pivot conservation test, cloud-activation transaction test, physical wet-deposition LUT test, and sulfate-removal-control test all pass. Two older system-test wrappers are explicitly excluded from this statement because they still assert a historical 16-species cloud-activation contract or a removed debug token, whereas the frozen production aerosol inventory now contains 14 particle species. Their stale-contract status is recorded rather than being hidden by modifying the production algorithm. The machine-readable audit is</w:t>
      </w:r>
      <w:r>
        <w:t xml:space="preserve"> </w:t>
      </w:r>
      <w:r>
        <w:rPr>
          <w:rStyle w:val="VerbatimChar"/>
        </w:rPr>
        <w:t xml:space="preserve">provenance/methods_validation_20260812.json</w:t>
      </w:r>
      <w:r>
        <w:t xml:space="preserve">.</w:t>
      </w:r>
    </w:p>
    <w:bookmarkEnd w:id="49"/>
    <w:bookmarkStart w:id="50" w:name="Xbe8b3f23df7b034025999770ebd439a8beb06f1"/>
    <w:p>
      <w:pPr>
        <w:pStyle w:val="Heading1"/>
      </w:pPr>
      <w:r>
        <w:t xml:space="preserve">Text S15. Observation processing and statistical methods</w:t>
      </w:r>
    </w:p>
    <w:p>
      <w:pPr>
        <w:pStyle w:val="FirstParagraph"/>
      </w:pPr>
      <w:r>
        <w:t xml:space="preserve">Observation products are included only when their physical definitions can be reconciled with model diagnostics. Surface particulate matter comparisons use consistent size cuts and dry/ambient conventions. Optical comparisons harmonize wavelength and aerosol ownership. Satellite products are sampled with explicit treatment of missing values and geolocation; station observations are compared with collocated model values rather than global means.</w:t>
      </w:r>
    </w:p>
    <w:p>
      <w:pPr>
        <w:pStyle w:val="BodyText"/>
      </w:pPr>
      <w:r>
        <w:t xml:space="preserve">Global model averages use CESM Gaussian latitude weights. Seasonal means are calculated from the retained daily samples. Spatial correlations, RMSE, mean bias, and mean fractional bias are reported with their exact definitions. Interannual or block resampling will be used for uncertainty estimates where the retained simulation length permits.</w:t>
      </w:r>
    </w:p>
    <w:bookmarkEnd w:id="50"/>
    <w:bookmarkStart w:id="54" w:name="X2245397f7cea6b3752a2d4d8289bc6e96186516"/>
    <w:p>
      <w:pPr>
        <w:pStyle w:val="Heading1"/>
      </w:pPr>
      <w:r>
        <w:t xml:space="preserve">Text S16. Physical-group and chemical-species mixing-state metrics</w:t>
      </w:r>
    </w:p>
    <w:p>
      <w:pPr>
        <w:pStyle w:val="FirstParagraph"/>
      </w:pPr>
      <w:r>
        <w:t xml:space="preserve">The entropy-based mixing-state framework follows Riemer and West (2013). For particle type</w:t>
      </w:r>
      <w:r>
        <w:t xml:space="preserve"> </w:t>
      </w:r>
      <m:oMath>
        <m:r>
          <m:t>i</m:t>
        </m:r>
      </m:oMath>
      <w:r>
        <w:t xml:space="preserve"> </w:t>
      </w:r>
      <w:r>
        <w:t xml:space="preserve">and component</w:t>
      </w:r>
      <w:r>
        <w:t xml:space="preserve"> </w:t>
      </w:r>
      <m:oMath>
        <m:r>
          <m:t>a</m:t>
        </m:r>
      </m:oMath>
      <w:r>
        <w:t xml:space="preserve">, let</w:t>
      </w:r>
      <w:r>
        <w:t xml:space="preserve"> </w:t>
      </w:r>
      <m:oMath>
        <m:sSubSup>
          <m:e>
            <m:r>
              <m:t>p</m:t>
            </m:r>
          </m:e>
          <m:sub>
            <m:r>
              <m:t>i</m:t>
            </m:r>
          </m:sub>
          <m:sup>
            <m:r>
              <m:t>a</m:t>
            </m:r>
          </m:sup>
        </m:sSubSup>
      </m:oMath>
      <w:r>
        <w:t xml:space="preserve"> </w:t>
      </w:r>
      <w:r>
        <w:t xml:space="preserve">be the mass fraction of component</w:t>
      </w:r>
      <w:r>
        <w:t xml:space="preserve"> </w:t>
      </w:r>
      <m:oMath>
        <m:r>
          <m:t>a</m:t>
        </m:r>
      </m:oMath>
      <w:r>
        <w:t xml:space="preserve"> </w:t>
      </w:r>
      <w:r>
        <w:t xml:space="preserve">within particle type</w:t>
      </w:r>
      <w:r>
        <w:t xml:space="preserve"> </w:t>
      </w:r>
      <m:oMath>
        <m:r>
          <m:t>i</m:t>
        </m:r>
      </m:oMath>
      <w:r>
        <w:t xml:space="preserve">. The particle mixing entropy and effective component diversity are</w:t>
      </w:r>
    </w:p>
    <w:p>
      <w:pPr>
        <w:pStyle w:val="BodyText"/>
      </w:pPr>
      <m:oMathPara>
        <m:oMathParaPr>
          <m:jc m:val="center"/>
        </m:oMathParaPr>
        <m:oMath>
          <m:sSub>
            <m:e>
              <m:r>
                <m:t>H</m:t>
              </m:r>
            </m:e>
            <m:sub>
              <m:r>
                <m:t>i</m:t>
              </m:r>
            </m:sub>
          </m:sSub>
          <m:r>
            <m:rPr>
              <m:sty m:val="p"/>
            </m:rPr>
            <m:t>=</m:t>
          </m:r>
          <m:r>
            <m:rPr>
              <m:sty m:val="p"/>
            </m:rPr>
            <m:t>−</m:t>
          </m:r>
          <m:nary>
            <m:naryPr>
              <m:chr m:val="∑"/>
              <m:limLoc m:val="undOvr"/>
              <m:subHide m:val="off"/>
              <m:supHide m:val="on"/>
            </m:naryPr>
            <m:sub>
              <m:r>
                <m:t>a</m:t>
              </m:r>
            </m:sub>
            <m:sup>
              <m:r>
                <m:t>​</m:t>
              </m:r>
            </m:sup>
            <m:e>
              <m:sSubSup>
                <m:e>
                  <m:r>
                    <m:t>p</m:t>
                  </m:r>
                </m:e>
                <m:sub>
                  <m:r>
                    <m:t>i</m:t>
                  </m:r>
                </m:sub>
                <m:sup>
                  <m:r>
                    <m:t>a</m:t>
                  </m:r>
                </m:sup>
              </m:sSubSup>
            </m:e>
          </m:nary>
          <m:r>
            <m:rPr>
              <m:sty m:val="p"/>
            </m:rPr>
            <m:t>ln</m:t>
          </m:r>
          <m:sSubSup>
            <m:e>
              <m:r>
                <m:t>p</m:t>
              </m:r>
            </m:e>
            <m:sub>
              <m:r>
                <m:t>i</m:t>
              </m:r>
            </m:sub>
            <m:sup>
              <m:r>
                <m:t>a</m:t>
              </m:r>
            </m:sup>
          </m:sSubSup>
          <m:r>
            <m:rPr>
              <m:sty m:val="p"/>
            </m:rPr>
            <m:t>,</m:t>
          </m:r>
          <m:r>
            <m:t>  </m:t>
          </m:r>
          <m:sSub>
            <m:e>
              <m:r>
                <m:t>D</m:t>
              </m:r>
            </m:e>
            <m:sub>
              <m:r>
                <m:t>i</m:t>
              </m:r>
            </m:sub>
          </m:sSub>
          <m:r>
            <m:rPr>
              <m:sty m:val="p"/>
            </m:rPr>
            <m:t>=</m:t>
          </m:r>
          <m:r>
            <m:rPr>
              <m:sty m:val="p"/>
            </m:rPr>
            <m:t>exp</m:t>
          </m:r>
          <m:r>
            <m:rPr>
              <m:sty m:val="p"/>
            </m:rPr>
            <m:t>(</m:t>
          </m:r>
          <m:sSub>
            <m:e>
              <m:r>
                <m:t>H</m:t>
              </m:r>
            </m:e>
            <m:sub>
              <m:r>
                <m:t>i</m:t>
              </m:r>
            </m:sub>
          </m:sSub>
          <m:r>
            <m:rPr>
              <m:sty m:val="p"/>
            </m:rPr>
            <m:t>)</m:t>
          </m:r>
          <m:r>
            <m:rPr>
              <m:sty m:val="p"/>
            </m:rPr>
            <m:t>.</m:t>
          </m:r>
        </m:oMath>
      </m:oMathPara>
    </w:p>
    <w:p>
      <w:pPr>
        <w:pStyle w:val="FirstParagraph"/>
      </w:pPr>
      <w:r>
        <w:t xml:space="preserve">Let</w:t>
      </w:r>
      <w:r>
        <w:t xml:space="preserve"> </w:t>
      </w:r>
      <m:oMath>
        <m:sSub>
          <m:e>
            <m:r>
              <m:t>p</m:t>
            </m:r>
          </m:e>
          <m:sub>
            <m:r>
              <m:t>i</m:t>
            </m:r>
          </m:sub>
        </m:sSub>
      </m:oMath>
      <w:r>
        <w:t xml:space="preserve"> </w:t>
      </w:r>
      <w:r>
        <w:t xml:space="preserve">be the fraction of total aerosol dry mass contained in particle type</w:t>
      </w:r>
      <w:r>
        <w:t xml:space="preserve"> </w:t>
      </w:r>
      <m:oMath>
        <m:r>
          <m:t>i</m:t>
        </m:r>
      </m:oMath>
      <w:r>
        <w:t xml:space="preserve">. The mass-weighted average particle entropy is</w:t>
      </w:r>
    </w:p>
    <w:p>
      <w:pPr>
        <w:pStyle w:val="BodyText"/>
      </w:pPr>
      <m:oMathPara>
        <m:oMathParaPr>
          <m:jc m:val="center"/>
        </m:oMathParaPr>
        <m:oMath>
          <m:sSub>
            <m:e>
              <m:r>
                <m:t>H</m:t>
              </m:r>
            </m:e>
            <m:sub>
              <m:r>
                <m:t>α</m:t>
              </m:r>
            </m:sub>
          </m:sSub>
          <m:r>
            <m:rPr>
              <m:sty m:val="p"/>
            </m:rPr>
            <m:t>=</m:t>
          </m:r>
          <m:nary>
            <m:naryPr>
              <m:chr m:val="∑"/>
              <m:limLoc m:val="undOvr"/>
              <m:subHide m:val="off"/>
              <m:supHide m:val="on"/>
            </m:naryPr>
            <m:sub>
              <m:r>
                <m:t>i</m:t>
              </m:r>
            </m:sub>
            <m:sup>
              <m:r>
                <m:t>​</m:t>
              </m:r>
            </m:sup>
            <m:e>
              <m:sSub>
                <m:e>
                  <m:r>
                    <m:t>p</m:t>
                  </m:r>
                </m:e>
                <m:sub>
                  <m:r>
                    <m:t>i</m:t>
                  </m:r>
                </m:sub>
              </m:sSub>
            </m:e>
          </m:nary>
          <m:sSub>
            <m:e>
              <m:r>
                <m:t>H</m:t>
              </m:r>
            </m:e>
            <m:sub>
              <m:r>
                <m:t>i</m:t>
              </m:r>
            </m:sub>
          </m:sSub>
          <m:r>
            <m:rPr>
              <m:sty m:val="p"/>
            </m:rPr>
            <m:t>,</m:t>
          </m:r>
          <m:r>
            <m:t>  </m:t>
          </m:r>
          <m:sSub>
            <m:e>
              <m:r>
                <m:t>D</m:t>
              </m:r>
            </m:e>
            <m:sub>
              <m:r>
                <m:t>α</m:t>
              </m:r>
            </m:sub>
          </m:sSub>
          <m:r>
            <m:rPr>
              <m:sty m:val="p"/>
            </m:rPr>
            <m:t>=</m:t>
          </m:r>
          <m:r>
            <m:rPr>
              <m:sty m:val="p"/>
            </m:rPr>
            <m:t>exp</m:t>
          </m:r>
          <m:r>
            <m:rPr>
              <m:sty m:val="p"/>
            </m:rPr>
            <m:t>(</m:t>
          </m:r>
          <m:sSub>
            <m:e>
              <m:r>
                <m:t>H</m:t>
              </m:r>
            </m:e>
            <m:sub>
              <m:r>
                <m:t>α</m:t>
              </m:r>
            </m:sub>
          </m:sSub>
          <m:r>
            <m:rPr>
              <m:sty m:val="p"/>
            </m:rPr>
            <m:t>)</m:t>
          </m:r>
          <m:r>
            <m:rPr>
              <m:sty m:val="p"/>
            </m:rPr>
            <m:t>,</m:t>
          </m:r>
        </m:oMath>
      </m:oMathPara>
    </w:p>
    <w:p>
      <w:pPr>
        <w:pStyle w:val="FirstParagraph"/>
      </w:pPr>
      <w:r>
        <w:t xml:space="preserve">while</w:t>
      </w:r>
      <w:r>
        <w:t xml:space="preserve"> </w:t>
      </w:r>
      <m:oMath>
        <m:sSub>
          <m:e>
            <m:r>
              <m:t>D</m:t>
            </m:r>
          </m:e>
          <m:sub>
            <m:r>
              <m:t>γ</m:t>
            </m:r>
          </m:sub>
        </m:sSub>
        <m:r>
          <m:rPr>
            <m:sty m:val="p"/>
          </m:rPr>
          <m:t>=</m:t>
        </m:r>
        <m:r>
          <m:rPr>
            <m:sty m:val="p"/>
          </m:rPr>
          <m:t>exp</m:t>
        </m:r>
        <m:r>
          <m:rPr>
            <m:sty m:val="p"/>
          </m:rPr>
          <m:t>(</m:t>
        </m:r>
        <m:sSub>
          <m:e>
            <m:r>
              <m:t>H</m:t>
            </m:r>
          </m:e>
          <m:sub>
            <m:r>
              <m:t>γ</m:t>
            </m:r>
          </m:sub>
        </m:sSub>
        <m:r>
          <m:rPr>
            <m:sty m:val="p"/>
          </m:rPr>
          <m:t>)</m:t>
        </m:r>
      </m:oMath>
      <w:r>
        <w:t xml:space="preserve"> </w:t>
      </w:r>
      <w:r>
        <w:t xml:space="preserve">is obtained from the component mass fractions of the bulk aerosol population. The mixing-state index is then</w:t>
      </w:r>
    </w:p>
    <w:p>
      <w:pPr>
        <w:pStyle w:val="BodyText"/>
      </w:pPr>
      <m:oMathPara>
        <m:oMathParaPr>
          <m:jc m:val="center"/>
        </m:oMathParaPr>
        <m:oMath>
          <m:r>
            <m:t>χ</m:t>
          </m:r>
          <m:r>
            <m:rPr>
              <m:sty m:val="p"/>
            </m:rPr>
            <m:t>=</m:t>
          </m:r>
          <m:r>
            <m:t>100</m:t>
          </m:r>
          <m:r>
            <m:t> </m:t>
          </m:r>
          <m:f>
            <m:fPr>
              <m:type m:val="bar"/>
            </m:fPr>
            <m:num>
              <m:sSub>
                <m:e>
                  <m:r>
                    <m:t>D</m:t>
                  </m:r>
                </m:e>
                <m:sub>
                  <m:r>
                    <m:t>α</m:t>
                  </m:r>
                </m:sub>
              </m:sSub>
              <m:r>
                <m:rPr>
                  <m:sty m:val="p"/>
                </m:rPr>
                <m:t>−</m:t>
              </m:r>
              <m:r>
                <m:t>1</m:t>
              </m:r>
            </m:num>
            <m:den>
              <m:sSub>
                <m:e>
                  <m:r>
                    <m:t>D</m:t>
                  </m:r>
                </m:e>
                <m:sub>
                  <m:r>
                    <m:t>γ</m:t>
                  </m:r>
                </m:sub>
              </m:sSub>
              <m:r>
                <m:rPr>
                  <m:sty m:val="p"/>
                </m:rPr>
                <m:t>−</m:t>
              </m:r>
              <m:r>
                <m:t>1</m:t>
              </m:r>
            </m:den>
          </m:f>
          <m:r>
            <m:rPr>
              <m:sty m:val="p"/>
            </m:rPr>
            <m:t>.</m:t>
          </m:r>
        </m:oMath>
      </m:oMathPara>
    </w:p>
    <w:p>
      <w:pPr>
        <w:pStyle w:val="FirstParagraph"/>
      </w:pPr>
      <w:r>
        <w:t xml:space="preserve">Two component definitions are retained. The manuscript-primary</w:t>
      </w:r>
      <w:r>
        <w:t xml:space="preserve"> </w:t>
      </w:r>
      <w:r>
        <w:rPr>
          <w:b/>
          <w:bCs/>
        </w:rPr>
        <w:t xml:space="preserve">physical-group index</w:t>
      </w:r>
      <w:r>
        <w:t xml:space="preserve">,</w:t>
      </w:r>
      <w:r>
        <w:t xml:space="preserve"> </w:t>
      </w:r>
      <m:oMath>
        <m:sSub>
          <m:e>
            <m:r>
              <m:t>χ</m:t>
            </m:r>
          </m:e>
          <m:sub>
            <m:r>
              <m:t>g</m:t>
            </m:r>
          </m:sub>
        </m:sSub>
      </m:oMath>
      <w:r>
        <w:t xml:space="preserve">, first aggregates the 13 prognostic dry species into the six groups that define the production SCRAM composition classifier: DU = Dust; BC = BC; SLT = Na + chloride; SUF = sulfate; POA = primary organic aerosol; and SED = ammonium + nitrate + SOA1–SOA5. This aggregation aligns the metric with the scientific question posed by the External experiment: whether distinct aerosol material families and source/process characteristics occupy common particle types. It also avoids counting the Na and chloride constituents of one sea-salt material family as two independent mixing dimensions.</w:t>
      </w:r>
    </w:p>
    <w:p>
      <w:pPr>
        <w:pStyle w:val="BodyText"/>
      </w:pPr>
      <w:r>
        <w:t xml:space="preserve">The original</w:t>
      </w:r>
      <w:r>
        <w:t xml:space="preserve"> </w:t>
      </w:r>
      <w:r>
        <w:rPr>
          <w:b/>
          <w:bCs/>
        </w:rPr>
        <w:t xml:space="preserve">chemical-species index</w:t>
      </w:r>
      <w:r>
        <w:t xml:space="preserve">,</w:t>
      </w:r>
      <w:r>
        <w:t xml:space="preserve"> </w:t>
      </w:r>
      <m:oMath>
        <m:sSub>
          <m:e>
            <m:r>
              <m:t>χ</m:t>
            </m:r>
          </m:e>
          <m:sub>
            <m:r>
              <m:t>s</m:t>
            </m:r>
          </m:sub>
        </m:sSub>
      </m:oMath>
      <w:r>
        <w:t xml:space="preserve">, is calculated from all 13 dry species without aggregation and is retained as a sensitivity analysis. Water is excluded from both definitions. Both metrics use the actual species masses stored in monthly CAM restart files for all 77 External particle types (7 size bins × 11 composition classes). The formal comparison uses 28 monthly restart snapshots from 0001-05-01 through 0003-08-01, matching the analysis interval used for the manuscript mixing-state diagnostics.</w:t>
      </w:r>
    </w:p>
    <w:p>
      <w:pPr>
        <w:pStyle w:val="BodyText"/>
      </w:pPr>
      <w:r>
        <w:t xml:space="preserve">The component definition materially changes the interpretation in source-dominated regimes. Using the six physical groups, the annual regional values of</w:t>
      </w:r>
      <w:r>
        <w:t xml:space="preserve"> </w:t>
      </w:r>
      <m:oMath>
        <m:sSub>
          <m:e>
            <m:r>
              <m:t>χ</m:t>
            </m:r>
          </m:e>
          <m:sub>
            <m:r>
              <m:t>g</m:t>
            </m:r>
          </m:sub>
        </m:sSub>
      </m:oMath>
      <w:r>
        <w:t xml:space="preserve"> </w:t>
      </w:r>
      <w:r>
        <w:t xml:space="preserve">are approximately 22.8% over the Sahara, 25.4% over the Middle East, 36.0% over East Asia, and 39.6% over Europe. The corresponding grouped dry-mass fractions show that DU contributes 95.4% over the Sahara and 85.2% over the Middle East. Low</w:t>
      </w:r>
      <w:r>
        <w:t xml:space="preserve"> </w:t>
      </w:r>
      <m:oMath>
        <m:sSub>
          <m:e>
            <m:r>
              <m:t>χ</m:t>
            </m:r>
          </m:e>
          <m:sub>
            <m:r>
              <m:t>g</m:t>
            </m:r>
          </m:sub>
        </m:sSub>
      </m:oMath>
      <w:r>
        <w:t xml:space="preserve"> </w:t>
      </w:r>
      <w:r>
        <w:t xml:space="preserve">in these regions therefore does not imply weak dust dominance; it indicates that the smaller non-dust material fractions remain concentrated in particle types whose group composition differs from the dominant dust population.</w:t>
      </w:r>
    </w:p>
    <w:p>
      <w:pPr>
        <w:pStyle w:val="BodyText"/>
      </w:pPr>
      <w:r>
        <w:t xml:space="preserve">A second interpretive issue occurs when bulk component diversity approaches one. Riemer and West (2013) identify the exactly single-component population as a special case for which</w:t>
      </w:r>
      <w:r>
        <w:t xml:space="preserve"> </w:t>
      </w:r>
      <m:oMath>
        <m:r>
          <m:t>χ</m:t>
        </m:r>
      </m:oMath>
      <w:r>
        <w:t xml:space="preserve"> </w:t>
      </w:r>
      <w:r>
        <w:t xml:space="preserve">is undefined because both numerator and denominator approach zero. Accordingly, the main-text Figure 9 retains the raw</w:t>
      </w:r>
      <w:r>
        <w:t xml:space="preserve"> </w:t>
      </w:r>
      <m:oMath>
        <m:sSub>
          <m:e>
            <m:r>
              <m:t>χ</m:t>
            </m:r>
          </m:e>
          <m:sub>
            <m:r>
              <m:t>g</m:t>
            </m:r>
          </m:sub>
        </m:sSub>
      </m:oMath>
      <w:r>
        <w:t xml:space="preserve"> </w:t>
      </w:r>
      <w:r>
        <w:t xml:space="preserve">calculation but visually flags locations with</w:t>
      </w:r>
      <w:r>
        <w:t xml:space="preserve"> </w:t>
      </w:r>
      <m:oMath>
        <m:sSub>
          <m:e>
            <m:r>
              <m:t>D</m:t>
            </m:r>
          </m:e>
          <m:sub>
            <m:r>
              <m:t>γ</m:t>
            </m:r>
            <m:r>
              <m:rPr>
                <m:sty m:val="p"/>
              </m:rPr>
              <m:t>,</m:t>
            </m:r>
            <m:r>
              <m:t>g</m:t>
            </m:r>
          </m:sub>
        </m:sSub>
        <m:r>
          <m:rPr>
            <m:sty m:val="p"/>
          </m:rPr>
          <m:t>&lt;</m:t>
        </m:r>
        <m:r>
          <m:t>1.2</m:t>
        </m:r>
      </m:oMath>
      <w:r>
        <w:t xml:space="preserve"> </w:t>
      </w:r>
      <w:r>
        <w:t xml:space="preserve">as a low-diversity conditioning regime. The threshold does not redefine</w:t>
      </w:r>
      <w:r>
        <w:t xml:space="preserve"> </w:t>
      </w:r>
      <m:oMath>
        <m:r>
          <m:t>χ</m:t>
        </m:r>
      </m:oMath>
      <w:r>
        <w:t xml:space="preserve"> </w:t>
      </w:r>
      <w:r>
        <w:t xml:space="preserve">or remove values from the archived diagnostics; it simply prevents a nearly single-group population from being described as a quantitatively meaningful intermediate internal/external mixture. The Southern Ocean illustrates this case: SLT contributes about 92.6% of grouped dry mass and annual</w:t>
      </w:r>
      <w:r>
        <w:t xml:space="preserve"> </w:t>
      </w:r>
      <m:oMath>
        <m:sSub>
          <m:e>
            <m:r>
              <m:t>D</m:t>
            </m:r>
          </m:e>
          <m:sub>
            <m:r>
              <m:t>γ</m:t>
            </m:r>
            <m:r>
              <m:rPr>
                <m:sty m:val="p"/>
              </m:rPr>
              <m:t>,</m:t>
            </m:r>
            <m:r>
              <m:t>g</m:t>
            </m:r>
          </m:sub>
        </m:sSub>
      </m:oMath>
      <w:r>
        <w:t xml:space="preserve"> </w:t>
      </w:r>
      <w:r>
        <w:t xml:space="preserve">is only about 1.13.</w:t>
      </w:r>
    </w:p>
    <w:p>
      <w:pPr>
        <w:pStyle w:val="BodyText"/>
      </w:pPr>
      <w:r>
        <w:t xml:space="preserve">For comparison, the 13-species definition produces a global annual</w:t>
      </w:r>
      <w:r>
        <w:t xml:space="preserve"> </w:t>
      </w:r>
      <m:oMath>
        <m:sSub>
          <m:e>
            <m:r>
              <m:t>χ</m:t>
            </m:r>
          </m:e>
          <m:sub>
            <m:r>
              <m:t>s</m:t>
            </m:r>
          </m:sub>
        </m:sSub>
      </m:oMath>
      <w:r>
        <w:t xml:space="preserve"> </w:t>
      </w:r>
      <w:r>
        <w:t xml:space="preserve">of about 66.0%, with much higher values over marine regions because Na and chloride contribute separately to within-particle chemical diversity. This behavior is physically meaningful for a chemical-species diversity metric but is less aligned with the manuscript’s primary question about mixing among distinct aerosol material families. We therefore retain</w:t>
      </w:r>
      <w:r>
        <w:t xml:space="preserve"> </w:t>
      </w:r>
      <m:oMath>
        <m:sSub>
          <m:e>
            <m:r>
              <m:t>χ</m:t>
            </m:r>
          </m:e>
          <m:sub>
            <m:r>
              <m:t>s</m:t>
            </m:r>
          </m:sub>
        </m:sSub>
      </m:oMath>
      <w:r>
        <w:t xml:space="preserve"> </w:t>
      </w:r>
      <w:r>
        <w:t xml:space="preserve">in Figure S13 rather than using it as the main-text mixing-state metric.</w:t>
      </w:r>
    </w:p>
    <w:p>
      <w:pPr>
        <w:pStyle w:val="CaptionedFigure"/>
      </w:pPr>
      <w:r>
        <w:drawing>
          <wp:inline>
            <wp:extent cx="5334000" cy="3992319"/>
            <wp:effectExtent b="0" l="0" r="0" t="0"/>
            <wp:docPr descr="Figure S13. Chemical-species aerosol mixing-state index." title="" id="52" name="Picture"/>
            <a:graphic>
              <a:graphicData uri="http://schemas.openxmlformats.org/drawingml/2006/picture">
                <pic:pic>
                  <pic:nvPicPr>
                    <pic:cNvPr descr="../figures/figS13_external_species_level_chi.png" id="53" name="Picture"/>
                    <pic:cNvPicPr>
                      <a:picLocks noChangeArrowheads="1" noChangeAspect="1"/>
                    </pic:cNvPicPr>
                  </pic:nvPicPr>
                  <pic:blipFill>
                    <a:blip r:embed="rId51"/>
                    <a:stretch>
                      <a:fillRect/>
                    </a:stretch>
                  </pic:blipFill>
                  <pic:spPr bwMode="auto">
                    <a:xfrm>
                      <a:off x="0" y="0"/>
                      <a:ext cx="5334000" cy="3992319"/>
                    </a:xfrm>
                    <a:prstGeom prst="rect">
                      <a:avLst/>
                    </a:prstGeom>
                    <a:noFill/>
                    <a:ln w="9525">
                      <a:noFill/>
                      <a:headEnd/>
                      <a:tailEnd/>
                    </a:ln>
                  </pic:spPr>
                </pic:pic>
              </a:graphicData>
            </a:graphic>
          </wp:inline>
        </w:drawing>
      </w:r>
    </w:p>
    <w:p>
      <w:pPr>
        <w:pStyle w:val="ImageCaption"/>
      </w:pPr>
      <w:r>
        <w:t xml:space="preserve">Figure S13. Chemical-species aerosol mixing-state index.</w:t>
      </w:r>
    </w:p>
    <w:p>
      <w:pPr>
        <w:pStyle w:val="BodyText"/>
      </w:pPr>
      <w:r>
        <w:rPr>
          <w:b/>
          <w:bCs/>
        </w:rPr>
        <w:t xml:space="preserve">Figure S13.</w:t>
      </w:r>
      <w:r>
        <w:t xml:space="preserve"> </w:t>
      </w:r>
      <w:r>
        <w:t xml:space="preserve">Chemical-species mixing-state index</w:t>
      </w:r>
      <w:r>
        <w:t xml:space="preserve"> </w:t>
      </w:r>
      <m:oMath>
        <m:sSub>
          <m:e>
            <m:r>
              <m:t>χ</m:t>
            </m:r>
          </m:e>
          <m:sub>
            <m:r>
              <m:t>s</m:t>
            </m:r>
          </m:sub>
        </m:sSub>
      </m:oMath>
      <w:r>
        <w:t xml:space="preserve"> </w:t>
      </w:r>
      <w:r>
        <w:t xml:space="preserve">calculated from the actual 13 dry prognostic species masses in the 77 External SCRAM particle types. Four seasonal maps and a regional seasonal heat map retain the original species-resolved entropy calculation as a sensitivity analysis. Unlike main-text Figure 9, Na and chloride are treated as separate chemical species, and ammonium, nitrate, and the five SOA bins also remain separate components; this increases the effective within-particle diversity of compositionally simple material families such as sea salt. Particle water is excluded.</w:t>
      </w:r>
    </w:p>
    <w:bookmarkEnd w:id="54"/>
    <w:bookmarkStart w:id="67" w:name="X4bacad1067e148f649c8875b0ac49e6763d8d47"/>
    <w:p>
      <w:pPr>
        <w:pStyle w:val="Heading1"/>
      </w:pPr>
      <w:r>
        <w:t xml:space="preserve">Text S17. Additional meteorological, vertical, cloud, and climate-state diagnostics</w:t>
      </w:r>
    </w:p>
    <w:p>
      <w:pPr>
        <w:pStyle w:val="FirstParagraph"/>
      </w:pPr>
      <w:r>
        <w:t xml:space="preserve">The principal manuscript figures focus on aerosol representation, mixing state, CCN, clouds, optics, and observation-based evaluation. Additional model-state diagnostics are retained in the Supporting Information to establish that the three production cases occupy comparable meteorological regimes and to expose vertically or seasonally structured responses that are too detailed for the main text. These diagnostics use complete model year 2 because it is available for all three cases and is also the period used for several observation-based structural evaluations.</w:t>
      </w:r>
    </w:p>
    <w:p>
      <w:pPr>
        <w:pStyle w:val="BodyText"/>
      </w:pPr>
      <w:r>
        <w:t xml:space="preserve">Near-surface meteorology is summarized as zonal annual means of 2-m air temperature, surface pressure, 10-m wind speed, and 2-m relative humidity (Figure S9).</w:t>
      </w:r>
      <w:r>
        <w:t xml:space="preserve"> </w:t>
      </w:r>
      <w:r>
        <w:rPr>
          <w:rStyle w:val="VerbatimChar"/>
        </w:rPr>
        <w:t xml:space="preserve">RHREFHT</w:t>
      </w:r>
      <w:r>
        <w:t xml:space="preserve"> </w:t>
      </w:r>
      <w:r>
        <w:t xml:space="preserve">is written directly by the SCRAM cases. The MAM4 h0 stream does not contain</w:t>
      </w:r>
      <w:r>
        <w:t xml:space="preserve"> </w:t>
      </w:r>
      <w:r>
        <w:rPr>
          <w:rStyle w:val="VerbatimChar"/>
        </w:rPr>
        <w:t xml:space="preserve">RHREFHT</w:t>
      </w:r>
      <w:r>
        <w:t xml:space="preserve">, so its near-surface relative humidity is reconstructed from</w:t>
      </w:r>
      <w:r>
        <w:t xml:space="preserve"> </w:t>
      </w:r>
      <w:r>
        <w:rPr>
          <w:rStyle w:val="VerbatimChar"/>
        </w:rPr>
        <w:t xml:space="preserve">QREFHT</w:t>
      </w:r>
      <w:r>
        <w:t xml:space="preserve">,</w:t>
      </w:r>
      <w:r>
        <w:t xml:space="preserve"> </w:t>
      </w:r>
      <w:r>
        <w:rPr>
          <w:rStyle w:val="VerbatimChar"/>
        </w:rPr>
        <w:t xml:space="preserve">TREFHT</w:t>
      </w:r>
      <w:r>
        <w:t xml:space="preserve">, and</w:t>
      </w:r>
      <w:r>
        <w:t xml:space="preserve"> </w:t>
      </w:r>
      <w:r>
        <w:rPr>
          <w:rStyle w:val="VerbatimChar"/>
        </w:rPr>
        <w:t xml:space="preserve">PS</w:t>
      </w:r>
      <w:r>
        <w:t xml:space="preserve"> </w:t>
      </w:r>
      <w:r>
        <w:t xml:space="preserve">using vapor pressure and saturation vapor pressure. This diagnostic is used only as a consistency check and does not enter aerosol process calculations.</w:t>
      </w:r>
    </w:p>
    <w:p>
      <w:pPr>
        <w:pStyle w:val="CaptionedFigure"/>
      </w:pPr>
      <w:r>
        <w:drawing>
          <wp:inline>
            <wp:extent cx="5334000" cy="3657771"/>
            <wp:effectExtent b="0" l="0" r="0" t="0"/>
            <wp:docPr descr="Figure S9. Model-year-2 near-surface meteorological state." title="" id="56" name="Picture"/>
            <a:graphic>
              <a:graphicData uri="http://schemas.openxmlformats.org/drawingml/2006/picture">
                <pic:pic>
                  <pic:nvPicPr>
                    <pic:cNvPr descr="../figures/figS09_y2_surface_meteorology.png" id="57" name="Picture"/>
                    <pic:cNvPicPr>
                      <a:picLocks noChangeArrowheads="1" noChangeAspect="1"/>
                    </pic:cNvPicPr>
                  </pic:nvPicPr>
                  <pic:blipFill>
                    <a:blip r:embed="rId55"/>
                    <a:stretch>
                      <a:fillRect/>
                    </a:stretch>
                  </pic:blipFill>
                  <pic:spPr bwMode="auto">
                    <a:xfrm>
                      <a:off x="0" y="0"/>
                      <a:ext cx="5334000" cy="3657771"/>
                    </a:xfrm>
                    <a:prstGeom prst="rect">
                      <a:avLst/>
                    </a:prstGeom>
                    <a:noFill/>
                    <a:ln w="9525">
                      <a:noFill/>
                      <a:headEnd/>
                      <a:tailEnd/>
                    </a:ln>
                  </pic:spPr>
                </pic:pic>
              </a:graphicData>
            </a:graphic>
          </wp:inline>
        </w:drawing>
      </w:r>
    </w:p>
    <w:p>
      <w:pPr>
        <w:pStyle w:val="ImageCaption"/>
      </w:pPr>
      <w:r>
        <w:t xml:space="preserve">Figure S9. Model-year-2 near-surface meteorological state.</w:t>
      </w:r>
    </w:p>
    <w:p>
      <w:pPr>
        <w:pStyle w:val="BodyText"/>
      </w:pPr>
      <w:r>
        <w:rPr>
          <w:b/>
          <w:bCs/>
        </w:rPr>
        <w:t xml:space="preserve">Figure S9.</w:t>
      </w:r>
      <w:r>
        <w:t xml:space="preserve"> </w:t>
      </w:r>
      <w:r>
        <w:t xml:space="preserve">Model-year-2 annual zonal means of near-surface air temperature, surface pressure, 10-m wind speed, and relative humidity for MAM4, Internal SCRAM, and External SCRAM. The purpose is to test whether the aerosol-representation experiments remain embedded in comparable large-scale meteorological states rather than to tune any individual meteorological field.</w:t>
      </w:r>
    </w:p>
    <w:p>
      <w:pPr>
        <w:pStyle w:val="BodyText"/>
      </w:pPr>
      <w:r>
        <w:t xml:space="preserve">Three-dimensional atmospheric structure is evaluated with latitude–pressure sections of temperature, relative humidity, zonal wind, and cloud fraction (Figure S10). Internal and External store these three-dimensional fields in monthly h1 output, which is averaged using calendar-day weights. The corresponding formal MAM4 experiment stores the same fields in daily h0 output; its year-2 zonal sections are therefore formed from daily samples. The two rows deliberately separate Internal − MAM4 from External − Internal so that modal-to-sectional changes are not confused with incremental composition-diversity effects.</w:t>
      </w:r>
    </w:p>
    <w:p>
      <w:pPr>
        <w:pStyle w:val="CaptionedFigure"/>
      </w:pPr>
      <w:r>
        <w:drawing>
          <wp:inline>
            <wp:extent cx="5334000" cy="2441027"/>
            <wp:effectExtent b="0" l="0" r="0" t="0"/>
            <wp:docPr descr="Figure S10. Model-year-2 zonal-mean atmospheric-state differences." title="" id="59" name="Picture"/>
            <a:graphic>
              <a:graphicData uri="http://schemas.openxmlformats.org/drawingml/2006/picture">
                <pic:pic>
                  <pic:nvPicPr>
                    <pic:cNvPr descr="../figures/figS10_y2_zonal_vertical_state.png" id="60" name="Picture"/>
                    <pic:cNvPicPr>
                      <a:picLocks noChangeArrowheads="1" noChangeAspect="1"/>
                    </pic:cNvPicPr>
                  </pic:nvPicPr>
                  <pic:blipFill>
                    <a:blip r:embed="rId58"/>
                    <a:stretch>
                      <a:fillRect/>
                    </a:stretch>
                  </pic:blipFill>
                  <pic:spPr bwMode="auto">
                    <a:xfrm>
                      <a:off x="0" y="0"/>
                      <a:ext cx="5334000" cy="2441027"/>
                    </a:xfrm>
                    <a:prstGeom prst="rect">
                      <a:avLst/>
                    </a:prstGeom>
                    <a:noFill/>
                    <a:ln w="9525">
                      <a:noFill/>
                      <a:headEnd/>
                      <a:tailEnd/>
                    </a:ln>
                  </pic:spPr>
                </pic:pic>
              </a:graphicData>
            </a:graphic>
          </wp:inline>
        </w:drawing>
      </w:r>
    </w:p>
    <w:p>
      <w:pPr>
        <w:pStyle w:val="ImageCaption"/>
      </w:pPr>
      <w:r>
        <w:t xml:space="preserve">Figure S10. Model-year-2 zonal-mean atmospheric-state differences.</w:t>
      </w:r>
    </w:p>
    <w:p>
      <w:pPr>
        <w:pStyle w:val="BodyText"/>
      </w:pPr>
      <w:r>
        <w:rPr>
          <w:b/>
          <w:bCs/>
        </w:rPr>
        <w:t xml:space="preserve">Figure S10.</w:t>
      </w:r>
      <w:r>
        <w:t xml:space="preserve"> </w:t>
      </w:r>
      <w:r>
        <w:t xml:space="preserve">Latitude–pressure differences in annual-mean temperature, relative humidity, zonal wind, and cloud fraction during model year 2. The upper row shows Internal − MAM4 and the lower row External − Internal. Signed fields use the NCAR/NCL</w:t>
      </w:r>
      <w:r>
        <w:t xml:space="preserve"> </w:t>
      </w:r>
      <w:r>
        <w:rPr>
          <w:rStyle w:val="VerbatimChar"/>
        </w:rPr>
        <w:t xml:space="preserve">WhiteBlueGreenYellowRed</w:t>
      </w:r>
      <w:r>
        <w:t xml:space="preserve"> </w:t>
      </w:r>
      <w:r>
        <w:t xml:space="preserve">colormap and common symmetric limits within each variable.</w:t>
      </w:r>
    </w:p>
    <w:p>
      <w:pPr>
        <w:pStyle w:val="BodyText"/>
      </w:pPr>
      <w:r>
        <w:t xml:space="preserve">Additional cloud and radiative response maps are shown in Figure S11. Total cloud fraction, liquid water path, ice water path, and shortwave cloud forcing are displayed for the same two attribution contrasts. These fields complement the main-text MODIS/CERES comparisons by showing where the internally mixed SCRAM transition already alters the host cloud state and where explicit composition diversity adds a further response.</w:t>
      </w:r>
    </w:p>
    <w:p>
      <w:pPr>
        <w:pStyle w:val="CaptionedFigure"/>
      </w:pPr>
      <w:r>
        <w:drawing>
          <wp:inline>
            <wp:extent cx="5334000" cy="2361500"/>
            <wp:effectExtent b="0" l="0" r="0" t="0"/>
            <wp:docPr descr="Figure S11. Additional model-year-2 cloud and radiative diagnostics." title="" id="62" name="Picture"/>
            <a:graphic>
              <a:graphicData uri="http://schemas.openxmlformats.org/drawingml/2006/picture">
                <pic:pic>
                  <pic:nvPicPr>
                    <pic:cNvPr descr="../figures/figS11_y2_cloud_radiation_maps.png" id="63" name="Picture"/>
                    <pic:cNvPicPr>
                      <a:picLocks noChangeArrowheads="1" noChangeAspect="1"/>
                    </pic:cNvPicPr>
                  </pic:nvPicPr>
                  <pic:blipFill>
                    <a:blip r:embed="rId61"/>
                    <a:stretch>
                      <a:fillRect/>
                    </a:stretch>
                  </pic:blipFill>
                  <pic:spPr bwMode="auto">
                    <a:xfrm>
                      <a:off x="0" y="0"/>
                      <a:ext cx="5334000" cy="2361500"/>
                    </a:xfrm>
                    <a:prstGeom prst="rect">
                      <a:avLst/>
                    </a:prstGeom>
                    <a:noFill/>
                    <a:ln w="9525">
                      <a:noFill/>
                      <a:headEnd/>
                      <a:tailEnd/>
                    </a:ln>
                  </pic:spPr>
                </pic:pic>
              </a:graphicData>
            </a:graphic>
          </wp:inline>
        </w:drawing>
      </w:r>
    </w:p>
    <w:p>
      <w:pPr>
        <w:pStyle w:val="ImageCaption"/>
      </w:pPr>
      <w:r>
        <w:t xml:space="preserve">Figure S11. Additional model-year-2 cloud and radiative diagnostics.</w:t>
      </w:r>
    </w:p>
    <w:p>
      <w:pPr>
        <w:pStyle w:val="BodyText"/>
      </w:pPr>
      <w:r>
        <w:rPr>
          <w:b/>
          <w:bCs/>
        </w:rPr>
        <w:t xml:space="preserve">Figure S11.</w:t>
      </w:r>
      <w:r>
        <w:t xml:space="preserve"> </w:t>
      </w:r>
      <w:r>
        <w:t xml:space="preserve">Annual-mean cloud and radiative contrasts for model year 2. The upper row shows Internal − MAM4 and the lower row External − Internal for total cloud fraction, liquid water path, ice water path, and shortwave cloud forcing. All global maps include 50-m Natural Earth coastlines and country borders.</w:t>
      </w:r>
    </w:p>
    <w:p>
      <w:pPr>
        <w:pStyle w:val="BodyText"/>
      </w:pPr>
      <w:r>
        <w:t xml:space="preserve">Finally, Figure S12 summarizes global monthly cycles for near-surface temperature, precipitation, total cloud fraction, liquid and ice water paths, column droplet number, and shortwave and longwave cloud forcing. These curves provide a compact check that conclusions drawn from annual or selected-season maps are not caused by a single month and identify variables whose response is strongly seasonal.</w:t>
      </w:r>
    </w:p>
    <w:p>
      <w:pPr>
        <w:pStyle w:val="CaptionedFigure"/>
      </w:pPr>
      <w:r>
        <w:drawing>
          <wp:inline>
            <wp:extent cx="5334000" cy="2755165"/>
            <wp:effectExtent b="0" l="0" r="0" t="0"/>
            <wp:docPr descr="Figure S12. Seasonal cycles of additional climate and cloud diagnostics." title="" id="65" name="Picture"/>
            <a:graphic>
              <a:graphicData uri="http://schemas.openxmlformats.org/drawingml/2006/picture">
                <pic:pic>
                  <pic:nvPicPr>
                    <pic:cNvPr descr="../figures/figS12_y2_climate_cloud_seasonal_cycle.png" id="66" name="Picture"/>
                    <pic:cNvPicPr>
                      <a:picLocks noChangeArrowheads="1" noChangeAspect="1"/>
                    </pic:cNvPicPr>
                  </pic:nvPicPr>
                  <pic:blipFill>
                    <a:blip r:embed="rId64"/>
                    <a:stretch>
                      <a:fillRect/>
                    </a:stretch>
                  </pic:blipFill>
                  <pic:spPr bwMode="auto">
                    <a:xfrm>
                      <a:off x="0" y="0"/>
                      <a:ext cx="5334000" cy="2755165"/>
                    </a:xfrm>
                    <a:prstGeom prst="rect">
                      <a:avLst/>
                    </a:prstGeom>
                    <a:noFill/>
                    <a:ln w="9525">
                      <a:noFill/>
                      <a:headEnd/>
                      <a:tailEnd/>
                    </a:ln>
                  </pic:spPr>
                </pic:pic>
              </a:graphicData>
            </a:graphic>
          </wp:inline>
        </w:drawing>
      </w:r>
    </w:p>
    <w:p>
      <w:pPr>
        <w:pStyle w:val="ImageCaption"/>
      </w:pPr>
      <w:r>
        <w:t xml:space="preserve">Figure S12. Seasonal cycles of additional climate and cloud diagnostics.</w:t>
      </w:r>
    </w:p>
    <w:p>
      <w:pPr>
        <w:pStyle w:val="BodyText"/>
      </w:pPr>
      <w:r>
        <w:rPr>
          <w:b/>
          <w:bCs/>
        </w:rPr>
        <w:t xml:space="preserve">Figure S12.</w:t>
      </w:r>
      <w:r>
        <w:t xml:space="preserve"> </w:t>
      </w:r>
      <w:r>
        <w:t xml:space="preserve">Global-mean model-year-2 seasonal cycles of eight additional meteorological, cloud, precipitation, and cloud-radiative diagnostics for MAM4, Internal SCRAM, and External SCRAM. The full extraction and weighting contract is recorded in</w:t>
      </w:r>
      <w:r>
        <w:t xml:space="preserve"> </w:t>
      </w:r>
      <w:r>
        <w:rPr>
          <w:rStyle w:val="VerbatimChar"/>
        </w:rPr>
        <w:t xml:space="preserve">provenance/y2_supplement_diagnostics_provenance.json</w:t>
      </w:r>
      <w:r>
        <w:t xml:space="preserve">.</w:t>
      </w:r>
    </w:p>
    <w:bookmarkEnd w:id="67"/>
    <w:bookmarkStart w:id="68" w:name="Xf12ced26667c0ec211b6dff8c0aa64ae9e8ef5b"/>
    <w:p>
      <w:pPr>
        <w:pStyle w:val="Heading1"/>
      </w:pPr>
      <w:r>
        <w:t xml:space="preserve">Text S18. Performance and computational cost</w:t>
      </w:r>
    </w:p>
    <w:p>
      <w:pPr>
        <w:pStyle w:val="FirstParagraph"/>
      </w:pPr>
      <w:r>
        <w:t xml:space="preserve">The demonstrated External state contains eleven times as many SCRAM size–composition cells as the matched Internal case, but this is not an intrinsic cost multiplier of CESM–SCRAM. Runtime cost depends on the user-selected state dimensions and on which process/diagnostic options are active. Formal production job records are therefore used to report simulated years per wall day, memory, restart volume, history volume, and the cost of major physics components for the actual paper cases rather than historical development benchmarks.</w:t>
      </w:r>
    </w:p>
    <w:bookmarkEnd w:id="68"/>
    <w:bookmarkStart w:id="69" w:name="supporting-tables"/>
    <w:p>
      <w:pPr>
        <w:pStyle w:val="Heading1"/>
      </w:pPr>
      <w:r>
        <w:t xml:space="preserve">Supporting Tables</w:t>
      </w:r>
    </w:p>
    <w:p>
      <w:pPr>
        <w:pStyle w:val="FirstParagraph"/>
      </w:pPr>
      <w:r>
        <w:rPr>
          <w:b/>
          <w:bCs/>
        </w:rPr>
        <w:t xml:space="preserve">Table S1. Source/configuration provenance for the algorithms documented in this SI.</w:t>
      </w:r>
      <w:r>
        <w:t xml:space="preserve"> </w:t>
      </w:r>
      <w:r>
        <w:t xml:space="preserve">SHA256 values are generated from the current source tree and paper runtime profiles.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source/runtime file</w:t>
            </w:r>
          </w:p>
        </w:tc>
        <w:tc>
          <w:tcPr/>
          <w:p>
            <w:pPr>
              <w:pStyle w:val="Compact"/>
            </w:pPr>
            <w:r>
              <w:t xml:space="preserve">SHA256</w:t>
            </w:r>
          </w:p>
        </w:tc>
      </w:tr>
      <w:tr>
        <w:tc>
          <w:tcPr/>
          <w:p>
            <w:pPr>
              <w:pStyle w:val="Compact"/>
            </w:pPr>
            <w:r>
              <w:t xml:space="preserve">coagulation_nearest</w:t>
            </w:r>
          </w:p>
        </w:tc>
        <w:tc>
          <w:tcPr/>
          <w:p>
            <w:pPr>
              <w:pStyle w:val="Compact"/>
            </w:pPr>
            <w:r>
              <w:t xml:space="preserve">ModuleCoeffRepartitionNearest.F90</w:t>
            </w:r>
          </w:p>
        </w:tc>
        <w:tc>
          <w:tcPr/>
          <w:p>
            <w:pPr>
              <w:pStyle w:val="Compact"/>
            </w:pPr>
            <w:r>
              <w:t xml:space="preserve">ae3817004936ed158ad3e8a3d1e838731b46ba0706dba40bb75f0bafac886554</w:t>
            </w:r>
          </w:p>
        </w:tc>
      </w:tr>
      <w:tr>
        <w:tc>
          <w:tcPr/>
          <w:p>
            <w:pPr>
              <w:pStyle w:val="Compact"/>
            </w:pPr>
            <w:r>
              <w:t xml:space="preserve">moving_center_dualpivot</w:t>
            </w:r>
          </w:p>
        </w:tc>
        <w:tc>
          <w:tcPr/>
          <w:p>
            <w:pPr>
              <w:pStyle w:val="Compact"/>
            </w:pPr>
            <w:r>
              <w:t xml:space="preserve">moving_diam.f90</w:t>
            </w:r>
          </w:p>
        </w:tc>
        <w:tc>
          <w:tcPr/>
          <w:p>
            <w:pPr>
              <w:pStyle w:val="Compact"/>
            </w:pPr>
            <w:r>
              <w:t xml:space="preserve">a2f855796d2b80bffd429f80ed77d202e10dfd4e2e3ad51a2a45dfb1bd882620</w:t>
            </w:r>
          </w:p>
        </w:tc>
      </w:tr>
      <w:tr>
        <w:tc>
          <w:tcPr/>
          <w:p>
            <w:pPr>
              <w:pStyle w:val="Compact"/>
            </w:pPr>
            <w:r>
              <w:t xml:space="preserve">scram_coupling</w:t>
            </w:r>
          </w:p>
        </w:tc>
        <w:tc>
          <w:tcPr/>
          <w:p>
            <w:pPr>
              <w:pStyle w:val="Compact"/>
            </w:pPr>
            <w:r>
              <w:t xml:space="preserve">carma_model_mod.F90</w:t>
            </w:r>
          </w:p>
        </w:tc>
        <w:tc>
          <w:tcPr/>
          <w:p>
            <w:pPr>
              <w:pStyle w:val="Compact"/>
            </w:pPr>
            <w:r>
              <w:t xml:space="preserve">dfb55600038eae222bba532cc4aa37ca7d96f3ab3d2dd517e2faee662daa4170</w:t>
            </w:r>
          </w:p>
        </w:tc>
      </w:tr>
      <w:tr>
        <w:tc>
          <w:tcPr/>
          <w:p>
            <w:pPr>
              <w:pStyle w:val="Compact"/>
            </w:pPr>
            <w:r>
              <w:t xml:space="preserve">tropopause_exchange</w:t>
            </w:r>
          </w:p>
        </w:tc>
        <w:tc>
          <w:tcPr/>
          <w:p>
            <w:pPr>
              <w:pStyle w:val="Compact"/>
            </w:pPr>
            <w:r>
              <w:t xml:space="preserve">scram_trop_exchange_mod.F90</w:t>
            </w:r>
          </w:p>
        </w:tc>
        <w:tc>
          <w:tcPr/>
          <w:p>
            <w:pPr>
              <w:pStyle w:val="Compact"/>
            </w:pPr>
            <w:r>
              <w:t xml:space="preserve">cedec9465d94cf624c650eff2b0276faa6e784114ac18413faf7c2c3b2e42e32</w:t>
            </w:r>
          </w:p>
        </w:tc>
      </w:tr>
      <w:tr>
        <w:tc>
          <w:tcPr/>
          <w:p>
            <w:pPr>
              <w:pStyle w:val="Compact"/>
            </w:pPr>
            <w:r>
              <w:t xml:space="preserve">reducedshell_optics</w:t>
            </w:r>
          </w:p>
        </w:tc>
        <w:tc>
          <w:tcPr/>
          <w:p>
            <w:pPr>
              <w:pStyle w:val="Compact"/>
            </w:pPr>
            <w:r>
              <w:t xml:space="preserve">scram_reducedshell_optics_mod.F90</w:t>
            </w:r>
          </w:p>
        </w:tc>
        <w:tc>
          <w:tcPr/>
          <w:p>
            <w:pPr>
              <w:pStyle w:val="Compact"/>
            </w:pPr>
            <w:r>
              <w:t xml:space="preserve">260434a782985c107dba2b12b3bcd8bc7d41a6a3069a5ddfd854bcd7a7ca5e1c</w:t>
            </w:r>
          </w:p>
        </w:tc>
      </w:tr>
      <w:tr>
        <w:tc>
          <w:tcPr/>
          <w:p>
            <w:pPr>
              <w:pStyle w:val="Compact"/>
            </w:pPr>
            <w:r>
              <w:t xml:space="preserve">reducedshell_generator</w:t>
            </w:r>
          </w:p>
        </w:tc>
        <w:tc>
          <w:tcPr/>
          <w:p>
            <w:pPr>
              <w:pStyle w:val="Compact"/>
            </w:pPr>
            <w:r>
              <w:t xml:space="preserve">reducedshell_lut_generator.py</w:t>
            </w:r>
          </w:p>
        </w:tc>
        <w:tc>
          <w:tcPr/>
          <w:p>
            <w:pPr>
              <w:pStyle w:val="Compact"/>
            </w:pPr>
            <w:r>
              <w:t xml:space="preserve">87e49c9b93104e9896d7ff0563a64431f95fb4366e944bf2e0a249576071879a</w:t>
            </w:r>
          </w:p>
        </w:tc>
      </w:tr>
      <w:tr>
        <w:tc>
          <w:tcPr/>
          <w:p>
            <w:pPr>
              <w:pStyle w:val="Compact"/>
            </w:pPr>
            <w:r>
              <w:t xml:space="preserve">cloud_activation_math</w:t>
            </w:r>
          </w:p>
        </w:tc>
        <w:tc>
          <w:tcPr/>
          <w:p>
            <w:pPr>
              <w:pStyle w:val="Compact"/>
            </w:pPr>
            <w:r>
              <w:t xml:space="preserve">scram_cloud_activation_math_mod.F90</w:t>
            </w:r>
          </w:p>
        </w:tc>
        <w:tc>
          <w:tcPr/>
          <w:p>
            <w:pPr>
              <w:pStyle w:val="Compact"/>
            </w:pPr>
            <w:r>
              <w:t xml:space="preserve">58f95abc5511af744a8aed70bb507215988aa019ef46c81a6e9417e86cb03a73</w:t>
            </w:r>
          </w:p>
        </w:tc>
      </w:tr>
      <w:tr>
        <w:tc>
          <w:tcPr/>
          <w:p>
            <w:pPr>
              <w:pStyle w:val="Compact"/>
            </w:pPr>
            <w:r>
              <w:t xml:space="preserve">cloud_props</w:t>
            </w:r>
          </w:p>
        </w:tc>
        <w:tc>
          <w:tcPr/>
          <w:p>
            <w:pPr>
              <w:pStyle w:val="Compact"/>
            </w:pPr>
            <w:r>
              <w:t xml:space="preserve">carma_cloud_props_mod.F90</w:t>
            </w:r>
          </w:p>
        </w:tc>
        <w:tc>
          <w:tcPr/>
          <w:p>
            <w:pPr>
              <w:pStyle w:val="Compact"/>
            </w:pPr>
            <w:r>
              <w:t xml:space="preserve">6332fc91722c21dd95e27fe6af300c6d0139e944d7c5d81441fc74e18e511e29</w:t>
            </w:r>
          </w:p>
        </w:tc>
      </w:tr>
      <w:tr>
        <w:tc>
          <w:tcPr/>
          <w:p>
            <w:pPr>
              <w:pStyle w:val="Compact"/>
            </w:pPr>
            <w:r>
              <w:t xml:space="preserve">microp_aero</w:t>
            </w:r>
          </w:p>
        </w:tc>
        <w:tc>
          <w:tcPr/>
          <w:p>
            <w:pPr>
              <w:pStyle w:val="Compact"/>
            </w:pPr>
            <w:r>
              <w:t xml:space="preserve">microp_aero.F90</w:t>
            </w:r>
          </w:p>
        </w:tc>
        <w:tc>
          <w:tcPr/>
          <w:p>
            <w:pPr>
              <w:pStyle w:val="Compact"/>
            </w:pPr>
            <w:r>
              <w:t xml:space="preserve">bfd9c5b8ec9ddca99b7b985cc5f13b3c0ae8305810a3fdbbc6fb687492f7ab86</w:t>
            </w:r>
          </w:p>
        </w:tc>
      </w:tr>
      <w:tr>
        <w:tc>
          <w:tcPr/>
          <w:p>
            <w:pPr>
              <w:pStyle w:val="Compact"/>
            </w:pPr>
            <w:r>
              <w:t xml:space="preserve">settling</w:t>
            </w:r>
          </w:p>
        </w:tc>
        <w:tc>
          <w:tcPr/>
          <w:p>
            <w:pPr>
              <w:pStyle w:val="Compact"/>
            </w:pPr>
            <w:r>
              <w:t xml:space="preserve">setupvf_std.F90</w:t>
            </w:r>
          </w:p>
        </w:tc>
        <w:tc>
          <w:tcPr/>
          <w:p>
            <w:pPr>
              <w:pStyle w:val="Compact"/>
            </w:pPr>
            <w:r>
              <w:t xml:space="preserve">32312b4e1838e9cb4336461bc6b0b2f35f8c474d79a760a55caf6d01eeea32f4</w:t>
            </w:r>
          </w:p>
        </w:tc>
      </w:tr>
      <w:tr>
        <w:tc>
          <w:tcPr/>
          <w:p>
            <w:pPr>
              <w:pStyle w:val="Compact"/>
            </w:pPr>
            <w:r>
              <w:t xml:space="preserve">dry_deposition</w:t>
            </w:r>
          </w:p>
        </w:tc>
        <w:tc>
          <w:tcPr/>
          <w:p>
            <w:pPr>
              <w:pStyle w:val="Compact"/>
            </w:pPr>
            <w:r>
              <w:t xml:space="preserve">calcrs.F90</w:t>
            </w:r>
          </w:p>
        </w:tc>
        <w:tc>
          <w:tcPr/>
          <w:p>
            <w:pPr>
              <w:pStyle w:val="Compact"/>
            </w:pPr>
            <w:r>
              <w:t xml:space="preserve">d855029dca904e1c30d32b57c3598e96cadf6bc500b57721522c47f206d0160b</w:t>
            </w:r>
          </w:p>
        </w:tc>
      </w:tr>
      <w:tr>
        <w:tc>
          <w:tcPr/>
          <w:p>
            <w:pPr>
              <w:pStyle w:val="Compact"/>
            </w:pPr>
            <w:r>
              <w:t xml:space="preserve">wet_deposition_interface</w:t>
            </w:r>
          </w:p>
        </w:tc>
        <w:tc>
          <w:tcPr/>
          <w:p>
            <w:pPr>
              <w:pStyle w:val="Compact"/>
            </w:pPr>
            <w:r>
              <w:t xml:space="preserve">carma_intr.F90</w:t>
            </w:r>
          </w:p>
        </w:tc>
        <w:tc>
          <w:tcPr/>
          <w:p>
            <w:pPr>
              <w:pStyle w:val="Compact"/>
            </w:pPr>
            <w:r>
              <w:t xml:space="preserve">6b0fb046f7218102b9554cf9cc38ac96870b62b0a375cb55583b934c34a684bb</w:t>
            </w:r>
          </w:p>
        </w:tc>
      </w:tr>
      <w:tr>
        <w:tc>
          <w:tcPr/>
          <w:p>
            <w:pPr>
              <w:pStyle w:val="Compact"/>
            </w:pPr>
            <w:r>
              <w:t xml:space="preserve">gas_map</w:t>
            </w:r>
          </w:p>
        </w:tc>
        <w:tc>
          <w:tcPr/>
          <w:p>
            <w:pPr>
              <w:pStyle w:val="Compact"/>
            </w:pPr>
            <w:r>
              <w:t xml:space="preserve">scram_gas_map.txt</w:t>
            </w:r>
          </w:p>
        </w:tc>
        <w:tc>
          <w:tcPr/>
          <w:p>
            <w:pPr>
              <w:pStyle w:val="Compact"/>
            </w:pPr>
            <w:r>
              <w:t xml:space="preserve">942199d45cae21115332d9b13bf0ecf01c43a9b564bb2edcd810f5fa05d42df2</w:t>
            </w:r>
          </w:p>
        </w:tc>
      </w:tr>
      <w:tr>
        <w:tc>
          <w:tcPr/>
          <w:p>
            <w:pPr>
              <w:pStyle w:val="Compact"/>
            </w:pPr>
            <w:r>
              <w:t xml:space="preserve">emission_map</w:t>
            </w:r>
          </w:p>
        </w:tc>
        <w:tc>
          <w:tcPr/>
          <w:p>
            <w:pPr>
              <w:pStyle w:val="Compact"/>
            </w:pPr>
            <w:r>
              <w:t xml:space="preserve">scram_emis_map.txt</w:t>
            </w:r>
          </w:p>
        </w:tc>
        <w:tc>
          <w:tcPr/>
          <w:p>
            <w:pPr>
              <w:pStyle w:val="Compact"/>
            </w:pPr>
            <w:r>
              <w:t xml:space="preserve">cd6c480e9023990f74869378fd02585bb28a6b413ff40541d93db800b6db3e71</w:t>
            </w:r>
          </w:p>
        </w:tc>
      </w:tr>
      <w:tr>
        <w:tc>
          <w:tcPr/>
          <w:p>
            <w:pPr>
              <w:pStyle w:val="Compact"/>
            </w:pPr>
            <w:r>
              <w:t xml:space="preserve">species</w:t>
            </w:r>
          </w:p>
        </w:tc>
        <w:tc>
          <w:tcPr/>
          <w:p>
            <w:pPr>
              <w:pStyle w:val="Compact"/>
            </w:pPr>
            <w:r>
              <w:t xml:space="preserve">scram_species.dat</w:t>
            </w:r>
          </w:p>
        </w:tc>
        <w:tc>
          <w:tcPr/>
          <w:p>
            <w:pPr>
              <w:pStyle w:val="Compact"/>
            </w:pPr>
            <w:r>
              <w:t xml:space="preserve">f2de7f93fe4d65fe6c8ceda63bfbd55898bb8adffa20487d3266858b46eea734</w:t>
            </w:r>
          </w:p>
        </w:tc>
      </w:tr>
      <w:tr>
        <w:tc>
          <w:tcPr/>
          <w:p>
            <w:pPr>
              <w:pStyle w:val="Compact"/>
            </w:pPr>
            <w:r>
              <w:t xml:space="preserve">external_config</w:t>
            </w:r>
          </w:p>
        </w:tc>
        <w:tc>
          <w:tcPr/>
          <w:p>
            <w:pPr>
              <w:pStyle w:val="Compact"/>
            </w:pPr>
            <w:r>
              <w:t xml:space="preserve">scram_cesm_7bin_nc11_external.cfg</w:t>
            </w:r>
          </w:p>
        </w:tc>
        <w:tc>
          <w:tcPr/>
          <w:p>
            <w:pPr>
              <w:pStyle w:val="Compact"/>
            </w:pPr>
            <w:r>
              <w:t xml:space="preserve">9e1884cd731ec793bbae4819594d27ad53bd131743d95009d72ab9a301f7a401</w:t>
            </w:r>
          </w:p>
        </w:tc>
      </w:tr>
    </w:tbl>
    <w:p>
      <w:pPr>
        <w:pStyle w:val="BodyText"/>
      </w:pPr>
      <w:r>
        <w:rPr>
          <w:b/>
          <w:bCs/>
        </w:rPr>
        <w:t xml:space="preserve">Table S2.</w:t>
      </w:r>
      <w:r>
        <w:t xml:space="preserve"> </w:t>
      </w:r>
      <w:r>
        <w:t xml:space="preserve">The complete 14-species→6-group mapping and NC1–NC11 composition-class definitions are given as main-text Tables 1–2 and are reproduced machine-readably in</w:t>
      </w:r>
      <w:r>
        <w:t xml:space="preserve"> </w:t>
      </w:r>
      <w:r>
        <w:rPr>
          <w:rStyle w:val="VerbatimChar"/>
        </w:rPr>
        <w:t xml:space="preserve">tables/production_species_to_group.csv</w:t>
      </w:r>
      <w:r>
        <w:t xml:space="preserve">,</w:t>
      </w:r>
      <w:r>
        <w:t xml:space="preserve"> </w:t>
      </w:r>
      <w:r>
        <w:rPr>
          <w:rStyle w:val="VerbatimChar"/>
        </w:rPr>
        <w:t xml:space="preserve">tables/production_nc11_classes.csv</w:t>
      </w:r>
      <w:r>
        <w:t xml:space="preserve">, and</w:t>
      </w:r>
      <w:r>
        <w:t xml:space="preserve"> </w:t>
      </w:r>
      <w:r>
        <w:rPr>
          <w:rStyle w:val="VerbatimChar"/>
        </w:rPr>
        <w:t xml:space="preserve">provenance/production_composition_class_definition.json</w:t>
      </w:r>
      <w:r>
        <w:t xml:space="preserve">.</w:t>
      </w:r>
    </w:p>
    <w:p>
      <w:pPr>
        <w:pStyle w:val="BodyText"/>
      </w:pPr>
      <w:r>
        <w:t xml:space="preserve">Tables S3–S7 are embedded in Texts S6–S11 above. Paper-validation tables for process conservation, diagnostic-variable contracts, observation products, and computational performance will be generated from their production analysis scripts once the final common integration window is frozen.</w:t>
      </w:r>
    </w:p>
    <w:bookmarkEnd w:id="69"/>
    <w:bookmarkStart w:id="70" w:name="supporting-figures"/>
    <w:p>
      <w:pPr>
        <w:pStyle w:val="Heading1"/>
      </w:pPr>
      <w:r>
        <w:t xml:space="preserve">Supporting Figures</w:t>
      </w:r>
    </w:p>
    <w:p>
      <w:pPr>
        <w:pStyle w:val="FirstParagraph"/>
      </w:pPr>
      <w:r>
        <w:t xml:space="preserve">Figures S1–S8 document the core numerical algorithms in Texts S3–S12. Figure S13 documents the chemical-species mixing-state sensitivity analysis in Text S16. Figures S9–S12 provide additional model-year-2 meteorological, zonal-vertical, cloud, radiation, and seasonal-cycle diagnostics in Text S17. Each supporting figure is embedded at its first point of discussion with a full caption immediately below the image.</w:t>
      </w:r>
    </w:p>
    <w:bookmarkEnd w:id="70"/>
    <w:bookmarkStart w:id="71" w:name="X3485f5c707b0f636a0e2404529b8d085784e0e8"/>
    <w:p>
      <w:pPr>
        <w:pStyle w:val="Heading1"/>
      </w:pPr>
      <w:r>
        <w:t xml:space="preserve">References cited in the Supporting Information</w:t>
      </w:r>
    </w:p>
    <w:p>
      <w:pPr>
        <w:pStyle w:val="FirstParagraph"/>
      </w:pPr>
      <w:r>
        <w:t xml:space="preserve">Abdul-Razzak, H., &amp; Ghan, S. J. (2000). A parameterization of aerosol activation: 2. Multiple aerosol types.</w:t>
      </w:r>
      <w:r>
        <w:t xml:space="preserve"> </w:t>
      </w:r>
      <w:r>
        <w:rPr>
          <w:i/>
          <w:iCs/>
        </w:rPr>
        <w:t xml:space="preserve">Journal of Geophysical Research: Atmospheres</w:t>
      </w:r>
      <w:r>
        <w:t xml:space="preserve">, 105, 6837–6844. https://doi.org/10.1029/1999JD901161</w:t>
      </w:r>
    </w:p>
    <w:p>
      <w:pPr>
        <w:pStyle w:val="BodyText"/>
      </w:pPr>
      <w:r>
        <w:t xml:space="preserve">Bohren, C. F., &amp; Huffman, D. R. (1983).</w:t>
      </w:r>
      <w:r>
        <w:t xml:space="preserve"> </w:t>
      </w:r>
      <w:r>
        <w:rPr>
          <w:i/>
          <w:iCs/>
        </w:rPr>
        <w:t xml:space="preserve">Absorption and Scattering of Light by Small Particles</w:t>
      </w:r>
      <w:r>
        <w:t xml:space="preserve">. Wiley.</w:t>
      </w:r>
    </w:p>
    <w:p>
      <w:pPr>
        <w:pStyle w:val="BodyText"/>
      </w:pPr>
      <w:r>
        <w:t xml:space="preserve">Bond, T. C., &amp; Bergstrom, R. W. (2006). Light absorption by carbonaceous particles: An investigative review.</w:t>
      </w:r>
      <w:r>
        <w:t xml:space="preserve"> </w:t>
      </w:r>
      <w:r>
        <w:rPr>
          <w:i/>
          <w:iCs/>
        </w:rPr>
        <w:t xml:space="preserve">Aerosol Science and Technology</w:t>
      </w:r>
      <w:r>
        <w:t xml:space="preserve">, 40, 27–67. https://doi.org/10.1080/02786820500421521</w:t>
      </w:r>
    </w:p>
    <w:p>
      <w:pPr>
        <w:pStyle w:val="BodyText"/>
      </w:pPr>
      <w:r>
        <w:t xml:space="preserve">Dana, M. T., &amp; Hales, J. M. (1976). Statistical aspects of the washout of polydisperse aerosols.</w:t>
      </w:r>
      <w:r>
        <w:t xml:space="preserve"> </w:t>
      </w:r>
      <w:r>
        <w:rPr>
          <w:i/>
          <w:iCs/>
        </w:rPr>
        <w:t xml:space="preserve">Atmospheric Environment</w:t>
      </w:r>
      <w:r>
        <w:t xml:space="preserve">, 10, 45–50. https://doi.org/10.1016/0004-6981(76)90258-4</w:t>
      </w:r>
    </w:p>
    <w:p>
      <w:pPr>
        <w:pStyle w:val="BodyText"/>
      </w:pPr>
      <w:r>
        <w:t xml:space="preserve">Donahue, N. M., Robinson, A. L., Stanier, C. O., &amp; Pandis, S. N. (2006). Coupled partitioning, dilution, and chemical aging of semivolatile organics.</w:t>
      </w:r>
      <w:r>
        <w:t xml:space="preserve"> </w:t>
      </w:r>
      <w:r>
        <w:rPr>
          <w:i/>
          <w:iCs/>
        </w:rPr>
        <w:t xml:space="preserve">Environmental Science &amp; Technology</w:t>
      </w:r>
      <w:r>
        <w:t xml:space="preserve">, 40, 2635–2643. https://doi.org/10.1021/es052297c</w:t>
      </w:r>
    </w:p>
    <w:p>
      <w:pPr>
        <w:pStyle w:val="BodyText"/>
      </w:pPr>
      <w:r>
        <w:t xml:space="preserve">Emmons, L. K., Schwantes, R. H., Orlando, J. J., et al. (2020). The chemistry mechanism in the Community Earth System Model Version 2 (CESM2).</w:t>
      </w:r>
      <w:r>
        <w:t xml:space="preserve"> </w:t>
      </w:r>
      <w:r>
        <w:rPr>
          <w:i/>
          <w:iCs/>
        </w:rPr>
        <w:t xml:space="preserve">Journal of Advances in Modeling Earth Systems</w:t>
      </w:r>
      <w:r>
        <w:t xml:space="preserve">, 12, e2019MS001882. https://doi.org/10.1029/2019MS001882</w:t>
      </w:r>
    </w:p>
    <w:p>
      <w:pPr>
        <w:pStyle w:val="BodyText"/>
      </w:pPr>
      <w:r>
        <w:t xml:space="preserve">Fountoukis, C., &amp; Nenes, A. (2007). ISORROPIA II: A computationally efficient thermodynamic equilibrium model for K+–Ca2+–Mg2+–NH4+–Na+–SO4²−–NO3−–Cl−–H2O aerosols.</w:t>
      </w:r>
      <w:r>
        <w:t xml:space="preserve"> </w:t>
      </w:r>
      <w:r>
        <w:rPr>
          <w:i/>
          <w:iCs/>
        </w:rPr>
        <w:t xml:space="preserve">Atmospheric Chemistry and Physics</w:t>
      </w:r>
      <w:r>
        <w:t xml:space="preserve">, 7, 4639–4659. https://doi.org/10.5194/acp-7-4639-2007</w:t>
      </w:r>
    </w:p>
    <w:p>
      <w:pPr>
        <w:pStyle w:val="BodyText"/>
      </w:pPr>
      <w:r>
        <w:t xml:space="preserve">Hess, M., Koepke, P., &amp; Schult, I. (1998). Optical properties of aerosols and clouds: The software package OPAC.</w:t>
      </w:r>
      <w:r>
        <w:t xml:space="preserve"> </w:t>
      </w:r>
      <w:r>
        <w:rPr>
          <w:i/>
          <w:iCs/>
        </w:rPr>
        <w:t xml:space="preserve">Bulletin of the American Meteorological Society</w:t>
      </w:r>
      <w:r>
        <w:t xml:space="preserve">, 79, 831–844. https://doi.org/10.1175/1520-0477(1998)079&lt;0831:OPOAAC&gt;2.0.CO;2</w:t>
      </w:r>
    </w:p>
    <w:p>
      <w:pPr>
        <w:pStyle w:val="BodyText"/>
      </w:pPr>
      <w:r>
        <w:t xml:space="preserve">Kumar, S., &amp; Ramkrishna, D. (1996a). On the solution of population balance equations by discretization—I. A fixed pivot technique.</w:t>
      </w:r>
      <w:r>
        <w:t xml:space="preserve"> </w:t>
      </w:r>
      <w:r>
        <w:rPr>
          <w:i/>
          <w:iCs/>
        </w:rPr>
        <w:t xml:space="preserve">Chemical Engineering Science</w:t>
      </w:r>
      <w:r>
        <w:t xml:space="preserve">, 51, 1311–1332. https://doi.org/10.1016/0009-2509(96)88489-2</w:t>
      </w:r>
    </w:p>
    <w:p>
      <w:pPr>
        <w:pStyle w:val="BodyText"/>
      </w:pPr>
      <w:r>
        <w:t xml:space="preserve">Kumar, S., &amp; Ramkrishna, D. (1996b). On the solution of population balance equations by discretization—II. A moving pivot technique.</w:t>
      </w:r>
      <w:r>
        <w:t xml:space="preserve"> </w:t>
      </w:r>
      <w:r>
        <w:rPr>
          <w:i/>
          <w:iCs/>
        </w:rPr>
        <w:t xml:space="preserve">Chemical Engineering Science</w:t>
      </w:r>
      <w:r>
        <w:t xml:space="preserve">, 51, 1333–1342. https://doi.org/10.1016/0009-2509(95)00355-X</w:t>
      </w:r>
    </w:p>
    <w:p>
      <w:pPr>
        <w:pStyle w:val="BodyText"/>
      </w:pPr>
      <w:r>
        <w:t xml:space="preserve">Liu, X., Ma, P.-L., Wang, H., Tilmes, S., Singh, B., Easter, R. C., Ghan, S. J., &amp; Rasch, P. J. (2016). Description and evaluation of a new four-mode version of the Modal Aerosol Module (MAM4) within version 5.3 of the Community Atmosphere Model.</w:t>
      </w:r>
      <w:r>
        <w:t xml:space="preserve"> </w:t>
      </w:r>
      <w:r>
        <w:rPr>
          <w:i/>
          <w:iCs/>
        </w:rPr>
        <w:t xml:space="preserve">Geoscientific Model Development</w:t>
      </w:r>
      <w:r>
        <w:t xml:space="preserve">, 9, 505–522. https://doi.org/10.5194/gmd-9-505-2016</w:t>
      </w:r>
    </w:p>
    <w:p>
      <w:pPr>
        <w:pStyle w:val="BodyText"/>
      </w:pPr>
      <w:r>
        <w:t xml:space="preserve">Pankow, J. F. (1994a). An absorption model of gas/particle partitioning of organic compounds in the atmosphere.</w:t>
      </w:r>
      <w:r>
        <w:t xml:space="preserve"> </w:t>
      </w:r>
      <w:r>
        <w:rPr>
          <w:i/>
          <w:iCs/>
        </w:rPr>
        <w:t xml:space="preserve">Atmospheric Environment</w:t>
      </w:r>
      <w:r>
        <w:t xml:space="preserve">, 28, 185–188. https://doi.org/10.1016/1352-2310(94)90093-0</w:t>
      </w:r>
    </w:p>
    <w:p>
      <w:pPr>
        <w:pStyle w:val="BodyText"/>
      </w:pPr>
      <w:r>
        <w:t xml:space="preserve">Pankow, J. F. (1994b). An absorption model of the gas/aerosol partitioning involved in the formation of secondary organic aerosol.</w:t>
      </w:r>
      <w:r>
        <w:t xml:space="preserve"> </w:t>
      </w:r>
      <w:r>
        <w:rPr>
          <w:i/>
          <w:iCs/>
        </w:rPr>
        <w:t xml:space="preserve">Atmospheric Environment</w:t>
      </w:r>
      <w:r>
        <w:t xml:space="preserve">, 28, 189–193. https://doi.org/10.1016/1352-2310(94)90094-9</w:t>
      </w:r>
    </w:p>
    <w:p>
      <w:pPr>
        <w:pStyle w:val="BodyText"/>
      </w:pPr>
      <w:r>
        <w:t xml:space="preserve">Petters, M. D., &amp; Kreidenweis, S. M. (2007). A single parameter representation of hygroscopic growth and cloud condensation nucleus activity.</w:t>
      </w:r>
      <w:r>
        <w:t xml:space="preserve"> </w:t>
      </w:r>
      <w:r>
        <w:rPr>
          <w:i/>
          <w:iCs/>
        </w:rPr>
        <w:t xml:space="preserve">Atmospheric Chemistry and Physics</w:t>
      </w:r>
      <w:r>
        <w:t xml:space="preserve">, 7, 1961–1971. https://doi.org/10.5194/acp-7-1961-2007</w:t>
      </w:r>
    </w:p>
    <w:p>
      <w:pPr>
        <w:pStyle w:val="BodyText"/>
      </w:pPr>
      <w:r>
        <w:t xml:space="preserve">Pruppacher, H. R., &amp; Klett, J. D. (1978).</w:t>
      </w:r>
      <w:r>
        <w:t xml:space="preserve"> </w:t>
      </w:r>
      <w:r>
        <w:rPr>
          <w:i/>
          <w:iCs/>
        </w:rPr>
        <w:t xml:space="preserve">Microphysics of Clouds and Precipitation</w:t>
      </w:r>
      <w:r>
        <w:t xml:space="preserve">. Reidel. https://doi.org/10.1007/978-94-009-9905-3</w:t>
      </w:r>
    </w:p>
    <w:p>
      <w:pPr>
        <w:pStyle w:val="BodyText"/>
      </w:pPr>
      <w:r>
        <w:t xml:space="preserve">Riemer, N., &amp; West, M. (2013). Quantifying aerosol mixing state with entropy and diversity measures.</w:t>
      </w:r>
      <w:r>
        <w:t xml:space="preserve"> </w:t>
      </w:r>
      <w:r>
        <w:rPr>
          <w:i/>
          <w:iCs/>
        </w:rPr>
        <w:t xml:space="preserve">Atmospheric Chemistry and Physics</w:t>
      </w:r>
      <w:r>
        <w:t xml:space="preserve">, 13, 11423–11439. https://doi.org/10.5194/acp-13-11423-2013</w:t>
      </w:r>
    </w:p>
    <w:p>
      <w:pPr>
        <w:pStyle w:val="BodyText"/>
      </w:pPr>
      <w:r>
        <w:t xml:space="preserve">Riemer, N., Ault, A. P., West, M., Craig, R. L., &amp; Curtis, J. H. (2019). Aerosol mixing state: Measurements, modeling, and impacts.</w:t>
      </w:r>
      <w:r>
        <w:t xml:space="preserve"> </w:t>
      </w:r>
      <w:r>
        <w:rPr>
          <w:i/>
          <w:iCs/>
        </w:rPr>
        <w:t xml:space="preserve">Reviews of Geophysics</w:t>
      </w:r>
      <w:r>
        <w:t xml:space="preserve">, 57, 187–249. https://doi.org/10.1029/2018RG000615</w:t>
      </w:r>
    </w:p>
    <w:p>
      <w:pPr>
        <w:pStyle w:val="BodyText"/>
      </w:pPr>
      <w:r>
        <w:t xml:space="preserve">Sokolik, I. N., &amp; Toon, O. B. (1999). Incorporation of mineralogical composition into models of the radiative properties of mineral aerosol from UV to IR wavelengths.</w:t>
      </w:r>
      <w:r>
        <w:t xml:space="preserve"> </w:t>
      </w:r>
      <w:r>
        <w:rPr>
          <w:i/>
          <w:iCs/>
        </w:rPr>
        <w:t xml:space="preserve">Journal of Geophysical Research: Atmospheres</w:t>
      </w:r>
      <w:r>
        <w:t xml:space="preserve">, 104, 9423–9444. https://doi.org/10.1029/1998JD200048</w:t>
      </w:r>
    </w:p>
    <w:p>
      <w:pPr>
        <w:pStyle w:val="BodyText"/>
      </w:pPr>
      <w:r>
        <w:t xml:space="preserve">Vehkamäki, H., Kulmala, M., Napari, I., Lehtinen, K. E. J., Timmreck, C., Noppel, M., &amp; Laaksonen, A. (2002). An improved parameterization for sulfuric acid–water nucleation rates for tropospheric and stratospheric conditions.</w:t>
      </w:r>
      <w:r>
        <w:t xml:space="preserve"> </w:t>
      </w:r>
      <w:r>
        <w:rPr>
          <w:i/>
          <w:iCs/>
        </w:rPr>
        <w:t xml:space="preserve">Journal of Geophysical Research: Atmospheres</w:t>
      </w:r>
      <w:r>
        <w:t xml:space="preserve">, 107(D22), 4622. https://doi.org/10.1029/2002JD002184</w:t>
      </w:r>
    </w:p>
    <w:p>
      <w:pPr>
        <w:pStyle w:val="BodyText"/>
      </w:pPr>
      <w:r>
        <w:t xml:space="preserve">Zhang, L., Gong, S., Padro, J., &amp; Barrie, L. (2001). A size-segregated particle dry deposition scheme for an atmospheric aerosol module.</w:t>
      </w:r>
      <w:r>
        <w:t xml:space="preserve"> </w:t>
      </w:r>
      <w:r>
        <w:rPr>
          <w:i/>
          <w:iCs/>
        </w:rPr>
        <w:t xml:space="preserve">Atmospheric Environment</w:t>
      </w:r>
      <w:r>
        <w:t xml:space="preserve">, 35, 549–560. https://doi.org/10.1016/S1352-2310(00)00326-5</w:t>
      </w:r>
    </w:p>
    <w:p>
      <w:pPr>
        <w:pStyle w:val="BodyText"/>
      </w:pPr>
      <w:r>
        <w:t xml:space="preserve">Zhu, S., Sartelet, K. N., &amp; Seigneur, C. (2015). A size-composition resolved aerosol model for simulating the dynamics of externally mixed particles: SCRAM (v1.0).</w:t>
      </w:r>
      <w:r>
        <w:t xml:space="preserve"> </w:t>
      </w:r>
      <w:r>
        <w:rPr>
          <w:i/>
          <w:iCs/>
        </w:rPr>
        <w:t xml:space="preserve">Geoscientific Model Development</w:t>
      </w:r>
      <w:r>
        <w:t xml:space="preserve">, 8, 1595–1612. https://doi.org/10.5194/gmd-8-1595-2015</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2026-08-13T10:25:23Z</dcterms:created>
  <dcterms:modified xsi:type="dcterms:W3CDTF">2026-08-13T10:25:23Z</dcterms:modified>
</cp:coreProperties>
</file>

<file path=docProps/custom.xml><?xml version="1.0" encoding="utf-8"?>
<Properties xmlns="http://schemas.openxmlformats.org/officeDocument/2006/custom-properties" xmlns:vt="http://schemas.openxmlformats.org/officeDocument/2006/docPropsVTypes"/>
</file>