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7"/>
        <w:gridCol w:w="1587"/>
      </w:tblGrid>
      <w:tr w:rsidR="002B7F96" w14:paraId="01EC3A2D" w14:textId="77777777">
        <w:tc>
          <w:tcPr>
            <w:tcW w:w="8787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04FF62EE" w14:textId="77777777" w:rsidR="002B7F96" w:rsidRDefault="00000000">
            <w:pPr>
              <w:pStyle w:val="aa"/>
              <w:spacing w:after="24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lang w:eastAsia="zh-CN"/>
              </w:rPr>
              <w:t>郭树骞</w:t>
            </w:r>
          </w:p>
          <w:p w14:paraId="54830712" w14:textId="77777777" w:rsidR="002B7F96" w:rsidRDefault="00000000">
            <w:pPr>
              <w:spacing w:after="24" w:line="240" w:lineRule="auto"/>
              <w:rPr>
                <w:lang w:eastAsia="zh-CN"/>
              </w:rPr>
            </w:pPr>
            <w:r>
              <w:rPr>
                <w:b/>
                <w:color w:val="A65F2B"/>
                <w:sz w:val="21"/>
                <w:lang w:eastAsia="zh-CN"/>
              </w:rPr>
              <w:t>品牌传播专员求职简历</w:t>
            </w:r>
          </w:p>
          <w:p w14:paraId="41B329BC" w14:textId="77777777" w:rsidR="002B7F96" w:rsidRDefault="00000000">
            <w:pPr>
              <w:spacing w:after="24" w:line="240" w:lineRule="auto"/>
              <w:rPr>
                <w:lang w:eastAsia="zh-CN"/>
              </w:rPr>
            </w:pPr>
            <w:r>
              <w:rPr>
                <w:b/>
                <w:color w:val="A65F2B"/>
                <w:sz w:val="18"/>
                <w:lang w:eastAsia="zh-CN"/>
              </w:rPr>
              <w:t>个人简历网站：</w:t>
            </w:r>
          </w:p>
          <w:p w14:paraId="1154F63A" w14:textId="77777777" w:rsidR="002B7F96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Style w:val="aff9"/>
                <w:noProof/>
                <w:lang w:eastAsia="zh-CN"/>
              </w:rPr>
              <w:t>Tel:136 3006 2771  ·  ppin2003@outlook.com  ·</w:t>
            </w:r>
          </w:p>
        </w:tc>
        <w:tc>
          <w:tcPr>
            <w:tcW w:w="1587" w:type="dxa"/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0376DC40" w14:textId="77777777" w:rsidR="002B7F9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B1D3516" wp14:editId="5A8A8420">
                  <wp:extent cx="827999" cy="102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10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0894B" w14:textId="77777777" w:rsidR="002B7F96" w:rsidRDefault="00000000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教育背景</w:t>
      </w:r>
    </w:p>
    <w:p w14:paraId="041FDDE4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蒙纳士大学 Monash University</w:t>
      </w:r>
      <w:r>
        <w:rPr>
          <w:b/>
          <w:color w:val="A65F2B"/>
          <w:lang w:eastAsia="zh-CN"/>
        </w:rPr>
        <w:t xml:space="preserve">  |  全球商务硕士</w:t>
      </w:r>
      <w:r>
        <w:rPr>
          <w:sz w:val="16"/>
          <w:lang w:eastAsia="zh-CN"/>
        </w:rPr>
        <w:tab/>
        <w:t>2025.09 - 2027.04</w:t>
      </w:r>
    </w:p>
    <w:p w14:paraId="55901D90" w14:textId="77777777" w:rsidR="002B7F96" w:rsidRDefault="00000000">
      <w:pPr>
        <w:spacing w:after="9" w:line="252" w:lineRule="auto"/>
        <w:rPr>
          <w:lang w:eastAsia="zh-CN"/>
        </w:rPr>
      </w:pPr>
      <w:r>
        <w:rPr>
          <w:sz w:val="16"/>
          <w:lang w:eastAsia="zh-CN"/>
        </w:rPr>
        <w:t>墨尔本  |  WAM 75+/100 Distinction  |  国际市场、全球商业环境、经济学、可持续发展与成本效益分析</w:t>
      </w:r>
    </w:p>
    <w:p w14:paraId="14CAFDD3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广东金融学院</w:t>
      </w:r>
      <w:r>
        <w:rPr>
          <w:b/>
          <w:color w:val="A65F2B"/>
          <w:lang w:eastAsia="zh-CN"/>
        </w:rPr>
        <w:t xml:space="preserve">  |  财政学本科</w:t>
      </w:r>
      <w:r>
        <w:rPr>
          <w:sz w:val="16"/>
          <w:lang w:eastAsia="zh-CN"/>
        </w:rPr>
        <w:tab/>
        <w:t>2021.09 - 2025.07</w:t>
      </w:r>
    </w:p>
    <w:p w14:paraId="4A783954" w14:textId="77777777" w:rsidR="002B7F96" w:rsidRDefault="00000000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职业概述</w:t>
      </w:r>
    </w:p>
    <w:p w14:paraId="013C35C5" w14:textId="77777777" w:rsidR="002B7F96" w:rsidRDefault="00000000">
      <w:pPr>
        <w:spacing w:after="8" w:line="252" w:lineRule="auto"/>
        <w:rPr>
          <w:lang w:eastAsia="zh-CN"/>
        </w:rPr>
      </w:pPr>
      <w:r>
        <w:rPr>
          <w:lang w:eastAsia="zh-CN"/>
        </w:rPr>
        <w:t>蒙纳士大学全球商务硕士在读，2027 年毕业。具备品牌传播方案、校园媒体运营、英文市场研究和活动执行经验，并拥有证券、制造业及银行实习经历。希望在品牌传播岗位中参与内容策划、社媒运营、传播执行与品牌本地化。</w:t>
      </w:r>
    </w:p>
    <w:p w14:paraId="7DE76968" w14:textId="77777777" w:rsidR="002B7F96" w:rsidRDefault="00000000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核心能力</w:t>
      </w:r>
    </w:p>
    <w:p w14:paraId="31C3A661" w14:textId="77777777" w:rsidR="002B7F96" w:rsidRDefault="00000000">
      <w:pPr>
        <w:spacing w:after="8" w:line="250" w:lineRule="auto"/>
        <w:rPr>
          <w:lang w:eastAsia="zh-CN"/>
        </w:rPr>
      </w:pPr>
      <w:r>
        <w:rPr>
          <w:b/>
          <w:lang w:eastAsia="zh-CN"/>
        </w:rPr>
        <w:t>社媒内容编辑与发布</w:t>
      </w:r>
      <w:r>
        <w:rPr>
          <w:color w:val="A65F2B"/>
          <w:sz w:val="16"/>
          <w:lang w:eastAsia="zh-CN"/>
        </w:rPr>
        <w:t xml:space="preserve">  ·  </w:t>
      </w:r>
      <w:r>
        <w:rPr>
          <w:b/>
          <w:lang w:eastAsia="zh-CN"/>
        </w:rPr>
        <w:t>品牌与竞品研究</w:t>
      </w:r>
      <w:r>
        <w:rPr>
          <w:color w:val="A65F2B"/>
          <w:sz w:val="16"/>
          <w:lang w:eastAsia="zh-CN"/>
        </w:rPr>
        <w:t xml:space="preserve">  ·  </w:t>
      </w:r>
      <w:r>
        <w:rPr>
          <w:b/>
          <w:lang w:eastAsia="zh-CN"/>
        </w:rPr>
        <w:t>传播方案与活动策划</w:t>
      </w:r>
      <w:r>
        <w:rPr>
          <w:color w:val="A65F2B"/>
          <w:sz w:val="16"/>
          <w:lang w:eastAsia="zh-CN"/>
        </w:rPr>
        <w:t xml:space="preserve">  ·  </w:t>
      </w:r>
      <w:r>
        <w:rPr>
          <w:b/>
          <w:lang w:eastAsia="zh-CN"/>
        </w:rPr>
        <w:t>英文资料检索与跨文化沟通</w:t>
      </w:r>
      <w:r>
        <w:rPr>
          <w:color w:val="A65F2B"/>
          <w:sz w:val="16"/>
          <w:lang w:eastAsia="zh-CN"/>
        </w:rPr>
        <w:t xml:space="preserve">  ·  </w:t>
      </w:r>
      <w:r>
        <w:rPr>
          <w:b/>
          <w:lang w:eastAsia="zh-CN"/>
        </w:rPr>
        <w:t>AI 辅助资料整理与分析，内容产出</w:t>
      </w:r>
    </w:p>
    <w:p w14:paraId="39D2B653" w14:textId="77777777" w:rsidR="002B7F96" w:rsidRDefault="00000000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实习经历</w:t>
      </w:r>
    </w:p>
    <w:p w14:paraId="63A954E2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中国银河证券佛山顺德乐从证券营业部</w:t>
      </w:r>
      <w:r>
        <w:rPr>
          <w:b/>
          <w:color w:val="A65F2B"/>
          <w:lang w:eastAsia="zh-CN"/>
        </w:rPr>
        <w:t xml:space="preserve">  |  市场部助理</w:t>
      </w:r>
      <w:r>
        <w:rPr>
          <w:sz w:val="16"/>
          <w:lang w:eastAsia="zh-CN"/>
        </w:rPr>
        <w:tab/>
        <w:t>2024.01 - 2025.03</w:t>
      </w:r>
    </w:p>
    <w:p w14:paraId="722A4DEC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参与咨询平台日常运营，以文案撰写、资料整理和基础视频剪辑支持内容传播；按业务需求检索市场信息并整理分析材料。</w:t>
      </w:r>
    </w:p>
    <w:p w14:paraId="5BFC3F2F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广东美洁卫生用品有限公司</w:t>
      </w:r>
      <w:r>
        <w:rPr>
          <w:b/>
          <w:color w:val="A65F2B"/>
          <w:lang w:eastAsia="zh-CN"/>
        </w:rPr>
        <w:t xml:space="preserve">  |  财务部助理</w:t>
      </w:r>
      <w:r>
        <w:rPr>
          <w:sz w:val="16"/>
          <w:lang w:eastAsia="zh-CN"/>
        </w:rPr>
        <w:tab/>
        <w:t>2024.07 - 2024.08</w:t>
      </w:r>
    </w:p>
    <w:p w14:paraId="7710CFDA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参与广交会海外客户接待，以英语开展基础商务沟通、记录客户需求和产品信息，并配合后续沟通与业务跟进。</w:t>
      </w:r>
    </w:p>
    <w:p w14:paraId="5B02DFF8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广东顺德农村商业银行乐从支行</w:t>
      </w:r>
      <w:r>
        <w:rPr>
          <w:b/>
          <w:color w:val="A65F2B"/>
          <w:lang w:eastAsia="zh-CN"/>
        </w:rPr>
        <w:t xml:space="preserve">  |  综合事务部助理</w:t>
      </w:r>
      <w:r>
        <w:rPr>
          <w:sz w:val="16"/>
          <w:lang w:eastAsia="zh-CN"/>
        </w:rPr>
        <w:tab/>
        <w:t>2023.07 - 2023.08</w:t>
      </w:r>
    </w:p>
    <w:p w14:paraId="18571E03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协助客户沟通、贷款资料整理和业务办理，支持客户与内部业务人员之间的信息传递。</w:t>
      </w:r>
    </w:p>
    <w:p w14:paraId="612728A9" w14:textId="57447B68" w:rsidR="002B7F96" w:rsidRDefault="00D44B0D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研究</w:t>
      </w:r>
      <w:r w:rsidR="00000000">
        <w:rPr>
          <w:rFonts w:ascii="Hiragino Sans GB" w:eastAsia="Hiragino Sans GB" w:hAnsi="Hiragino Sans GB"/>
          <w:lang w:eastAsia="zh-CN"/>
        </w:rPr>
        <w:t>项目</w:t>
      </w:r>
    </w:p>
    <w:p w14:paraId="364FD7DA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Saya Skincare 英国市场整合营销方案</w:t>
      </w:r>
      <w:r>
        <w:rPr>
          <w:b/>
          <w:color w:val="A65F2B"/>
          <w:lang w:eastAsia="zh-CN"/>
        </w:rPr>
        <w:t xml:space="preserve">  |  市场与传播</w:t>
      </w:r>
      <w:r>
        <w:rPr>
          <w:sz w:val="16"/>
          <w:lang w:eastAsia="zh-CN"/>
        </w:rPr>
        <w:tab/>
        <w:t>课程项目</w:t>
      </w:r>
    </w:p>
    <w:p w14:paraId="301894B9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检索英国清洁美容市场资料，分析竞品与目标消费者，提出品牌定位、阶段目标及线上、零售和社交媒体渠道建议。</w:t>
      </w:r>
    </w:p>
    <w:p w14:paraId="3A0E3E78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佰草集澳大利亚市场品牌传播方案</w:t>
      </w:r>
      <w:r>
        <w:rPr>
          <w:b/>
          <w:color w:val="A65F2B"/>
          <w:lang w:eastAsia="zh-CN"/>
        </w:rPr>
        <w:t xml:space="preserve">  |  品牌策略</w:t>
      </w:r>
      <w:r>
        <w:rPr>
          <w:sz w:val="16"/>
          <w:lang w:eastAsia="zh-CN"/>
        </w:rPr>
        <w:tab/>
        <w:t>课程项目</w:t>
      </w:r>
    </w:p>
    <w:p w14:paraId="4F7F6373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分析澳大利亚护肤市场、渠道与目标消费者，梳理品牌差异点，并形成市场进入及社交媒体传播建议。</w:t>
      </w:r>
    </w:p>
    <w:p w14:paraId="65171528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喜茶意大利市场进入与品牌本地化方案</w:t>
      </w:r>
      <w:r>
        <w:rPr>
          <w:b/>
          <w:color w:val="A65F2B"/>
          <w:lang w:eastAsia="zh-CN"/>
        </w:rPr>
        <w:t xml:space="preserve">  |  本地化分析</w:t>
      </w:r>
      <w:r>
        <w:rPr>
          <w:sz w:val="16"/>
          <w:lang w:eastAsia="zh-CN"/>
        </w:rPr>
        <w:tab/>
        <w:t>课程项目</w:t>
      </w:r>
    </w:p>
    <w:p w14:paraId="41938C54" w14:textId="77777777" w:rsidR="002B7F96" w:rsidRDefault="00000000">
      <w:pPr>
        <w:spacing w:after="16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结合意大利饮品市场与咖啡文化比较进入模式，提出产品、门店体验与品牌表达的本地化设想。</w:t>
      </w:r>
    </w:p>
    <w:p w14:paraId="547B4277" w14:textId="686DFFB3" w:rsidR="002B7F96" w:rsidRDefault="00000000" w:rsidP="00D44B0D">
      <w:pPr>
        <w:pStyle w:val="1"/>
        <w:pBdr>
          <w:top w:val="single" w:sz="5" w:space="0" w:color="CBD5E1"/>
        </w:pBdr>
        <w:spacing w:before="48" w:after="20" w:line="240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/>
          <w:lang w:eastAsia="zh-CN"/>
        </w:rPr>
        <w:t>活动经历</w:t>
      </w:r>
    </w:p>
    <w:p w14:paraId="17B1A1CE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广东金融学院学生会</w:t>
      </w:r>
      <w:r>
        <w:rPr>
          <w:b/>
          <w:color w:val="A65F2B"/>
          <w:lang w:eastAsia="zh-CN"/>
        </w:rPr>
        <w:t xml:space="preserve">  |  学校官方微信公众号运营与维护</w:t>
      </w:r>
      <w:r>
        <w:rPr>
          <w:sz w:val="16"/>
          <w:lang w:eastAsia="zh-CN"/>
        </w:rPr>
        <w:tab/>
        <w:t>在校期间</w:t>
      </w:r>
    </w:p>
    <w:p w14:paraId="149915C2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撰写多篇校园公众号推文，参与选题、内容编辑与发布，承担日常内容审核及账号维护。</w:t>
      </w:r>
    </w:p>
    <w:p w14:paraId="4FE4769D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广东金融学院</w:t>
      </w:r>
      <w:r>
        <w:rPr>
          <w:b/>
          <w:color w:val="A65F2B"/>
          <w:lang w:eastAsia="zh-CN"/>
        </w:rPr>
        <w:t xml:space="preserve">  |  团支书</w:t>
      </w:r>
      <w:r>
        <w:rPr>
          <w:sz w:val="16"/>
          <w:lang w:eastAsia="zh-CN"/>
        </w:rPr>
        <w:tab/>
        <w:t>在校期间</w:t>
      </w:r>
    </w:p>
    <w:p w14:paraId="0AA73549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统筹多次团建活动，撰写活动策划案，协调组织安排并支持现场执行。</w:t>
      </w:r>
    </w:p>
    <w:p w14:paraId="4BB3F99A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MONSU Queer</w:t>
      </w:r>
      <w:r>
        <w:rPr>
          <w:b/>
          <w:color w:val="A65F2B"/>
          <w:lang w:eastAsia="zh-CN"/>
        </w:rPr>
        <w:t xml:space="preserve">  |  成员与活动支持</w:t>
      </w:r>
      <w:r>
        <w:rPr>
          <w:sz w:val="16"/>
          <w:lang w:eastAsia="zh-CN"/>
        </w:rPr>
        <w:tab/>
        <w:t>蒙纳士大学</w:t>
      </w:r>
    </w:p>
    <w:p w14:paraId="527B58BE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 xml:space="preserve">协助组织 Queer Picnic、Drag Bingo 及每周 </w:t>
      </w:r>
      <w:proofErr w:type="spellStart"/>
      <w:r>
        <w:rPr>
          <w:lang w:eastAsia="zh-CN"/>
        </w:rPr>
        <w:t>LGBTea</w:t>
      </w:r>
      <w:proofErr w:type="spellEnd"/>
      <w:r>
        <w:rPr>
          <w:lang w:eastAsia="zh-CN"/>
        </w:rPr>
        <w:t xml:space="preserve"> 活动，参与现场执行和成员沟通。</w:t>
      </w:r>
    </w:p>
    <w:p w14:paraId="61085C05" w14:textId="77777777" w:rsidR="002B7F96" w:rsidRDefault="00000000">
      <w:pPr>
        <w:tabs>
          <w:tab w:val="right" w:pos="10290"/>
        </w:tabs>
        <w:spacing w:before="14" w:after="9" w:line="240" w:lineRule="auto"/>
        <w:rPr>
          <w:lang w:eastAsia="zh-CN"/>
        </w:rPr>
      </w:pPr>
      <w:r>
        <w:rPr>
          <w:b/>
          <w:color w:val="111827"/>
          <w:sz w:val="18"/>
          <w:lang w:eastAsia="zh-CN"/>
        </w:rPr>
        <w:t>BCSS</w:t>
      </w:r>
      <w:r>
        <w:rPr>
          <w:b/>
          <w:color w:val="A65F2B"/>
          <w:lang w:eastAsia="zh-CN"/>
        </w:rPr>
        <w:t xml:space="preserve">  |  职业交流社群成员</w:t>
      </w:r>
      <w:r>
        <w:rPr>
          <w:sz w:val="16"/>
          <w:lang w:eastAsia="zh-CN"/>
        </w:rPr>
        <w:tab/>
        <w:t>蒙纳士大学</w:t>
      </w:r>
    </w:p>
    <w:p w14:paraId="18BF1458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参与商科职业发展、企业交流及行业分享活动，与不同专业和文化背景的学生交流。</w:t>
      </w:r>
    </w:p>
    <w:p w14:paraId="757C365A" w14:textId="77777777" w:rsidR="002B7F96" w:rsidRDefault="00000000">
      <w:pPr>
        <w:pStyle w:val="1"/>
        <w:pBdr>
          <w:top w:val="single" w:sz="5" w:space="3" w:color="CBD5E1"/>
        </w:pBdr>
        <w:spacing w:before="48" w:after="20" w:line="24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语言工具与补充经历</w:t>
      </w:r>
    </w:p>
    <w:p w14:paraId="393E185A" w14:textId="77777777" w:rsidR="002B7F96" w:rsidRDefault="00000000">
      <w:pPr>
        <w:spacing w:after="8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语言：英语 CET-6 550+、IELTS 6.5，可进行英文资料检索、日常工作沟通与基础商务交流；掌握粤语。</w:t>
      </w:r>
    </w:p>
    <w:p w14:paraId="1E38FFB3" w14:textId="77777777" w:rsidR="002B7F96" w:rsidRDefault="00000000">
      <w:pPr>
        <w:spacing w:after="8" w:line="250" w:lineRule="auto"/>
        <w:ind w:left="215" w:hanging="170"/>
      </w:pPr>
      <w:r>
        <w:rPr>
          <w:b/>
          <w:color w:val="A65F2B"/>
        </w:rPr>
        <w:t xml:space="preserve">• </w:t>
      </w:r>
      <w:proofErr w:type="spellStart"/>
      <w:r>
        <w:t>工具：Excel、Stata、Word、PowerPoint；使用</w:t>
      </w:r>
      <w:proofErr w:type="spellEnd"/>
      <w:r>
        <w:t xml:space="preserve"> </w:t>
      </w:r>
      <w:proofErr w:type="spellStart"/>
      <w:r>
        <w:t>ChatGPT、Claude、Gemini、Cursor</w:t>
      </w:r>
      <w:proofErr w:type="spellEnd"/>
      <w:r>
        <w:t xml:space="preserve"> </w:t>
      </w:r>
      <w:proofErr w:type="spellStart"/>
      <w:r>
        <w:t>辅助资料整理、分析与内容产出</w:t>
      </w:r>
      <w:proofErr w:type="spellEnd"/>
      <w:r>
        <w:t>。</w:t>
      </w:r>
    </w:p>
    <w:p w14:paraId="0BB6490D" w14:textId="2C6D04E0" w:rsidR="002B7F96" w:rsidRDefault="00000000">
      <w:pPr>
        <w:spacing w:after="0" w:line="250" w:lineRule="auto"/>
        <w:ind w:left="215" w:hanging="170"/>
        <w:rPr>
          <w:lang w:eastAsia="zh-CN"/>
        </w:rPr>
      </w:pPr>
      <w:r>
        <w:rPr>
          <w:b/>
          <w:color w:val="A65F2B"/>
          <w:lang w:eastAsia="zh-CN"/>
        </w:rPr>
        <w:t xml:space="preserve">• </w:t>
      </w:r>
      <w:r>
        <w:rPr>
          <w:lang w:eastAsia="zh-CN"/>
        </w:rPr>
        <w:t>内容兴趣：</w:t>
      </w:r>
      <w:r w:rsidR="008D4E25">
        <w:rPr>
          <w:rFonts w:hint="eastAsia"/>
          <w:lang w:eastAsia="zh-CN"/>
        </w:rPr>
        <w:t>擅长视频剪辑，熟练使用多种视频剪辑工具（pr，Final cut pro）。</w:t>
      </w:r>
      <w:r>
        <w:rPr>
          <w:rFonts w:hint="eastAsia"/>
          <w:lang w:eastAsia="zh-CN"/>
        </w:rPr>
        <w:t>长</w:t>
      </w:r>
      <w:r>
        <w:rPr>
          <w:lang w:eastAsia="zh-CN"/>
        </w:rPr>
        <w:t>期关注</w:t>
      </w:r>
      <w:r w:rsidR="008D4E25">
        <w:rPr>
          <w:rFonts w:hint="eastAsia"/>
          <w:lang w:eastAsia="zh-CN"/>
        </w:rPr>
        <w:t>海内外社交媒体趋势</w:t>
      </w:r>
      <w:r>
        <w:rPr>
          <w:lang w:eastAsia="zh-CN"/>
        </w:rPr>
        <w:t>，能够从用户体验和传播角度观察内容。</w:t>
      </w:r>
    </w:p>
    <w:p w14:paraId="633583A7" w14:textId="77777777" w:rsidR="008D4E25" w:rsidRDefault="008D4E25">
      <w:pPr>
        <w:spacing w:after="0" w:line="250" w:lineRule="auto"/>
        <w:ind w:left="215" w:hanging="170"/>
        <w:rPr>
          <w:rFonts w:hint="eastAsia"/>
          <w:lang w:eastAsia="zh-CN"/>
        </w:rPr>
      </w:pPr>
    </w:p>
    <w:sectPr w:rsidR="008D4E25" w:rsidSect="00034616">
      <w:footerReference w:type="default" r:id="rId9"/>
      <w:pgSz w:w="11906" w:h="16838"/>
      <w:pgMar w:top="360" w:right="709" w:bottom="25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75FD93" w14:textId="77777777" w:rsidR="00B9530B" w:rsidRDefault="00B9530B">
      <w:pPr>
        <w:spacing w:after="0" w:line="240" w:lineRule="auto"/>
      </w:pPr>
      <w:r>
        <w:separator/>
      </w:r>
    </w:p>
  </w:endnote>
  <w:endnote w:type="continuationSeparator" w:id="0">
    <w:p w14:paraId="0FB9DC84" w14:textId="77777777" w:rsidR="00B9530B" w:rsidRDefault="00B9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ADEE3" w14:textId="77777777" w:rsidR="002B7F96" w:rsidRDefault="002B7F9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CBA146" w14:textId="77777777" w:rsidR="00B9530B" w:rsidRDefault="00B9530B">
      <w:pPr>
        <w:spacing w:after="0" w:line="240" w:lineRule="auto"/>
      </w:pPr>
      <w:r>
        <w:separator/>
      </w:r>
    </w:p>
  </w:footnote>
  <w:footnote w:type="continuationSeparator" w:id="0">
    <w:p w14:paraId="42B61E33" w14:textId="77777777" w:rsidR="00B9530B" w:rsidRDefault="00B9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267689">
    <w:abstractNumId w:val="8"/>
  </w:num>
  <w:num w:numId="2" w16cid:durableId="1153908018">
    <w:abstractNumId w:val="6"/>
  </w:num>
  <w:num w:numId="3" w16cid:durableId="2084716265">
    <w:abstractNumId w:val="5"/>
  </w:num>
  <w:num w:numId="4" w16cid:durableId="1301156097">
    <w:abstractNumId w:val="4"/>
  </w:num>
  <w:num w:numId="5" w16cid:durableId="507981916">
    <w:abstractNumId w:val="7"/>
  </w:num>
  <w:num w:numId="6" w16cid:durableId="795372388">
    <w:abstractNumId w:val="3"/>
  </w:num>
  <w:num w:numId="7" w16cid:durableId="1043671253">
    <w:abstractNumId w:val="2"/>
  </w:num>
  <w:num w:numId="8" w16cid:durableId="2055078447">
    <w:abstractNumId w:val="1"/>
  </w:num>
  <w:num w:numId="9" w16cid:durableId="1109738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F96"/>
    <w:rsid w:val="00326F90"/>
    <w:rsid w:val="005E5637"/>
    <w:rsid w:val="008D4E25"/>
    <w:rsid w:val="00AA1D8D"/>
    <w:rsid w:val="00B47730"/>
    <w:rsid w:val="00B9530B"/>
    <w:rsid w:val="00CB0664"/>
    <w:rsid w:val="00D44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EEBB6"/>
  <w14:defaultImageDpi w14:val="300"/>
  <w15:docId w15:val="{0C0EC699-E2BE-8E49-AB1D-73AE3457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iragino Sans GB" w:eastAsia="Hiragino Sans GB" w:hAnsi="Hiragino Sans GB"/>
      <w:color w:val="4B5563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65F2B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65F2B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65F2B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22F15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22F1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65F2B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7C4620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A65F2B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A65F2B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65F2B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A65F2B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65F2B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522F15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522F15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A65F2B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A65F2B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A65F2B" w:themeColor="accent1"/>
      </w:pBdr>
      <w:spacing w:before="200" w:after="280"/>
      <w:ind w:left="936" w:right="936"/>
    </w:pPr>
    <w:rPr>
      <w:b/>
      <w:bCs/>
      <w:i/>
      <w:iCs/>
      <w:color w:val="A65F2B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A65F2B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A65F2B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7C4620" w:themeColor="accent1" w:themeShade="BF"/>
    </w:rPr>
    <w:tblPr>
      <w:tblStyleRowBandSize w:val="1"/>
      <w:tblStyleColBandSize w:val="1"/>
      <w:tblBorders>
        <w:top w:val="single" w:sz="8" w:space="0" w:color="A65F2B" w:themeColor="accent1"/>
        <w:bottom w:val="single" w:sz="8" w:space="0" w:color="A65F2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5F2B" w:themeColor="accent1"/>
          <w:left w:val="nil"/>
          <w:bottom w:val="single" w:sz="8" w:space="0" w:color="A65F2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5F2B" w:themeColor="accent1"/>
          <w:left w:val="nil"/>
          <w:bottom w:val="single" w:sz="8" w:space="0" w:color="A65F2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6C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6C3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65F2B" w:themeColor="accent1"/>
        <w:left w:val="single" w:sz="8" w:space="0" w:color="A65F2B" w:themeColor="accent1"/>
        <w:bottom w:val="single" w:sz="8" w:space="0" w:color="A65F2B" w:themeColor="accent1"/>
        <w:right w:val="single" w:sz="8" w:space="0" w:color="A65F2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5F2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</w:tcBorders>
      </w:tcPr>
    </w:tblStylePr>
    <w:tblStylePr w:type="band1Horz"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5F2B" w:themeColor="accent1"/>
        <w:left w:val="single" w:sz="8" w:space="0" w:color="A65F2B" w:themeColor="accent1"/>
        <w:bottom w:val="single" w:sz="8" w:space="0" w:color="A65F2B" w:themeColor="accent1"/>
        <w:right w:val="single" w:sz="8" w:space="0" w:color="A65F2B" w:themeColor="accent1"/>
        <w:insideH w:val="single" w:sz="8" w:space="0" w:color="A65F2B" w:themeColor="accent1"/>
        <w:insideV w:val="single" w:sz="8" w:space="0" w:color="A65F2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18" w:space="0" w:color="A65F2B" w:themeColor="accent1"/>
          <w:right w:val="single" w:sz="8" w:space="0" w:color="A65F2B" w:themeColor="accent1"/>
          <w:insideH w:val="nil"/>
          <w:insideV w:val="single" w:sz="8" w:space="0" w:color="A65F2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  <w:insideH w:val="nil"/>
          <w:insideV w:val="single" w:sz="8" w:space="0" w:color="A65F2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</w:tcBorders>
      </w:tcPr>
    </w:tblStylePr>
    <w:tblStylePr w:type="band1Vert"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</w:tcBorders>
        <w:shd w:val="clear" w:color="auto" w:fill="EFD6C3" w:themeFill="accent1" w:themeFillTint="3F"/>
      </w:tcPr>
    </w:tblStylePr>
    <w:tblStylePr w:type="band1Horz"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  <w:insideV w:val="single" w:sz="8" w:space="0" w:color="A65F2B" w:themeColor="accent1"/>
        </w:tcBorders>
        <w:shd w:val="clear" w:color="auto" w:fill="EFD6C3" w:themeFill="accent1" w:themeFillTint="3F"/>
      </w:tcPr>
    </w:tblStylePr>
    <w:tblStylePr w:type="band2Horz">
      <w:tblPr/>
      <w:tcPr>
        <w:tcBorders>
          <w:top w:val="single" w:sz="8" w:space="0" w:color="A65F2B" w:themeColor="accent1"/>
          <w:left w:val="single" w:sz="8" w:space="0" w:color="A65F2B" w:themeColor="accent1"/>
          <w:bottom w:val="single" w:sz="8" w:space="0" w:color="A65F2B" w:themeColor="accent1"/>
          <w:right w:val="single" w:sz="8" w:space="0" w:color="A65F2B" w:themeColor="accent1"/>
          <w:insideV w:val="single" w:sz="8" w:space="0" w:color="A65F2B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834B" w:themeColor="accent1" w:themeTint="BF"/>
        <w:left w:val="single" w:sz="8" w:space="0" w:color="D0834B" w:themeColor="accent1" w:themeTint="BF"/>
        <w:bottom w:val="single" w:sz="8" w:space="0" w:color="D0834B" w:themeColor="accent1" w:themeTint="BF"/>
        <w:right w:val="single" w:sz="8" w:space="0" w:color="D0834B" w:themeColor="accent1" w:themeTint="BF"/>
        <w:insideH w:val="single" w:sz="8" w:space="0" w:color="D0834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834B" w:themeColor="accent1" w:themeTint="BF"/>
          <w:left w:val="single" w:sz="8" w:space="0" w:color="D0834B" w:themeColor="accent1" w:themeTint="BF"/>
          <w:bottom w:val="single" w:sz="8" w:space="0" w:color="D0834B" w:themeColor="accent1" w:themeTint="BF"/>
          <w:right w:val="single" w:sz="8" w:space="0" w:color="D0834B" w:themeColor="accent1" w:themeTint="BF"/>
          <w:insideH w:val="nil"/>
          <w:insideV w:val="nil"/>
        </w:tcBorders>
        <w:shd w:val="clear" w:color="auto" w:fill="A65F2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834B" w:themeColor="accent1" w:themeTint="BF"/>
          <w:left w:val="single" w:sz="8" w:space="0" w:color="D0834B" w:themeColor="accent1" w:themeTint="BF"/>
          <w:bottom w:val="single" w:sz="8" w:space="0" w:color="D0834B" w:themeColor="accent1" w:themeTint="BF"/>
          <w:right w:val="single" w:sz="8" w:space="0" w:color="D0834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C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6C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5F2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5F2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5F2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5F2B" w:themeColor="accent1"/>
        <w:bottom w:val="single" w:sz="8" w:space="0" w:color="A65F2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5F2B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A65F2B" w:themeColor="accent1"/>
          <w:bottom w:val="single" w:sz="8" w:space="0" w:color="A65F2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5F2B" w:themeColor="accent1"/>
          <w:bottom w:val="single" w:sz="8" w:space="0" w:color="A65F2B" w:themeColor="accent1"/>
        </w:tcBorders>
      </w:tcPr>
    </w:tblStylePr>
    <w:tblStylePr w:type="band1Vert">
      <w:tblPr/>
      <w:tcPr>
        <w:shd w:val="clear" w:color="auto" w:fill="EFD6C3" w:themeFill="accent1" w:themeFillTint="3F"/>
      </w:tcPr>
    </w:tblStylePr>
    <w:tblStylePr w:type="band1Horz">
      <w:tblPr/>
      <w:tcPr>
        <w:shd w:val="clear" w:color="auto" w:fill="EFD6C3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5F2B" w:themeColor="accent1"/>
        <w:left w:val="single" w:sz="8" w:space="0" w:color="A65F2B" w:themeColor="accent1"/>
        <w:bottom w:val="single" w:sz="8" w:space="0" w:color="A65F2B" w:themeColor="accent1"/>
        <w:right w:val="single" w:sz="8" w:space="0" w:color="A65F2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5F2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5F2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5F2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5F2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6C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6C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834B" w:themeColor="accent1" w:themeTint="BF"/>
        <w:left w:val="single" w:sz="8" w:space="0" w:color="D0834B" w:themeColor="accent1" w:themeTint="BF"/>
        <w:bottom w:val="single" w:sz="8" w:space="0" w:color="D0834B" w:themeColor="accent1" w:themeTint="BF"/>
        <w:right w:val="single" w:sz="8" w:space="0" w:color="D0834B" w:themeColor="accent1" w:themeTint="BF"/>
        <w:insideH w:val="single" w:sz="8" w:space="0" w:color="D0834B" w:themeColor="accent1" w:themeTint="BF"/>
        <w:insideV w:val="single" w:sz="8" w:space="0" w:color="D0834B" w:themeColor="accent1" w:themeTint="BF"/>
      </w:tblBorders>
    </w:tblPr>
    <w:tcPr>
      <w:shd w:val="clear" w:color="auto" w:fill="EFD6C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834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AC87" w:themeFill="accent1" w:themeFillTint="7F"/>
      </w:tcPr>
    </w:tblStylePr>
    <w:tblStylePr w:type="band1Horz">
      <w:tblPr/>
      <w:tcPr>
        <w:shd w:val="clear" w:color="auto" w:fill="E0AC87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5F2B" w:themeColor="accent1"/>
        <w:left w:val="single" w:sz="8" w:space="0" w:color="A65F2B" w:themeColor="accent1"/>
        <w:bottom w:val="single" w:sz="8" w:space="0" w:color="A65F2B" w:themeColor="accent1"/>
        <w:right w:val="single" w:sz="8" w:space="0" w:color="A65F2B" w:themeColor="accent1"/>
        <w:insideH w:val="single" w:sz="8" w:space="0" w:color="A65F2B" w:themeColor="accent1"/>
        <w:insideV w:val="single" w:sz="8" w:space="0" w:color="A65F2B" w:themeColor="accent1"/>
      </w:tblBorders>
    </w:tblPr>
    <w:tcPr>
      <w:shd w:val="clear" w:color="auto" w:fill="EFD6C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DCF" w:themeFill="accent1" w:themeFillTint="33"/>
      </w:tcPr>
    </w:tblStylePr>
    <w:tblStylePr w:type="band1Vert">
      <w:tblPr/>
      <w:tcPr>
        <w:shd w:val="clear" w:color="auto" w:fill="E0AC87" w:themeFill="accent1" w:themeFillTint="7F"/>
      </w:tcPr>
    </w:tblStylePr>
    <w:tblStylePr w:type="band1Horz">
      <w:tblPr/>
      <w:tcPr>
        <w:tcBorders>
          <w:insideH w:val="single" w:sz="6" w:space="0" w:color="A65F2B" w:themeColor="accent1"/>
          <w:insideV w:val="single" w:sz="6" w:space="0" w:color="A65F2B" w:themeColor="accent1"/>
        </w:tcBorders>
        <w:shd w:val="clear" w:color="auto" w:fill="E0AC8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6C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5F2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5F2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5F2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5F2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AC8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AC87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5F2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2F1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462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462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462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4620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A65F2B" w:themeColor="accent1"/>
        <w:bottom w:val="single" w:sz="4" w:space="0" w:color="A65F2B" w:themeColor="accent1"/>
        <w:right w:val="single" w:sz="4" w:space="0" w:color="A65F2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381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3819" w:themeColor="accent1" w:themeShade="99"/>
          <w:insideV w:val="nil"/>
        </w:tcBorders>
        <w:shd w:val="clear" w:color="auto" w:fill="63381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3819" w:themeFill="accent1" w:themeFillShade="99"/>
      </w:tcPr>
    </w:tblStylePr>
    <w:tblStylePr w:type="band1Vert">
      <w:tblPr/>
      <w:tcPr>
        <w:shd w:val="clear" w:color="auto" w:fill="E6BC9F" w:themeFill="accent1" w:themeFillTint="66"/>
      </w:tcPr>
    </w:tblStylePr>
    <w:tblStylePr w:type="band1Horz">
      <w:tblPr/>
      <w:tcPr>
        <w:shd w:val="clear" w:color="auto" w:fill="E0AC8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6C3" w:themeFill="accent1" w:themeFillTint="3F"/>
      </w:tcPr>
    </w:tblStylePr>
    <w:tblStylePr w:type="band1Horz">
      <w:tblPr/>
      <w:tcPr>
        <w:shd w:val="clear" w:color="auto" w:fill="F2DDCF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DCF" w:themeFill="accent1" w:themeFillTint="33"/>
    </w:tcPr>
    <w:tblStylePr w:type="firstRow">
      <w:rPr>
        <w:b/>
        <w:bCs/>
      </w:rPr>
      <w:tblPr/>
      <w:tcPr>
        <w:shd w:val="clear" w:color="auto" w:fill="E6BC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BC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462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4620" w:themeFill="accent1" w:themeFillShade="BF"/>
      </w:tcPr>
    </w:tblStylePr>
    <w:tblStylePr w:type="band1Vert">
      <w:tblPr/>
      <w:tcPr>
        <w:shd w:val="clear" w:color="auto" w:fill="E0AC87" w:themeFill="accent1" w:themeFillTint="7F"/>
      </w:tcPr>
    </w:tblStylePr>
    <w:tblStylePr w:type="band1Horz">
      <w:tblPr/>
      <w:tcPr>
        <w:shd w:val="clear" w:color="auto" w:fill="E0AC87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Pr>
      <w:color w:val="4B5563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A65F2B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4B5563"/>
      </a:hlink>
      <a:folHlink>
        <a:srgbClr val="4B5563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郭树骞 品牌传播专员求职简历</dc:title>
  <dc:subject>品牌传播专员校园招聘定制简历</dc:subject>
  <dc:creator>郭树骞</dc:creator>
  <cp:keywords>品牌传播, 社媒运营, 内容策划, 校园招聘, 2027届</cp:keywords>
  <dc:description>generated by python-docx</dc:description>
  <cp:lastModifiedBy>a6549</cp:lastModifiedBy>
  <cp:revision>3</cp:revision>
  <dcterms:created xsi:type="dcterms:W3CDTF">2013-12-23T23:15:00Z</dcterms:created>
  <dcterms:modified xsi:type="dcterms:W3CDTF">2026-09-16T03:19:00Z</dcterms:modified>
  <cp:category/>
</cp:coreProperties>
</file>