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961B2" w14:textId="77777777" w:rsidR="00D3579B" w:rsidRPr="00BF57BA" w:rsidRDefault="00D3579B" w:rsidP="001A24D2">
      <w:pPr>
        <w:spacing w:line="360" w:lineRule="auto"/>
        <w:jc w:val="center"/>
        <w:rPr>
          <w:rFonts w:ascii="Times New Roman" w:hAnsi="Times New Roman" w:cs="Times New Roman"/>
          <w:sz w:val="28"/>
          <w:szCs w:val="28"/>
        </w:rPr>
      </w:pPr>
    </w:p>
    <w:p w14:paraId="520AF64B" w14:textId="77777777" w:rsidR="00D3579B" w:rsidRPr="00BF57BA" w:rsidRDefault="00D3579B" w:rsidP="001A24D2">
      <w:pPr>
        <w:spacing w:line="360" w:lineRule="auto"/>
        <w:jc w:val="center"/>
        <w:rPr>
          <w:rFonts w:ascii="Times New Roman" w:hAnsi="Times New Roman" w:cs="Times New Roman"/>
          <w:sz w:val="28"/>
          <w:szCs w:val="28"/>
        </w:rPr>
      </w:pPr>
    </w:p>
    <w:p w14:paraId="124B607A" w14:textId="77777777" w:rsidR="00D3579B" w:rsidRPr="00BF57BA" w:rsidRDefault="00D3579B" w:rsidP="001A24D2">
      <w:pPr>
        <w:spacing w:line="360" w:lineRule="auto"/>
        <w:jc w:val="center"/>
        <w:rPr>
          <w:rFonts w:ascii="Times New Roman" w:hAnsi="Times New Roman" w:cs="Times New Roman"/>
          <w:sz w:val="28"/>
          <w:szCs w:val="28"/>
        </w:rPr>
      </w:pPr>
    </w:p>
    <w:p w14:paraId="34915231" w14:textId="77777777" w:rsidR="00D3579B" w:rsidRPr="00BF57BA" w:rsidRDefault="00D3579B" w:rsidP="001A24D2">
      <w:pPr>
        <w:spacing w:line="360" w:lineRule="auto"/>
        <w:jc w:val="center"/>
        <w:rPr>
          <w:rFonts w:ascii="Times New Roman" w:hAnsi="Times New Roman" w:cs="Times New Roman"/>
          <w:sz w:val="28"/>
          <w:szCs w:val="28"/>
        </w:rPr>
      </w:pPr>
    </w:p>
    <w:p w14:paraId="2DEBD9AF" w14:textId="77777777" w:rsidR="00D3579B" w:rsidRPr="00BF57BA" w:rsidRDefault="00D3579B" w:rsidP="001A24D2">
      <w:pPr>
        <w:spacing w:line="360" w:lineRule="auto"/>
        <w:jc w:val="center"/>
        <w:rPr>
          <w:rFonts w:ascii="Times New Roman" w:hAnsi="Times New Roman" w:cs="Times New Roman"/>
          <w:sz w:val="28"/>
          <w:szCs w:val="28"/>
        </w:rPr>
      </w:pPr>
    </w:p>
    <w:p w14:paraId="7A2C959F" w14:textId="460AF87E" w:rsidR="00DD340A" w:rsidRPr="00BF57BA" w:rsidRDefault="00EA389F" w:rsidP="001A24D2">
      <w:pPr>
        <w:spacing w:line="360" w:lineRule="auto"/>
        <w:jc w:val="center"/>
        <w:rPr>
          <w:rFonts w:ascii="Times New Roman" w:hAnsi="Times New Roman" w:cs="Times New Roman"/>
          <w:sz w:val="28"/>
          <w:szCs w:val="28"/>
        </w:rPr>
      </w:pPr>
      <w:r w:rsidRPr="00BF57BA">
        <w:rPr>
          <w:rFonts w:ascii="Times New Roman" w:hAnsi="Times New Roman" w:cs="Times New Roman"/>
          <w:sz w:val="28"/>
          <w:szCs w:val="28"/>
        </w:rPr>
        <w:t xml:space="preserve">Бережна </w:t>
      </w:r>
      <w:r w:rsidR="001A24D2" w:rsidRPr="00BF57BA">
        <w:rPr>
          <w:rFonts w:ascii="Times New Roman" w:hAnsi="Times New Roman" w:cs="Times New Roman"/>
          <w:sz w:val="28"/>
          <w:szCs w:val="28"/>
        </w:rPr>
        <w:t>Олександра</w:t>
      </w:r>
    </w:p>
    <w:p w14:paraId="65DD6FE2" w14:textId="4ED1DFA7" w:rsidR="001A24D2" w:rsidRPr="00BF57BA" w:rsidRDefault="001A24D2" w:rsidP="001A24D2">
      <w:pPr>
        <w:spacing w:line="360" w:lineRule="auto"/>
        <w:jc w:val="center"/>
        <w:rPr>
          <w:rFonts w:ascii="Times New Roman" w:hAnsi="Times New Roman" w:cs="Times New Roman"/>
          <w:sz w:val="28"/>
          <w:szCs w:val="28"/>
        </w:rPr>
      </w:pPr>
      <w:r w:rsidRPr="00BF57BA">
        <w:rPr>
          <w:rFonts w:ascii="Times New Roman" w:hAnsi="Times New Roman" w:cs="Times New Roman"/>
          <w:sz w:val="28"/>
          <w:szCs w:val="28"/>
        </w:rPr>
        <w:t>1-14</w:t>
      </w:r>
    </w:p>
    <w:p w14:paraId="4DEC741F" w14:textId="13E107CA" w:rsidR="00042A27" w:rsidRPr="00BF57BA" w:rsidRDefault="001A24D2" w:rsidP="001A24D2">
      <w:pPr>
        <w:spacing w:line="360" w:lineRule="auto"/>
        <w:jc w:val="center"/>
        <w:rPr>
          <w:rFonts w:ascii="Times New Roman" w:hAnsi="Times New Roman" w:cs="Times New Roman"/>
          <w:sz w:val="28"/>
          <w:szCs w:val="28"/>
        </w:rPr>
      </w:pPr>
      <w:r w:rsidRPr="00BF57BA">
        <w:rPr>
          <w:rFonts w:ascii="Times New Roman" w:hAnsi="Times New Roman" w:cs="Times New Roman"/>
          <w:sz w:val="28"/>
          <w:szCs w:val="28"/>
        </w:rPr>
        <w:t>Бельгія</w:t>
      </w:r>
    </w:p>
    <w:p w14:paraId="2C306690" w14:textId="77777777" w:rsidR="00D80B94" w:rsidRPr="00BF57BA" w:rsidRDefault="00D80B94" w:rsidP="00D80B94">
      <w:pPr>
        <w:rPr>
          <w:rFonts w:ascii="Times New Roman" w:hAnsi="Times New Roman" w:cs="Times New Roman"/>
          <w:sz w:val="28"/>
          <w:szCs w:val="28"/>
        </w:rPr>
      </w:pPr>
    </w:p>
    <w:p w14:paraId="186DAA68" w14:textId="77777777" w:rsidR="00D80B94" w:rsidRPr="00BF57BA" w:rsidRDefault="00D80B94" w:rsidP="00D80B94">
      <w:pPr>
        <w:rPr>
          <w:rFonts w:ascii="Times New Roman" w:hAnsi="Times New Roman" w:cs="Times New Roman"/>
          <w:sz w:val="28"/>
          <w:szCs w:val="28"/>
        </w:rPr>
      </w:pPr>
    </w:p>
    <w:p w14:paraId="22345020" w14:textId="77777777" w:rsidR="00D80B94" w:rsidRPr="00BF57BA" w:rsidRDefault="00D80B94" w:rsidP="00D80B94">
      <w:pPr>
        <w:rPr>
          <w:rFonts w:ascii="Times New Roman" w:hAnsi="Times New Roman" w:cs="Times New Roman"/>
          <w:sz w:val="28"/>
          <w:szCs w:val="28"/>
        </w:rPr>
      </w:pPr>
    </w:p>
    <w:p w14:paraId="34B8FAFD" w14:textId="77777777" w:rsidR="00D80B94" w:rsidRPr="00BF57BA" w:rsidRDefault="00D80B94" w:rsidP="00D80B94">
      <w:pPr>
        <w:rPr>
          <w:rFonts w:ascii="Times New Roman" w:hAnsi="Times New Roman" w:cs="Times New Roman"/>
          <w:sz w:val="28"/>
          <w:szCs w:val="28"/>
        </w:rPr>
      </w:pPr>
    </w:p>
    <w:p w14:paraId="7E04FED4" w14:textId="77777777" w:rsidR="00D80B94" w:rsidRPr="00BF57BA" w:rsidRDefault="00D80B94" w:rsidP="00D80B94">
      <w:pPr>
        <w:rPr>
          <w:rFonts w:ascii="Times New Roman" w:hAnsi="Times New Roman" w:cs="Times New Roman"/>
          <w:sz w:val="28"/>
          <w:szCs w:val="28"/>
        </w:rPr>
      </w:pPr>
    </w:p>
    <w:p w14:paraId="426A1C21" w14:textId="77777777" w:rsidR="00D80B94" w:rsidRPr="00BF57BA" w:rsidRDefault="00D80B94" w:rsidP="00D80B94">
      <w:pPr>
        <w:rPr>
          <w:rFonts w:ascii="Times New Roman" w:hAnsi="Times New Roman" w:cs="Times New Roman"/>
          <w:sz w:val="28"/>
          <w:szCs w:val="28"/>
        </w:rPr>
      </w:pPr>
    </w:p>
    <w:p w14:paraId="7428F88A" w14:textId="77777777" w:rsidR="00D80B94" w:rsidRPr="00BF57BA" w:rsidRDefault="00D80B94" w:rsidP="00D80B94">
      <w:pPr>
        <w:rPr>
          <w:rFonts w:ascii="Times New Roman" w:hAnsi="Times New Roman" w:cs="Times New Roman"/>
          <w:sz w:val="28"/>
          <w:szCs w:val="28"/>
        </w:rPr>
      </w:pPr>
    </w:p>
    <w:p w14:paraId="6F9AF7F0" w14:textId="77777777" w:rsidR="00D80B94" w:rsidRPr="00BF57BA" w:rsidRDefault="00D80B94" w:rsidP="00D80B94">
      <w:pPr>
        <w:rPr>
          <w:rFonts w:ascii="Times New Roman" w:hAnsi="Times New Roman" w:cs="Times New Roman"/>
          <w:sz w:val="28"/>
          <w:szCs w:val="28"/>
        </w:rPr>
      </w:pPr>
    </w:p>
    <w:p w14:paraId="2E853E11" w14:textId="77777777" w:rsidR="00590BB6" w:rsidRPr="00BF57BA" w:rsidRDefault="00794CF5" w:rsidP="00590BB6">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br/>
      </w:r>
    </w:p>
    <w:p w14:paraId="45306E12" w14:textId="77777777" w:rsidR="00F17D61" w:rsidRDefault="00F17D61" w:rsidP="00880D1F">
      <w:pPr>
        <w:ind w:firstLine="708"/>
        <w:jc w:val="center"/>
        <w:rPr>
          <w:rFonts w:ascii="Times New Roman" w:eastAsia="Times New Roman" w:hAnsi="Times New Roman" w:cs="Times New Roman"/>
          <w:sz w:val="28"/>
          <w:szCs w:val="28"/>
          <w:lang w:val="en-US"/>
        </w:rPr>
      </w:pPr>
    </w:p>
    <w:p w14:paraId="64CE3485" w14:textId="77777777" w:rsidR="00F17D61" w:rsidRDefault="00F17D61" w:rsidP="00880D1F">
      <w:pPr>
        <w:ind w:firstLine="708"/>
        <w:jc w:val="center"/>
        <w:rPr>
          <w:rFonts w:ascii="Times New Roman" w:eastAsia="Times New Roman" w:hAnsi="Times New Roman" w:cs="Times New Roman"/>
          <w:sz w:val="28"/>
          <w:szCs w:val="28"/>
          <w:lang w:val="en-US"/>
        </w:rPr>
      </w:pPr>
    </w:p>
    <w:p w14:paraId="05CD5FFA" w14:textId="77777777" w:rsidR="00F17D61" w:rsidRDefault="00F17D61" w:rsidP="00880D1F">
      <w:pPr>
        <w:ind w:firstLine="708"/>
        <w:jc w:val="center"/>
        <w:rPr>
          <w:rFonts w:ascii="Times New Roman" w:eastAsia="Times New Roman" w:hAnsi="Times New Roman" w:cs="Times New Roman"/>
          <w:sz w:val="28"/>
          <w:szCs w:val="28"/>
          <w:lang w:val="en-US"/>
        </w:rPr>
      </w:pPr>
    </w:p>
    <w:p w14:paraId="7E5FFDB9" w14:textId="77777777" w:rsidR="00F17D61" w:rsidRDefault="00F17D61" w:rsidP="00880D1F">
      <w:pPr>
        <w:ind w:firstLine="708"/>
        <w:jc w:val="center"/>
        <w:rPr>
          <w:rFonts w:ascii="Times New Roman" w:eastAsia="Times New Roman" w:hAnsi="Times New Roman" w:cs="Times New Roman"/>
          <w:sz w:val="28"/>
          <w:szCs w:val="28"/>
          <w:lang w:val="en-US"/>
        </w:rPr>
      </w:pPr>
    </w:p>
    <w:p w14:paraId="5FE3181D" w14:textId="77777777" w:rsidR="00F17D61" w:rsidRDefault="00F17D61" w:rsidP="00880D1F">
      <w:pPr>
        <w:ind w:firstLine="708"/>
        <w:jc w:val="center"/>
        <w:rPr>
          <w:rFonts w:ascii="Times New Roman" w:eastAsia="Times New Roman" w:hAnsi="Times New Roman" w:cs="Times New Roman"/>
          <w:sz w:val="28"/>
          <w:szCs w:val="28"/>
          <w:lang w:val="en-US"/>
        </w:rPr>
      </w:pPr>
    </w:p>
    <w:p w14:paraId="582B1247" w14:textId="77777777" w:rsidR="00F17D61" w:rsidRDefault="00F17D61" w:rsidP="00880D1F">
      <w:pPr>
        <w:ind w:firstLine="708"/>
        <w:jc w:val="center"/>
        <w:rPr>
          <w:rFonts w:ascii="Times New Roman" w:eastAsia="Times New Roman" w:hAnsi="Times New Roman" w:cs="Times New Roman"/>
          <w:sz w:val="28"/>
          <w:szCs w:val="28"/>
          <w:lang w:val="en-US"/>
        </w:rPr>
      </w:pPr>
    </w:p>
    <w:p w14:paraId="65E3262A" w14:textId="77777777" w:rsidR="00F17D61" w:rsidRDefault="00F17D61" w:rsidP="00880D1F">
      <w:pPr>
        <w:ind w:firstLine="708"/>
        <w:jc w:val="center"/>
        <w:rPr>
          <w:rFonts w:ascii="Times New Roman" w:eastAsia="Times New Roman" w:hAnsi="Times New Roman" w:cs="Times New Roman"/>
          <w:sz w:val="28"/>
          <w:szCs w:val="28"/>
          <w:lang w:val="en-US"/>
        </w:rPr>
      </w:pPr>
    </w:p>
    <w:p w14:paraId="58620FCA" w14:textId="77777777" w:rsidR="00F17D61" w:rsidRDefault="00F17D61" w:rsidP="00880D1F">
      <w:pPr>
        <w:ind w:firstLine="708"/>
        <w:jc w:val="center"/>
        <w:rPr>
          <w:rFonts w:ascii="Times New Roman" w:eastAsia="Times New Roman" w:hAnsi="Times New Roman" w:cs="Times New Roman"/>
          <w:sz w:val="28"/>
          <w:szCs w:val="28"/>
          <w:lang w:val="en-US"/>
        </w:rPr>
      </w:pPr>
    </w:p>
    <w:p w14:paraId="5FFC51BE" w14:textId="77777777" w:rsidR="00F17D61" w:rsidRDefault="00F17D61" w:rsidP="00880D1F">
      <w:pPr>
        <w:ind w:firstLine="708"/>
        <w:jc w:val="center"/>
        <w:rPr>
          <w:rFonts w:ascii="Times New Roman" w:eastAsia="Times New Roman" w:hAnsi="Times New Roman" w:cs="Times New Roman"/>
          <w:sz w:val="28"/>
          <w:szCs w:val="28"/>
          <w:lang w:val="en-US"/>
        </w:rPr>
      </w:pPr>
    </w:p>
    <w:p w14:paraId="4332B00D" w14:textId="4504B0B8" w:rsidR="00671315" w:rsidRPr="00BF57BA" w:rsidRDefault="00880D1F" w:rsidP="00880D1F">
      <w:pPr>
        <w:ind w:firstLine="708"/>
        <w:jc w:val="center"/>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lastRenderedPageBreak/>
        <w:t>Інвестиційно-інноваційна безпека</w:t>
      </w:r>
    </w:p>
    <w:p w14:paraId="184A96CB" w14:textId="5912D999" w:rsidR="00590BB6" w:rsidRPr="00BF57BA" w:rsidRDefault="00794CF5" w:rsidP="00590BB6">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 xml:space="preserve">1. </w:t>
      </w:r>
      <w:r w:rsidRPr="00BF57BA">
        <w:rPr>
          <w:rFonts w:ascii="Times New Roman" w:eastAsia="Times New Roman" w:hAnsi="Times New Roman" w:cs="Times New Roman"/>
          <w:b/>
          <w:bCs/>
          <w:sz w:val="28"/>
          <w:szCs w:val="28"/>
        </w:rPr>
        <w:t>Приріст прямих іноземних інвестицій (ПІІ)</w:t>
      </w:r>
      <w:r w:rsidRPr="00BF57BA">
        <w:rPr>
          <w:rFonts w:ascii="Times New Roman" w:eastAsia="Times New Roman" w:hAnsi="Times New Roman" w:cs="Times New Roman"/>
          <w:sz w:val="28"/>
          <w:szCs w:val="28"/>
        </w:rPr>
        <w:br/>
        <w:t>Приріст прямих іноземних інвестицій в Бельгії має негативну динаміку в більшості років, з періодичними коливаннями, що відображає нестабільність у притоку інвестицій. У 2016 році спостерігається значне зростання (+12,09%), однак в наступні роки інвестиції знову починають знижуватися. Середнє значення приросту ПІІ за весь період становить -1,91%, що свідчить про тенденцію до спаду.</w:t>
      </w:r>
    </w:p>
    <w:p w14:paraId="103B914C" w14:textId="795692AB" w:rsidR="00590BB6" w:rsidRPr="00BF57BA" w:rsidRDefault="00794CF5" w:rsidP="00BC5E33">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 xml:space="preserve"> 2. </w:t>
      </w:r>
      <w:proofErr w:type="spellStart"/>
      <w:r w:rsidRPr="00BF57BA">
        <w:rPr>
          <w:rFonts w:ascii="Times New Roman" w:eastAsia="Times New Roman" w:hAnsi="Times New Roman" w:cs="Times New Roman"/>
          <w:b/>
          <w:bCs/>
          <w:sz w:val="28"/>
          <w:szCs w:val="28"/>
        </w:rPr>
        <w:t>Наково</w:t>
      </w:r>
      <w:proofErr w:type="spellEnd"/>
      <w:r w:rsidRPr="00BF57BA">
        <w:rPr>
          <w:rFonts w:ascii="Times New Roman" w:eastAsia="Times New Roman" w:hAnsi="Times New Roman" w:cs="Times New Roman"/>
          <w:b/>
          <w:bCs/>
          <w:sz w:val="28"/>
          <w:szCs w:val="28"/>
        </w:rPr>
        <w:t>-дослідні та дослідно-конструкторські розробки (НДДКР)</w:t>
      </w:r>
      <w:r w:rsidRPr="00BF57BA">
        <w:rPr>
          <w:rFonts w:ascii="Times New Roman" w:eastAsia="Times New Roman" w:hAnsi="Times New Roman" w:cs="Times New Roman"/>
          <w:sz w:val="28"/>
          <w:szCs w:val="28"/>
        </w:rPr>
        <w:br/>
        <w:t>Показник витрат на науково-дослідні та дослідно-конструкторські розробки демонструє стабільне зростання з 2013 року. Середнє значення за період становить 2,80%, що є позитивним результатом, оскільки це значення перевищує поріг у 2% (задовільний рівень). Це свідчить про активну підтримку інновацій та розвитку технологій в країні.</w:t>
      </w:r>
    </w:p>
    <w:p w14:paraId="180BB30F" w14:textId="2FF89255" w:rsidR="001A24D2" w:rsidRDefault="00794CF5" w:rsidP="00BC5E33">
      <w:pPr>
        <w:ind w:firstLine="708"/>
        <w:jc w:val="both"/>
        <w:rPr>
          <w:rFonts w:ascii="Times New Roman" w:eastAsia="Times New Roman" w:hAnsi="Times New Roman" w:cs="Times New Roman"/>
          <w:sz w:val="28"/>
          <w:szCs w:val="28"/>
          <w:lang w:val="en-US"/>
        </w:rPr>
      </w:pPr>
      <w:r w:rsidRPr="00BF57BA">
        <w:rPr>
          <w:rFonts w:ascii="Times New Roman" w:eastAsia="Times New Roman" w:hAnsi="Times New Roman" w:cs="Times New Roman"/>
          <w:sz w:val="28"/>
          <w:szCs w:val="28"/>
        </w:rPr>
        <w:t xml:space="preserve"> 3.</w:t>
      </w:r>
      <w:r w:rsidRPr="00BF57BA">
        <w:rPr>
          <w:rFonts w:ascii="Times New Roman" w:eastAsia="Times New Roman" w:hAnsi="Times New Roman" w:cs="Times New Roman"/>
          <w:b/>
          <w:bCs/>
          <w:sz w:val="28"/>
          <w:szCs w:val="28"/>
        </w:rPr>
        <w:t>Інтернет-доступність</w:t>
      </w:r>
      <w:r w:rsidRPr="00BF57BA">
        <w:rPr>
          <w:rFonts w:ascii="Times New Roman" w:eastAsia="Times New Roman" w:hAnsi="Times New Roman" w:cs="Times New Roman"/>
          <w:sz w:val="28"/>
          <w:szCs w:val="28"/>
        </w:rPr>
        <w:br/>
        <w:t xml:space="preserve">Показник осіб, які користуються інтернетом, має стабільний позитивний тренд, що підвищується від 82,17% у 2013 році до 94,63% у 2023 році. Це відображає високий рівень </w:t>
      </w:r>
      <w:proofErr w:type="spellStart"/>
      <w:r w:rsidRPr="00BF57BA">
        <w:rPr>
          <w:rFonts w:ascii="Times New Roman" w:eastAsia="Times New Roman" w:hAnsi="Times New Roman" w:cs="Times New Roman"/>
          <w:sz w:val="28"/>
          <w:szCs w:val="28"/>
        </w:rPr>
        <w:t>цифровізації</w:t>
      </w:r>
      <w:proofErr w:type="spellEnd"/>
      <w:r w:rsidRPr="00BF57BA">
        <w:rPr>
          <w:rFonts w:ascii="Times New Roman" w:eastAsia="Times New Roman" w:hAnsi="Times New Roman" w:cs="Times New Roman"/>
          <w:sz w:val="28"/>
          <w:szCs w:val="28"/>
        </w:rPr>
        <w:t xml:space="preserve"> та технологічного розвитку, що сприяє як економічному зростанню, так і покращенню соціальних умов.</w:t>
      </w:r>
      <w:r w:rsidRPr="00BF57BA">
        <w:rPr>
          <w:rFonts w:ascii="Times New Roman" w:eastAsia="Times New Roman" w:hAnsi="Times New Roman" w:cs="Times New Roman"/>
          <w:sz w:val="28"/>
          <w:szCs w:val="28"/>
        </w:rPr>
        <w:br/>
      </w:r>
    </w:p>
    <w:p w14:paraId="7ADBA6D9" w14:textId="6E12A5F6" w:rsidR="00974267" w:rsidRPr="00974267" w:rsidRDefault="00083A85" w:rsidP="00083A85">
      <w:pPr>
        <w:ind w:firstLine="708"/>
        <w:jc w:val="center"/>
        <w:rPr>
          <w:rFonts w:ascii="Times New Roman" w:eastAsia="Times New Roman" w:hAnsi="Times New Roman" w:cs="Times New Roman"/>
          <w:sz w:val="28"/>
          <w:szCs w:val="28"/>
          <w:lang w:val="en-US"/>
        </w:rPr>
      </w:pPr>
      <w:r w:rsidRPr="00BF57BA">
        <w:rPr>
          <w:rFonts w:ascii="Times New Roman" w:hAnsi="Times New Roman" w:cs="Times New Roman"/>
          <w:noProof/>
          <w:sz w:val="28"/>
          <w:szCs w:val="28"/>
        </w:rPr>
        <w:drawing>
          <wp:anchor distT="0" distB="0" distL="114300" distR="114300" simplePos="0" relativeHeight="251659264" behindDoc="0" locked="0" layoutInCell="1" allowOverlap="1" wp14:anchorId="72024E1D" wp14:editId="2BA589B1">
            <wp:simplePos x="0" y="0"/>
            <wp:positionH relativeFrom="column">
              <wp:posOffset>1017905</wp:posOffset>
            </wp:positionH>
            <wp:positionV relativeFrom="paragraph">
              <wp:posOffset>122555</wp:posOffset>
            </wp:positionV>
            <wp:extent cx="4572000" cy="2741930"/>
            <wp:effectExtent l="0" t="0" r="19050" b="20320"/>
            <wp:wrapTopAndBottom/>
            <wp:docPr id="709253251" name="Діаграма 1">
              <a:extLst xmlns:a="http://schemas.openxmlformats.org/drawingml/2006/main">
                <a:ext uri="{FF2B5EF4-FFF2-40B4-BE49-F238E27FC236}">
                  <a16:creationId xmlns:a16="http://schemas.microsoft.com/office/drawing/2014/main" id="{81912A9E-9FD5-B967-32C8-7664C9A556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974267">
        <w:rPr>
          <w:rFonts w:ascii="Times New Roman" w:eastAsia="Times New Roman" w:hAnsi="Times New Roman" w:cs="Times New Roman"/>
          <w:sz w:val="28"/>
          <w:szCs w:val="28"/>
          <w:lang w:val="en-US"/>
        </w:rPr>
        <w:t>Рис.1</w:t>
      </w:r>
      <w:r w:rsidR="000442B7">
        <w:rPr>
          <w:rFonts w:ascii="Times New Roman" w:eastAsia="Times New Roman" w:hAnsi="Times New Roman" w:cs="Times New Roman"/>
          <w:sz w:val="28"/>
          <w:szCs w:val="28"/>
          <w:lang w:val="en-US"/>
        </w:rPr>
        <w:t xml:space="preserve"> Приріст прямих </w:t>
      </w:r>
      <w:proofErr w:type="spellStart"/>
      <w:r w:rsidR="000442B7">
        <w:rPr>
          <w:rFonts w:ascii="Times New Roman" w:eastAsia="Times New Roman" w:hAnsi="Times New Roman" w:cs="Times New Roman"/>
          <w:sz w:val="28"/>
          <w:szCs w:val="28"/>
          <w:lang w:val="en-US"/>
        </w:rPr>
        <w:t>іноземних</w:t>
      </w:r>
      <w:proofErr w:type="spellEnd"/>
      <w:r w:rsidR="000442B7">
        <w:rPr>
          <w:rFonts w:ascii="Times New Roman" w:eastAsia="Times New Roman" w:hAnsi="Times New Roman" w:cs="Times New Roman"/>
          <w:sz w:val="28"/>
          <w:szCs w:val="28"/>
          <w:lang w:val="en-US"/>
        </w:rPr>
        <w:t xml:space="preserve"> інвестицій</w:t>
      </w:r>
    </w:p>
    <w:p w14:paraId="32B79BD6" w14:textId="595B5F09" w:rsidR="00880D1F" w:rsidRDefault="009909A1" w:rsidP="00B867AF">
      <w:pPr>
        <w:jc w:val="center"/>
        <w:rPr>
          <w:rFonts w:ascii="Times New Roman" w:hAnsi="Times New Roman" w:cs="Times New Roman"/>
          <w:noProof/>
          <w:sz w:val="28"/>
          <w:szCs w:val="28"/>
          <w:lang w:val="en-US"/>
        </w:rPr>
      </w:pPr>
      <w:r w:rsidRPr="00BF57BA">
        <w:rPr>
          <w:rFonts w:ascii="Times New Roman" w:hAnsi="Times New Roman" w:cs="Times New Roman"/>
          <w:noProof/>
          <w:sz w:val="28"/>
          <w:szCs w:val="28"/>
        </w:rPr>
        <w:t>Фінансова безпека</w:t>
      </w:r>
    </w:p>
    <w:p w14:paraId="2584F0AF" w14:textId="2FF7BCF9" w:rsidR="00565FAD" w:rsidRPr="00565FAD" w:rsidRDefault="001825CF" w:rsidP="00B867AF">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Джерело: розроблене</w:t>
      </w:r>
      <w:r w:rsidR="005E7E46">
        <w:rPr>
          <w:rFonts w:ascii="Times New Roman" w:hAnsi="Times New Roman" w:cs="Times New Roman"/>
          <w:noProof/>
          <w:sz w:val="28"/>
          <w:szCs w:val="28"/>
          <w:lang w:val="en-US"/>
        </w:rPr>
        <w:t xml:space="preserve"> автором</w:t>
      </w:r>
      <w:r>
        <w:rPr>
          <w:rFonts w:ascii="Times New Roman" w:hAnsi="Times New Roman" w:cs="Times New Roman"/>
          <w:noProof/>
          <w:sz w:val="28"/>
          <w:szCs w:val="28"/>
          <w:lang w:val="en-US"/>
        </w:rPr>
        <w:t xml:space="preserve"> на основі </w:t>
      </w:r>
      <w:r w:rsidR="005E7E46">
        <w:rPr>
          <w:rFonts w:ascii="Times New Roman" w:hAnsi="Times New Roman" w:cs="Times New Roman"/>
          <w:noProof/>
          <w:sz w:val="28"/>
          <w:szCs w:val="28"/>
          <w:lang w:val="en-US"/>
        </w:rPr>
        <w:t>(1)</w:t>
      </w:r>
    </w:p>
    <w:p w14:paraId="716FFDA8" w14:textId="5FCACF5C" w:rsidR="0023766C" w:rsidRPr="00BF57BA" w:rsidRDefault="007968A4" w:rsidP="00413A06">
      <w:pPr>
        <w:ind w:firstLine="708"/>
        <w:jc w:val="both"/>
        <w:rPr>
          <w:rFonts w:ascii="Times New Roman" w:hAnsi="Times New Roman" w:cs="Times New Roman"/>
          <w:sz w:val="28"/>
          <w:szCs w:val="28"/>
        </w:rPr>
      </w:pPr>
      <w:r w:rsidRPr="00BF57BA">
        <w:rPr>
          <w:rFonts w:ascii="Times New Roman" w:eastAsia="Times New Roman" w:hAnsi="Times New Roman" w:cs="Times New Roman"/>
          <w:b/>
          <w:bCs/>
          <w:sz w:val="28"/>
          <w:szCs w:val="28"/>
        </w:rPr>
        <w:lastRenderedPageBreak/>
        <w:t xml:space="preserve"> Аналіз динаміки державного боргу</w:t>
      </w:r>
      <w:r w:rsidRPr="00BF57BA">
        <w:rPr>
          <w:rFonts w:ascii="Times New Roman" w:eastAsia="Times New Roman" w:hAnsi="Times New Roman" w:cs="Times New Roman"/>
          <w:sz w:val="28"/>
          <w:szCs w:val="28"/>
        </w:rPr>
        <w:br/>
        <w:t>Згідно з наданими даними, динаміка державного боргу Бельгії в період з 2013 по 2022 рік мала варіативний характер:</w:t>
      </w:r>
      <w:r w:rsidRPr="00BF57BA">
        <w:rPr>
          <w:rFonts w:ascii="Times New Roman" w:eastAsia="Times New Roman" w:hAnsi="Times New Roman" w:cs="Times New Roman"/>
          <w:sz w:val="28"/>
          <w:szCs w:val="28"/>
        </w:rPr>
        <w:br/>
      </w:r>
      <w:r w:rsidRPr="00BF57BA">
        <w:rPr>
          <w:rFonts w:ascii="Times New Roman" w:eastAsia="Times New Roman" w:hAnsi="Times New Roman" w:cs="Times New Roman"/>
          <w:sz w:val="28"/>
          <w:szCs w:val="28"/>
        </w:rPr>
        <w:br/>
        <w:t>- У 2013 році державний борг Бельгії становив 101,56% від ВВП.</w:t>
      </w:r>
      <w:r w:rsidRPr="00BF57BA">
        <w:rPr>
          <w:rFonts w:ascii="Times New Roman" w:eastAsia="Times New Roman" w:hAnsi="Times New Roman" w:cs="Times New Roman"/>
          <w:sz w:val="28"/>
          <w:szCs w:val="28"/>
        </w:rPr>
        <w:br/>
        <w:t>- Протягом наступних років відзначався загальний тренд зростання боргу: у 2014 році він зріс до 112,30%, у 2015 році — до 108,58%, у 2016 — до 110,18%.</w:t>
      </w:r>
      <w:r w:rsidRPr="00BF57BA">
        <w:rPr>
          <w:rFonts w:ascii="Times New Roman" w:eastAsia="Times New Roman" w:hAnsi="Times New Roman" w:cs="Times New Roman"/>
          <w:sz w:val="28"/>
          <w:szCs w:val="28"/>
        </w:rPr>
        <w:br/>
        <w:t>- У 2017 та 2018 роках відбулося зниження боргу до 103,86% та 101,38% відповідно.</w:t>
      </w:r>
      <w:r w:rsidRPr="00BF57BA">
        <w:rPr>
          <w:rFonts w:ascii="Times New Roman" w:eastAsia="Times New Roman" w:hAnsi="Times New Roman" w:cs="Times New Roman"/>
          <w:sz w:val="28"/>
          <w:szCs w:val="28"/>
        </w:rPr>
        <w:br/>
        <w:t>- Однак, у 2019 році борг знову зріс до 103,37%, а в 2020 році досяг рекордного рівня — 119,27%, що було пов'язано з економічними наслідками пандемії COVID-19.</w:t>
      </w:r>
      <w:r w:rsidRPr="00BF57BA">
        <w:rPr>
          <w:rFonts w:ascii="Times New Roman" w:eastAsia="Times New Roman" w:hAnsi="Times New Roman" w:cs="Times New Roman"/>
          <w:sz w:val="28"/>
          <w:szCs w:val="28"/>
        </w:rPr>
        <w:br/>
        <w:t>- У 2021 році борг зменшився до 108,01%, а в 2022 році — до 94,04%.</w:t>
      </w:r>
    </w:p>
    <w:p w14:paraId="405A3D3D" w14:textId="7B68E28F" w:rsidR="00857F46" w:rsidRDefault="005E7E46" w:rsidP="00857F46">
      <w:pPr>
        <w:ind w:firstLine="708"/>
        <w:jc w:val="both"/>
        <w:rPr>
          <w:rFonts w:ascii="Times New Roman" w:eastAsia="Times New Roman" w:hAnsi="Times New Roman" w:cs="Times New Roman"/>
          <w:sz w:val="28"/>
          <w:szCs w:val="28"/>
          <w:lang w:val="en-US"/>
        </w:rPr>
      </w:pPr>
      <w:r w:rsidRPr="00BF57BA">
        <w:rPr>
          <w:rFonts w:ascii="Times New Roman" w:hAnsi="Times New Roman" w:cs="Times New Roman"/>
          <w:noProof/>
          <w:sz w:val="28"/>
          <w:szCs w:val="28"/>
        </w:rPr>
        <w:drawing>
          <wp:anchor distT="0" distB="0" distL="114300" distR="114300" simplePos="0" relativeHeight="251685888" behindDoc="0" locked="0" layoutInCell="1" allowOverlap="1" wp14:anchorId="611A06E3" wp14:editId="04475B7D">
            <wp:simplePos x="0" y="0"/>
            <wp:positionH relativeFrom="column">
              <wp:posOffset>1430020</wp:posOffset>
            </wp:positionH>
            <wp:positionV relativeFrom="paragraph">
              <wp:posOffset>3024505</wp:posOffset>
            </wp:positionV>
            <wp:extent cx="3910965" cy="2166620"/>
            <wp:effectExtent l="0" t="0" r="13335" b="24130"/>
            <wp:wrapTopAndBottom/>
            <wp:docPr id="1829384864" name="Діаграма 1">
              <a:extLst xmlns:a="http://schemas.openxmlformats.org/drawingml/2006/main">
                <a:ext uri="{FF2B5EF4-FFF2-40B4-BE49-F238E27FC236}">
                  <a16:creationId xmlns:a16="http://schemas.microsoft.com/office/drawing/2014/main" id="{41584492-0397-F022-B3CE-7229E6DB0F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7968A4" w:rsidRPr="00BF57BA">
        <w:rPr>
          <w:rFonts w:ascii="Times New Roman" w:eastAsia="Times New Roman" w:hAnsi="Times New Roman" w:cs="Times New Roman"/>
          <w:b/>
          <w:bCs/>
          <w:sz w:val="28"/>
          <w:szCs w:val="28"/>
        </w:rPr>
        <w:t>Оцінка ситуації з державним боргом</w:t>
      </w:r>
      <w:r w:rsidR="007968A4" w:rsidRPr="00BF57BA">
        <w:rPr>
          <w:rFonts w:ascii="Times New Roman" w:eastAsia="Times New Roman" w:hAnsi="Times New Roman" w:cs="Times New Roman"/>
          <w:sz w:val="28"/>
          <w:szCs w:val="28"/>
        </w:rPr>
        <w:br/>
      </w:r>
      <w:r w:rsidR="007968A4" w:rsidRPr="00BF57BA">
        <w:rPr>
          <w:rFonts w:ascii="Times New Roman" w:eastAsia="Times New Roman" w:hAnsi="Times New Roman" w:cs="Times New Roman"/>
          <w:sz w:val="28"/>
          <w:szCs w:val="28"/>
        </w:rPr>
        <w:br/>
        <w:t xml:space="preserve">- </w:t>
      </w:r>
      <w:r w:rsidR="007968A4" w:rsidRPr="00BF57BA">
        <w:rPr>
          <w:rFonts w:ascii="Times New Roman" w:eastAsia="Times New Roman" w:hAnsi="Times New Roman" w:cs="Times New Roman"/>
          <w:b/>
          <w:bCs/>
          <w:sz w:val="28"/>
          <w:szCs w:val="28"/>
        </w:rPr>
        <w:t>Критичність рівня боргу</w:t>
      </w:r>
      <w:r w:rsidR="007968A4" w:rsidRPr="00BF57BA">
        <w:rPr>
          <w:rFonts w:ascii="Times New Roman" w:eastAsia="Times New Roman" w:hAnsi="Times New Roman" w:cs="Times New Roman"/>
          <w:sz w:val="28"/>
          <w:szCs w:val="28"/>
        </w:rPr>
        <w:t>: Середнє значення державного боргу Бельгії за 10 років становить 106,26%. Це показник, що значно перевищує рівень 60%, який часто вважається критичним згідно з вимогами Європейського Союзу. Таким чином, борг країни є високим, що може впливати на фінансову стабільність і економічну безпеку.</w:t>
      </w:r>
      <w:r w:rsidR="007968A4" w:rsidRPr="00BF57BA">
        <w:rPr>
          <w:rFonts w:ascii="Times New Roman" w:eastAsia="Times New Roman" w:hAnsi="Times New Roman" w:cs="Times New Roman"/>
          <w:sz w:val="28"/>
          <w:szCs w:val="28"/>
        </w:rPr>
        <w:br/>
        <w:t xml:space="preserve">- </w:t>
      </w:r>
      <w:r w:rsidR="007968A4" w:rsidRPr="00BF57BA">
        <w:rPr>
          <w:rFonts w:ascii="Times New Roman" w:eastAsia="Times New Roman" w:hAnsi="Times New Roman" w:cs="Times New Roman"/>
          <w:b/>
          <w:bCs/>
          <w:sz w:val="28"/>
          <w:szCs w:val="28"/>
        </w:rPr>
        <w:t>Тренд боргу</w:t>
      </w:r>
      <w:r w:rsidR="007968A4" w:rsidRPr="00BF57BA">
        <w:rPr>
          <w:rFonts w:ascii="Times New Roman" w:eastAsia="Times New Roman" w:hAnsi="Times New Roman" w:cs="Times New Roman"/>
          <w:sz w:val="28"/>
          <w:szCs w:val="28"/>
        </w:rPr>
        <w:t>: За даними, важко визначити чіткий напрямок тренду, оскільки спостерігається періодичне збільшення і зменшення боргу. Така динаміка може свідчити про наявність «бічного тренду» або непередбачуваних коливань у фінансовій ситуації, зокрема через зовнішні економічні фактори, такі як фінансова криза 2008 року та пандемія COVID-19, що негативно вплинули на бюджет</w:t>
      </w:r>
    </w:p>
    <w:p w14:paraId="610A6D61" w14:textId="4A33981F" w:rsidR="007A6B5C" w:rsidRPr="007A6B5C" w:rsidRDefault="007A6B5C" w:rsidP="005E7E46">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Рис.2 Державний </w:t>
      </w:r>
      <w:proofErr w:type="spellStart"/>
      <w:r>
        <w:rPr>
          <w:rFonts w:ascii="Times New Roman" w:eastAsia="Times New Roman" w:hAnsi="Times New Roman" w:cs="Times New Roman"/>
          <w:sz w:val="28"/>
          <w:szCs w:val="28"/>
          <w:lang w:val="en-US"/>
        </w:rPr>
        <w:t>борг</w:t>
      </w:r>
      <w:proofErr w:type="spellEnd"/>
      <w:r>
        <w:rPr>
          <w:rFonts w:ascii="Times New Roman" w:eastAsia="Times New Roman" w:hAnsi="Times New Roman" w:cs="Times New Roman"/>
          <w:sz w:val="28"/>
          <w:szCs w:val="28"/>
          <w:lang w:val="en-US"/>
        </w:rPr>
        <w:t>, % до ВВП</w:t>
      </w:r>
    </w:p>
    <w:p w14:paraId="4F182F00" w14:textId="0A1E313F" w:rsidR="00762B9B" w:rsidRPr="00BF57BA" w:rsidRDefault="005E7E46" w:rsidP="005E7E46">
      <w:pPr>
        <w:ind w:firstLine="708"/>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en-US"/>
        </w:rPr>
        <w:t>Джерело</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розроблене</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автором</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на</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основі</w:t>
      </w:r>
      <w:proofErr w:type="spellEnd"/>
      <w:r>
        <w:rPr>
          <w:rFonts w:ascii="Times New Roman" w:eastAsia="Times New Roman" w:hAnsi="Times New Roman" w:cs="Times New Roman"/>
          <w:sz w:val="28"/>
          <w:szCs w:val="28"/>
          <w:lang w:val="en-US"/>
        </w:rPr>
        <w:t xml:space="preserve"> (1)</w:t>
      </w:r>
    </w:p>
    <w:p w14:paraId="4BD52F91" w14:textId="4F9C2D8C" w:rsidR="00697F78" w:rsidRPr="00BF57BA" w:rsidRDefault="00697F78" w:rsidP="00857F46">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lastRenderedPageBreak/>
        <w:t>Аналіз показників</w:t>
      </w:r>
      <w:r w:rsidR="00D97039" w:rsidRPr="00BF57BA">
        <w:rPr>
          <w:rFonts w:ascii="Times New Roman" w:eastAsia="Times New Roman" w:hAnsi="Times New Roman" w:cs="Times New Roman"/>
          <w:sz w:val="28"/>
          <w:szCs w:val="28"/>
        </w:rPr>
        <w:t xml:space="preserve"> співвідношення доходів між найба</w:t>
      </w:r>
      <w:r w:rsidR="00DE3803" w:rsidRPr="00BF57BA">
        <w:rPr>
          <w:rFonts w:ascii="Times New Roman" w:eastAsia="Times New Roman" w:hAnsi="Times New Roman" w:cs="Times New Roman"/>
          <w:sz w:val="28"/>
          <w:szCs w:val="28"/>
        </w:rPr>
        <w:t>гат</w:t>
      </w:r>
      <w:r w:rsidR="00D97039" w:rsidRPr="00BF57BA">
        <w:rPr>
          <w:rFonts w:ascii="Times New Roman" w:eastAsia="Times New Roman" w:hAnsi="Times New Roman" w:cs="Times New Roman"/>
          <w:sz w:val="28"/>
          <w:szCs w:val="28"/>
        </w:rPr>
        <w:t>шими 10% і</w:t>
      </w:r>
      <w:r w:rsidR="00D9573C" w:rsidRPr="00BF57BA">
        <w:rPr>
          <w:rFonts w:ascii="Times New Roman" w:eastAsia="Times New Roman" w:hAnsi="Times New Roman" w:cs="Times New Roman"/>
          <w:sz w:val="28"/>
          <w:szCs w:val="28"/>
        </w:rPr>
        <w:t xml:space="preserve"> обох</w:t>
      </w:r>
      <w:r w:rsidR="00D97039" w:rsidRPr="00BF57BA">
        <w:rPr>
          <w:rFonts w:ascii="Times New Roman" w:eastAsia="Times New Roman" w:hAnsi="Times New Roman" w:cs="Times New Roman"/>
          <w:sz w:val="28"/>
          <w:szCs w:val="28"/>
        </w:rPr>
        <w:t xml:space="preserve"> найбіднішими10%</w:t>
      </w:r>
    </w:p>
    <w:p w14:paraId="17220B9D" w14:textId="5C58E0E7" w:rsidR="00697F78" w:rsidRPr="00BF57BA" w:rsidRDefault="00697F78" w:rsidP="00ED1711">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Під час аналізу виділяються наступні ключові моменти:</w:t>
      </w:r>
    </w:p>
    <w:p w14:paraId="1024316C" w14:textId="77777777" w:rsidR="00697F78" w:rsidRPr="00BF57BA" w:rsidRDefault="00697F78" w:rsidP="00697F78">
      <w:pPr>
        <w:ind w:firstLine="708"/>
        <w:jc w:val="both"/>
        <w:rPr>
          <w:rFonts w:ascii="Times New Roman" w:eastAsia="Times New Roman" w:hAnsi="Times New Roman" w:cs="Times New Roman"/>
          <w:sz w:val="28"/>
          <w:szCs w:val="28"/>
        </w:rPr>
      </w:pPr>
    </w:p>
    <w:p w14:paraId="32C3BF8A" w14:textId="18CFD999" w:rsidR="00697F78" w:rsidRPr="00BF57BA" w:rsidRDefault="00697F78" w:rsidP="00762B9B">
      <w:pPr>
        <w:pStyle w:val="a9"/>
        <w:numPr>
          <w:ilvl w:val="1"/>
          <w:numId w:val="1"/>
        </w:numPr>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 xml:space="preserve">Співвідношення найбагатших 10% до найбідніших 10% населення демонструє поступове зниження з 6,61 в 2013 році до 6,08 в 2021 році. Проте, значення цього показника продовжує залишатися в межах між 6 і 7, що вказує на високий рівень нерівності в розподілі доходів. Оцінка між 6 і 7 свідчить про критичний стан даного показника, що може призвести до посилення соціальної напруги та економічних </w:t>
      </w:r>
      <w:proofErr w:type="spellStart"/>
      <w:r w:rsidRPr="00BF57BA">
        <w:rPr>
          <w:rFonts w:ascii="Times New Roman" w:eastAsia="Times New Roman" w:hAnsi="Times New Roman" w:cs="Times New Roman"/>
          <w:sz w:val="28"/>
          <w:szCs w:val="28"/>
        </w:rPr>
        <w:t>дисбалансів</w:t>
      </w:r>
      <w:proofErr w:type="spellEnd"/>
      <w:r w:rsidRPr="00BF57BA">
        <w:rPr>
          <w:rFonts w:ascii="Times New Roman" w:eastAsia="Times New Roman" w:hAnsi="Times New Roman" w:cs="Times New Roman"/>
          <w:sz w:val="28"/>
          <w:szCs w:val="28"/>
        </w:rPr>
        <w:t>.</w:t>
      </w:r>
    </w:p>
    <w:p w14:paraId="1A661FEB" w14:textId="3CE7A2C8" w:rsidR="00762B9B" w:rsidRPr="00BF57BA" w:rsidRDefault="00697F78" w:rsidP="00762B9B">
      <w:pPr>
        <w:pStyle w:val="a9"/>
        <w:numPr>
          <w:ilvl w:val="1"/>
          <w:numId w:val="1"/>
        </w:numPr>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Частка доходів найбагатших 10% населення в середньому складає 22,03%, що є значним відсотком і вказує на те, що найбагатші верстви населення займають значну частину доходів країни. Це може підвищувати ризики для економічної стабільності, якщо розподіл ресурсів продовжить зберігати таку диспропорцію.</w:t>
      </w:r>
    </w:p>
    <w:p w14:paraId="4BA40ABF" w14:textId="22003A8E" w:rsidR="007A6B5C" w:rsidRPr="007A6B5C" w:rsidRDefault="00697F78" w:rsidP="007A6B5C">
      <w:pPr>
        <w:pStyle w:val="a9"/>
        <w:numPr>
          <w:ilvl w:val="1"/>
          <w:numId w:val="1"/>
        </w:numPr>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Частка доходів найбідніших 10% населення протягом аналізованого періоду залишалася відносно стабільною, зростаючи з 3,3% в 2013 році до 3,6% в 2021 році. Хоча це свідчить про невелике покращення, порівняно з доходами найбагатших, цей показник залишається дуже низьким, що вказує на низький рівень забезпечення соціальних гарантій для найбідніших верств населення.</w:t>
      </w:r>
    </w:p>
    <w:p w14:paraId="0665055C" w14:textId="7DD32AE1" w:rsidR="00697F78" w:rsidRPr="00BF57BA" w:rsidRDefault="00ED1711" w:rsidP="00697F78">
      <w:pPr>
        <w:ind w:firstLine="708"/>
        <w:jc w:val="both"/>
        <w:rPr>
          <w:rFonts w:ascii="Times New Roman" w:eastAsia="Times New Roman" w:hAnsi="Times New Roman" w:cs="Times New Roman"/>
          <w:sz w:val="28"/>
          <w:szCs w:val="28"/>
        </w:rPr>
      </w:pPr>
      <w:r w:rsidRPr="00BF57BA">
        <w:rPr>
          <w:rFonts w:ascii="Times New Roman" w:hAnsi="Times New Roman" w:cs="Times New Roman"/>
          <w:noProof/>
          <w:sz w:val="28"/>
          <w:szCs w:val="28"/>
        </w:rPr>
        <w:drawing>
          <wp:anchor distT="0" distB="0" distL="114300" distR="114300" simplePos="0" relativeHeight="251667456" behindDoc="0" locked="0" layoutInCell="1" allowOverlap="1" wp14:anchorId="0FE1B881" wp14:editId="2528E7B4">
            <wp:simplePos x="0" y="0"/>
            <wp:positionH relativeFrom="column">
              <wp:posOffset>1379220</wp:posOffset>
            </wp:positionH>
            <wp:positionV relativeFrom="paragraph">
              <wp:posOffset>200660</wp:posOffset>
            </wp:positionV>
            <wp:extent cx="3498850" cy="2279650"/>
            <wp:effectExtent l="0" t="0" r="25400" b="25400"/>
            <wp:wrapTopAndBottom/>
            <wp:docPr id="978587817" name="Діаграма 1">
              <a:extLst xmlns:a="http://schemas.openxmlformats.org/drawingml/2006/main">
                <a:ext uri="{FF2B5EF4-FFF2-40B4-BE49-F238E27FC236}">
                  <a16:creationId xmlns:a16="http://schemas.microsoft.com/office/drawing/2014/main" id="{FB540C12-DC25-A4C9-E02C-17B74EA719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1962317E" w14:textId="4F26ECCA" w:rsidR="004A735D" w:rsidRDefault="004A735D" w:rsidP="00D9573C">
      <w:pPr>
        <w:ind w:firstLine="708"/>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Рис.3 Співвідношення найбагатших 10% та найбідніших 10% населення</w:t>
      </w:r>
    </w:p>
    <w:p w14:paraId="0C64099B" w14:textId="7E6C3CB7" w:rsidR="00D9573C" w:rsidRDefault="002A050B" w:rsidP="00D9573C">
      <w:pPr>
        <w:ind w:firstLine="708"/>
        <w:jc w:val="center"/>
        <w:rPr>
          <w:rFonts w:ascii="Times New Roman" w:eastAsia="Times New Roman" w:hAnsi="Times New Roman" w:cs="Times New Roman"/>
          <w:sz w:val="28"/>
          <w:szCs w:val="28"/>
          <w:lang w:val="en-US"/>
        </w:rPr>
      </w:pPr>
      <w:r w:rsidRPr="00BF57BA">
        <w:rPr>
          <w:rFonts w:ascii="Times New Roman" w:eastAsia="Times New Roman" w:hAnsi="Times New Roman" w:cs="Times New Roman"/>
          <w:sz w:val="28"/>
          <w:szCs w:val="28"/>
        </w:rPr>
        <w:t>Виробництво зерна</w:t>
      </w:r>
    </w:p>
    <w:p w14:paraId="064E0F3D" w14:textId="250814DB" w:rsidR="005E7E46" w:rsidRPr="005E7E46" w:rsidRDefault="005E7E46" w:rsidP="005E7E46">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Джерело: розроблене автором на основі (1)</w:t>
      </w:r>
    </w:p>
    <w:p w14:paraId="0208406E" w14:textId="1787A7D5" w:rsidR="002A050B" w:rsidRPr="00BF57BA" w:rsidRDefault="002A050B" w:rsidP="00F21B54">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lastRenderedPageBreak/>
        <w:t xml:space="preserve"> Аналіз показників</w:t>
      </w:r>
    </w:p>
    <w:p w14:paraId="3988AC12" w14:textId="748A32F7" w:rsidR="002A050B" w:rsidRPr="00BF57BA" w:rsidRDefault="002A050B" w:rsidP="00F21B54">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1. Виробництво зерна на душу населення</w:t>
      </w:r>
    </w:p>
    <w:p w14:paraId="2308831D" w14:textId="74D23247" w:rsidR="002A050B" w:rsidRPr="00BF57BA" w:rsidRDefault="002A050B" w:rsidP="00F21B54">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Дані щодо виробництва зерна на душу населення в Бельгії показують певні коливання. У 2013 році цей показник складав 3,60 т/особу, знижаючись до 3,54 т/особу у 2014 році, а потім дещо зростаючи до 4,70 т/особу у 2018 році. Однак у 2022 році спостерігається зниження показника до 4,20 т/особу, що свідчить про тенденцію до спадання.</w:t>
      </w:r>
    </w:p>
    <w:p w14:paraId="03A82B03" w14:textId="1869F9BF" w:rsidR="002A050B" w:rsidRPr="00BF57BA" w:rsidRDefault="002A050B" w:rsidP="005C05A4">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Це може вказувати на зниження ефективності сільського господарства або зменшення площ посівів зернових культур. Враховуючи, що Бельгія є однією з високорозвинених країн Європи, зменшення виробництва зерна може впливати на загальну економічну безпеку, адже країна може стати більш залежною від імпорту зернових культур.</w:t>
      </w:r>
    </w:p>
    <w:p w14:paraId="7B67DF19" w14:textId="0FBB4ECB" w:rsidR="002A050B" w:rsidRPr="00BF57BA" w:rsidRDefault="002A050B" w:rsidP="00F21B54">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2. Загальне виробництво зерна</w:t>
      </w:r>
    </w:p>
    <w:p w14:paraId="61DD9A82" w14:textId="1FCA7D51" w:rsidR="002A050B" w:rsidRPr="00BF57BA" w:rsidRDefault="002A050B" w:rsidP="00F21B54">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 xml:space="preserve">Враховуючи дані щодо загального виробництва зерна, можна побачити, що обсяг виробництва коливався в межах від 2,3 до 3,2 мільйонів </w:t>
      </w:r>
      <w:proofErr w:type="spellStart"/>
      <w:r w:rsidRPr="00BF57BA">
        <w:rPr>
          <w:rFonts w:ascii="Times New Roman" w:eastAsia="Times New Roman" w:hAnsi="Times New Roman" w:cs="Times New Roman"/>
          <w:sz w:val="28"/>
          <w:szCs w:val="28"/>
        </w:rPr>
        <w:t>тонн</w:t>
      </w:r>
      <w:proofErr w:type="spellEnd"/>
      <w:r w:rsidRPr="00BF57BA">
        <w:rPr>
          <w:rFonts w:ascii="Times New Roman" w:eastAsia="Times New Roman" w:hAnsi="Times New Roman" w:cs="Times New Roman"/>
          <w:sz w:val="28"/>
          <w:szCs w:val="28"/>
        </w:rPr>
        <w:t xml:space="preserve">. Пік виробництва спостерігався в 2014 та 2015 роках, коли було досягнуто значення 3,16 мільйона </w:t>
      </w:r>
      <w:proofErr w:type="spellStart"/>
      <w:r w:rsidRPr="00BF57BA">
        <w:rPr>
          <w:rFonts w:ascii="Times New Roman" w:eastAsia="Times New Roman" w:hAnsi="Times New Roman" w:cs="Times New Roman"/>
          <w:sz w:val="28"/>
          <w:szCs w:val="28"/>
        </w:rPr>
        <w:t>тонн</w:t>
      </w:r>
      <w:proofErr w:type="spellEnd"/>
      <w:r w:rsidRPr="00BF57BA">
        <w:rPr>
          <w:rFonts w:ascii="Times New Roman" w:eastAsia="Times New Roman" w:hAnsi="Times New Roman" w:cs="Times New Roman"/>
          <w:sz w:val="28"/>
          <w:szCs w:val="28"/>
        </w:rPr>
        <w:t xml:space="preserve">. В 2016 році виробництво значно знизилося до 2,29 мільйонів </w:t>
      </w:r>
      <w:proofErr w:type="spellStart"/>
      <w:r w:rsidRPr="00BF57BA">
        <w:rPr>
          <w:rFonts w:ascii="Times New Roman" w:eastAsia="Times New Roman" w:hAnsi="Times New Roman" w:cs="Times New Roman"/>
          <w:sz w:val="28"/>
          <w:szCs w:val="28"/>
        </w:rPr>
        <w:t>тонн</w:t>
      </w:r>
      <w:proofErr w:type="spellEnd"/>
      <w:r w:rsidRPr="00BF57BA">
        <w:rPr>
          <w:rFonts w:ascii="Times New Roman" w:eastAsia="Times New Roman" w:hAnsi="Times New Roman" w:cs="Times New Roman"/>
          <w:sz w:val="28"/>
          <w:szCs w:val="28"/>
        </w:rPr>
        <w:t>, що є важливим сигналом для забезпечення продовольчої безпеки країни.</w:t>
      </w:r>
    </w:p>
    <w:p w14:paraId="1D8321AA" w14:textId="349ED700" w:rsidR="002A050B" w:rsidRPr="00BF57BA" w:rsidRDefault="002A050B" w:rsidP="005C05A4">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Враховуючи, що зернові культури є основними продуктами для харчування населення та сільськогосподарської продукції, зниження загального виробництва зерна може позначитися на економічній ситуації країни, а також на здатності забезпечувати внутрішній попит.</w:t>
      </w:r>
    </w:p>
    <w:p w14:paraId="3F7AD45F" w14:textId="4EE2E39D" w:rsidR="002A050B" w:rsidRPr="00BF57BA" w:rsidRDefault="002A050B" w:rsidP="00F21B54">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3. Чисельність населення</w:t>
      </w:r>
    </w:p>
    <w:p w14:paraId="3C1CA107" w14:textId="77777777" w:rsidR="00AA4127" w:rsidRPr="00BF57BA" w:rsidRDefault="002A050B" w:rsidP="00AA4127">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Чисельність населення Бельгії поступово зростала, що позитивно впливає на економічну стабільність, адже більша кількість населення сприяє зростанню внутрішнього попиту на продукцію та послуги. Однак, при зростанні чисельності населення та зменшенні обсягів виробництва зерна, виникає ризик зниження продовольчої безпеки, що в свою чергу може вплинути на економічну стабільність держави.</w:t>
      </w:r>
    </w:p>
    <w:p w14:paraId="3732EC80" w14:textId="5D5FB7D7" w:rsidR="002A050B" w:rsidRPr="00BF57BA" w:rsidRDefault="002A050B" w:rsidP="00AA4127">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Тенденція до спадання</w:t>
      </w:r>
    </w:p>
    <w:p w14:paraId="37A7CAEF" w14:textId="2EF66D44" w:rsidR="002A050B" w:rsidRPr="00BF57BA" w:rsidRDefault="00CB09BC" w:rsidP="00697F78">
      <w:pPr>
        <w:ind w:firstLine="708"/>
        <w:jc w:val="both"/>
        <w:rPr>
          <w:rFonts w:ascii="Times New Roman" w:eastAsia="Times New Roman" w:hAnsi="Times New Roman" w:cs="Times New Roman"/>
          <w:sz w:val="28"/>
          <w:szCs w:val="28"/>
        </w:rPr>
      </w:pPr>
      <w:r w:rsidRPr="00BF57BA">
        <w:rPr>
          <w:rFonts w:ascii="Times New Roman" w:hAnsi="Times New Roman" w:cs="Times New Roman"/>
          <w:noProof/>
          <w:sz w:val="28"/>
          <w:szCs w:val="28"/>
        </w:rPr>
        <w:lastRenderedPageBreak/>
        <w:drawing>
          <wp:anchor distT="0" distB="0" distL="114300" distR="114300" simplePos="0" relativeHeight="251687936" behindDoc="0" locked="0" layoutInCell="1" allowOverlap="1" wp14:anchorId="6440E2BA" wp14:editId="07ED1E97">
            <wp:simplePos x="0" y="0"/>
            <wp:positionH relativeFrom="column">
              <wp:posOffset>1119505</wp:posOffset>
            </wp:positionH>
            <wp:positionV relativeFrom="paragraph">
              <wp:posOffset>1655445</wp:posOffset>
            </wp:positionV>
            <wp:extent cx="3879850" cy="1673225"/>
            <wp:effectExtent l="0" t="0" r="25400" b="22225"/>
            <wp:wrapTopAndBottom/>
            <wp:docPr id="34237373" name="Діаграма 1">
              <a:extLst xmlns:a="http://schemas.openxmlformats.org/drawingml/2006/main">
                <a:ext uri="{FF2B5EF4-FFF2-40B4-BE49-F238E27FC236}">
                  <a16:creationId xmlns:a16="http://schemas.microsoft.com/office/drawing/2014/main" id="{D1FFA9F7-99B3-9DD5-20D9-185574D70D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2A050B" w:rsidRPr="00BF57BA">
        <w:rPr>
          <w:rFonts w:ascii="Times New Roman" w:eastAsia="Times New Roman" w:hAnsi="Times New Roman" w:cs="Times New Roman"/>
          <w:sz w:val="28"/>
          <w:szCs w:val="28"/>
        </w:rPr>
        <w:t>Проаналізовані показники свідчать про тенденцію до спадання виробництва зерна, що може бути наслідком різних факторів, таких як зміни в кліматичних умовах, погіршення урожайності або економічні проблеми в аграрному секторі. Така тенденція становить певну небезпеку для економічної безпеки Бельгії, оскільки зменшення власного виробництва може призвести до більшої залежності від зовнішніх постачальників зерна, що підвищує уразливість до зовнішніх економічних та політичних факторів.</w:t>
      </w:r>
    </w:p>
    <w:p w14:paraId="623F8D13" w14:textId="0BADD68B" w:rsidR="00957D76" w:rsidRDefault="004A735D" w:rsidP="006373BB">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Ри</w:t>
      </w:r>
      <w:r w:rsidR="00150564">
        <w:rPr>
          <w:rFonts w:ascii="Times New Roman" w:eastAsia="Times New Roman" w:hAnsi="Times New Roman" w:cs="Times New Roman"/>
          <w:sz w:val="28"/>
          <w:szCs w:val="28"/>
          <w:lang w:val="en-US"/>
        </w:rPr>
        <w:t xml:space="preserve">с.4 </w:t>
      </w:r>
      <w:proofErr w:type="spellStart"/>
      <w:r w:rsidR="00150564">
        <w:rPr>
          <w:rFonts w:ascii="Times New Roman" w:eastAsia="Times New Roman" w:hAnsi="Times New Roman" w:cs="Times New Roman"/>
          <w:sz w:val="28"/>
          <w:szCs w:val="28"/>
          <w:lang w:val="en-US"/>
        </w:rPr>
        <w:t>Виробництво</w:t>
      </w:r>
      <w:proofErr w:type="spellEnd"/>
      <w:r w:rsidR="00150564">
        <w:rPr>
          <w:rFonts w:ascii="Times New Roman" w:eastAsia="Times New Roman" w:hAnsi="Times New Roman" w:cs="Times New Roman"/>
          <w:sz w:val="28"/>
          <w:szCs w:val="28"/>
          <w:lang w:val="en-US"/>
        </w:rPr>
        <w:t xml:space="preserve"> </w:t>
      </w:r>
      <w:proofErr w:type="spellStart"/>
      <w:r w:rsidR="00150564">
        <w:rPr>
          <w:rFonts w:ascii="Times New Roman" w:eastAsia="Times New Roman" w:hAnsi="Times New Roman" w:cs="Times New Roman"/>
          <w:sz w:val="28"/>
          <w:szCs w:val="28"/>
          <w:lang w:val="en-US"/>
        </w:rPr>
        <w:t>зерна</w:t>
      </w:r>
      <w:proofErr w:type="spellEnd"/>
      <w:r w:rsidR="00150564">
        <w:rPr>
          <w:rFonts w:ascii="Times New Roman" w:eastAsia="Times New Roman" w:hAnsi="Times New Roman" w:cs="Times New Roman"/>
          <w:sz w:val="28"/>
          <w:szCs w:val="28"/>
          <w:lang w:val="en-US"/>
        </w:rPr>
        <w:t>, т</w:t>
      </w:r>
    </w:p>
    <w:p w14:paraId="5622D37B" w14:textId="3521C438" w:rsidR="005704C5" w:rsidRPr="005704C5" w:rsidRDefault="005704C5" w:rsidP="005704C5">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Джерело: розроблене автором на основі (1)</w:t>
      </w:r>
    </w:p>
    <w:p w14:paraId="295B57C5" w14:textId="4421E226" w:rsidR="00B73B36" w:rsidRPr="00BF57BA" w:rsidRDefault="004E1418" w:rsidP="004E1418">
      <w:pPr>
        <w:ind w:firstLine="708"/>
        <w:jc w:val="center"/>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Макроекономічна безпека</w:t>
      </w:r>
    </w:p>
    <w:p w14:paraId="55A19FBB" w14:textId="77777777" w:rsidR="009F5C6D" w:rsidRDefault="004E1418" w:rsidP="009F5C6D">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b/>
          <w:bCs/>
          <w:sz w:val="28"/>
          <w:szCs w:val="28"/>
        </w:rPr>
        <w:t>1. Загальна ситуація з економічною безпекою</w:t>
      </w:r>
      <w:r w:rsidRPr="00BF57BA">
        <w:rPr>
          <w:rFonts w:ascii="Times New Roman" w:eastAsia="Times New Roman" w:hAnsi="Times New Roman" w:cs="Times New Roman"/>
          <w:sz w:val="28"/>
          <w:szCs w:val="28"/>
        </w:rPr>
        <w:br/>
        <w:t>Бельгія, як частина Європейського Союзу, демонструє стабільні економічні показники на тлі змін у глобальній економіці. За період з 2013 по 2023 рік спостерігається певне зниження рівня безробіття та зміни у сальдо поточного рахунку платіжного балансу, що вказують на деякі ризики та можливості для покращення економічної ситуації.</w:t>
      </w:r>
    </w:p>
    <w:p w14:paraId="675ED022" w14:textId="42190A01" w:rsidR="00ED0CCB" w:rsidRPr="00BF57BA" w:rsidRDefault="004E1418" w:rsidP="009F5C6D">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b/>
          <w:bCs/>
          <w:sz w:val="28"/>
          <w:szCs w:val="28"/>
        </w:rPr>
        <w:t>2. Рівень безробіття</w:t>
      </w:r>
      <w:r w:rsidRPr="00BF57BA">
        <w:rPr>
          <w:rFonts w:ascii="Times New Roman" w:eastAsia="Times New Roman" w:hAnsi="Times New Roman" w:cs="Times New Roman"/>
          <w:sz w:val="28"/>
          <w:szCs w:val="28"/>
        </w:rPr>
        <w:br/>
        <w:t>Рівень безробіття в Бельгії з 2013 по 2023 рік значно знизився, з 8,425% до 5,508%. Це свідчить про поступове покращення на ринку праці та стабільний розвиток економіки країни. Проте, хоча значення рівня безробіття є задовільним і знаходиться в інтервалі між 6 та 7%, існує ризик зростання цього показника в майбутньому. Потенційні фактори ризику включають економічні потрясіння або зміни в глобальних економічних умовах.</w:t>
      </w:r>
    </w:p>
    <w:p w14:paraId="2430507A" w14:textId="7EF89318" w:rsidR="00ED0CCB" w:rsidRPr="00BF57BA" w:rsidRDefault="004E1418" w:rsidP="004E1418">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b/>
          <w:bCs/>
          <w:sz w:val="28"/>
          <w:szCs w:val="28"/>
        </w:rPr>
        <w:t>3. Сальдо поточного рахунку платіжного балансу</w:t>
      </w:r>
      <w:r w:rsidRPr="00BF57BA">
        <w:rPr>
          <w:rFonts w:ascii="Times New Roman" w:eastAsia="Times New Roman" w:hAnsi="Times New Roman" w:cs="Times New Roman"/>
          <w:sz w:val="28"/>
          <w:szCs w:val="28"/>
        </w:rPr>
        <w:br/>
        <w:t>Сальдо поточного рахунку платіжного балансу Бельгії коливається, з 0,97% ВВП у 2013 році до -0,98% у 2023 році. Протягом останнього десятиліття цей показник демонструє зміни в сторону дефіциту, особливо після 2017 року, коли сальдо стало негативним. Хоча сальдо залишається в межах оптимального діапазону (від -1,5% до 1,5% ВВП), спостерігається тенденція до спадання, що може свідчити про погіршення балансу зовнішньої торгівлі та виведення капіталу з країни.</w:t>
      </w:r>
    </w:p>
    <w:p w14:paraId="1CE8C93E" w14:textId="60E98A68" w:rsidR="00D201CF" w:rsidRDefault="000D09B4" w:rsidP="006373BB">
      <w:pPr>
        <w:ind w:firstLine="708"/>
        <w:jc w:val="center"/>
        <w:rPr>
          <w:rFonts w:ascii="Times New Roman" w:eastAsia="Times New Roman" w:hAnsi="Times New Roman" w:cs="Times New Roman"/>
          <w:sz w:val="28"/>
          <w:szCs w:val="28"/>
          <w:lang w:val="en-US"/>
        </w:rPr>
      </w:pPr>
      <w:r w:rsidRPr="00BF57BA">
        <w:rPr>
          <w:rFonts w:ascii="Times New Roman" w:hAnsi="Times New Roman" w:cs="Times New Roman"/>
          <w:noProof/>
          <w:sz w:val="28"/>
          <w:szCs w:val="28"/>
        </w:rPr>
        <w:lastRenderedPageBreak/>
        <w:drawing>
          <wp:anchor distT="0" distB="0" distL="114300" distR="114300" simplePos="0" relativeHeight="251689984" behindDoc="0" locked="0" layoutInCell="1" allowOverlap="1" wp14:anchorId="06F602B0" wp14:editId="217ACC33">
            <wp:simplePos x="0" y="0"/>
            <wp:positionH relativeFrom="column">
              <wp:posOffset>1261110</wp:posOffset>
            </wp:positionH>
            <wp:positionV relativeFrom="paragraph">
              <wp:posOffset>2685415</wp:posOffset>
            </wp:positionV>
            <wp:extent cx="3457575" cy="1920875"/>
            <wp:effectExtent l="0" t="0" r="9525" b="22225"/>
            <wp:wrapTopAndBottom/>
            <wp:docPr id="759198308" name="Діаграма 1">
              <a:extLst xmlns:a="http://schemas.openxmlformats.org/drawingml/2006/main">
                <a:ext uri="{FF2B5EF4-FFF2-40B4-BE49-F238E27FC236}">
                  <a16:creationId xmlns:a16="http://schemas.microsoft.com/office/drawing/2014/main" id="{903583EC-E7D8-CA44-8ED5-3F8B031258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4E1418" w:rsidRPr="00BF57BA">
        <w:rPr>
          <w:rFonts w:ascii="Times New Roman" w:eastAsia="Times New Roman" w:hAnsi="Times New Roman" w:cs="Times New Roman"/>
          <w:b/>
          <w:bCs/>
          <w:sz w:val="28"/>
          <w:szCs w:val="28"/>
        </w:rPr>
        <w:t>4. Аналіз тенденцій та ризиків</w:t>
      </w:r>
      <w:r w:rsidR="004E1418" w:rsidRPr="00BF57BA">
        <w:rPr>
          <w:rFonts w:ascii="Times New Roman" w:eastAsia="Times New Roman" w:hAnsi="Times New Roman" w:cs="Times New Roman"/>
          <w:sz w:val="28"/>
          <w:szCs w:val="28"/>
        </w:rPr>
        <w:br/>
        <w:t>На основі даних можна відзначити наступні ключові тенденції:</w:t>
      </w:r>
      <w:r w:rsidR="004E1418" w:rsidRPr="00BF57BA">
        <w:rPr>
          <w:rFonts w:ascii="Times New Roman" w:eastAsia="Times New Roman" w:hAnsi="Times New Roman" w:cs="Times New Roman"/>
          <w:sz w:val="28"/>
          <w:szCs w:val="28"/>
        </w:rPr>
        <w:br/>
        <w:t xml:space="preserve">- </w:t>
      </w:r>
      <w:r w:rsidR="004E1418" w:rsidRPr="00BF57BA">
        <w:rPr>
          <w:rFonts w:ascii="Times New Roman" w:eastAsia="Times New Roman" w:hAnsi="Times New Roman" w:cs="Times New Roman"/>
          <w:b/>
          <w:bCs/>
          <w:sz w:val="28"/>
          <w:szCs w:val="28"/>
        </w:rPr>
        <w:t>Зниження безробіття</w:t>
      </w:r>
      <w:r w:rsidR="004E1418" w:rsidRPr="00BF57BA">
        <w:rPr>
          <w:rFonts w:ascii="Times New Roman" w:eastAsia="Times New Roman" w:hAnsi="Times New Roman" w:cs="Times New Roman"/>
          <w:sz w:val="28"/>
          <w:szCs w:val="28"/>
        </w:rPr>
        <w:t>: Позитивна динаміка, яка сприяє зростанню економічної активності та покращенню соціальних умов, однак рівень безробіття в межах між 6% та 7% вказує на наявність певних ризиків, пов'язаних із можливими економічними коливаннями в майбутньому.</w:t>
      </w:r>
      <w:r w:rsidR="004E1418" w:rsidRPr="00BF57BA">
        <w:rPr>
          <w:rFonts w:ascii="Times New Roman" w:eastAsia="Times New Roman" w:hAnsi="Times New Roman" w:cs="Times New Roman"/>
          <w:sz w:val="28"/>
          <w:szCs w:val="28"/>
        </w:rPr>
        <w:br/>
        <w:t xml:space="preserve">- </w:t>
      </w:r>
      <w:r w:rsidR="004E1418" w:rsidRPr="00BF57BA">
        <w:rPr>
          <w:rFonts w:ascii="Times New Roman" w:eastAsia="Times New Roman" w:hAnsi="Times New Roman" w:cs="Times New Roman"/>
          <w:b/>
          <w:bCs/>
          <w:sz w:val="28"/>
          <w:szCs w:val="28"/>
        </w:rPr>
        <w:t>Негативне сальдо поточного рахунку</w:t>
      </w:r>
      <w:r w:rsidR="004E1418" w:rsidRPr="00BF57BA">
        <w:rPr>
          <w:rFonts w:ascii="Times New Roman" w:eastAsia="Times New Roman" w:hAnsi="Times New Roman" w:cs="Times New Roman"/>
          <w:sz w:val="28"/>
          <w:szCs w:val="28"/>
        </w:rPr>
        <w:t>: Останні роки спостерігається негативне сальдо, що свідчить про тенденцію до збільшення дефіциту платіжного балансу. Це може бути результатом більш високих імпортних витрат або зниження експорту. Однак рівень сальдо залишається в межах допустимого, що свідчить про відсутність критичних ризиків</w:t>
      </w:r>
      <w:r w:rsidR="00BF57BA" w:rsidRPr="00BF57BA">
        <w:rPr>
          <w:rFonts w:ascii="Times New Roman" w:eastAsia="Times New Roman" w:hAnsi="Times New Roman" w:cs="Times New Roman"/>
          <w:sz w:val="28"/>
          <w:szCs w:val="28"/>
        </w:rPr>
        <w:t xml:space="preserve"> на поточний момент</w:t>
      </w:r>
      <w:r w:rsidR="004E1418" w:rsidRPr="00BF57BA">
        <w:rPr>
          <w:rFonts w:ascii="Times New Roman" w:eastAsia="Times New Roman" w:hAnsi="Times New Roman" w:cs="Times New Roman"/>
          <w:sz w:val="28"/>
          <w:szCs w:val="28"/>
        </w:rPr>
        <w:t xml:space="preserve"> </w:t>
      </w:r>
      <w:r w:rsidR="004E1418" w:rsidRPr="00BF57BA">
        <w:rPr>
          <w:rFonts w:ascii="Times New Roman" w:eastAsia="Times New Roman" w:hAnsi="Times New Roman" w:cs="Times New Roman"/>
          <w:sz w:val="28"/>
          <w:szCs w:val="28"/>
        </w:rPr>
        <w:br/>
      </w:r>
      <w:r w:rsidR="00150564">
        <w:rPr>
          <w:rFonts w:ascii="Times New Roman" w:eastAsia="Times New Roman" w:hAnsi="Times New Roman" w:cs="Times New Roman"/>
          <w:sz w:val="28"/>
          <w:szCs w:val="28"/>
          <w:lang w:val="en-US"/>
        </w:rPr>
        <w:t xml:space="preserve">Рис.5 Рівень </w:t>
      </w:r>
      <w:proofErr w:type="spellStart"/>
      <w:r w:rsidR="00150564">
        <w:rPr>
          <w:rFonts w:ascii="Times New Roman" w:eastAsia="Times New Roman" w:hAnsi="Times New Roman" w:cs="Times New Roman"/>
          <w:sz w:val="28"/>
          <w:szCs w:val="28"/>
          <w:lang w:val="en-US"/>
        </w:rPr>
        <w:t>безробіття</w:t>
      </w:r>
      <w:proofErr w:type="spellEnd"/>
    </w:p>
    <w:p w14:paraId="75E39889" w14:textId="0618D0B4" w:rsidR="005704C5" w:rsidRPr="005704C5" w:rsidRDefault="005704C5" w:rsidP="005704C5">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Джерело: розроблене автором на основі (1)</w:t>
      </w:r>
    </w:p>
    <w:p w14:paraId="689F11AF" w14:textId="77777777" w:rsidR="00300BD0" w:rsidRPr="00BF57BA" w:rsidRDefault="00410581" w:rsidP="00300BD0">
      <w:pPr>
        <w:ind w:firstLine="708"/>
        <w:jc w:val="center"/>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Енергетична безпека</w:t>
      </w:r>
    </w:p>
    <w:p w14:paraId="51BA4B25" w14:textId="456ADFCC" w:rsidR="00300BD0" w:rsidRPr="00BF57BA" w:rsidRDefault="00300BD0" w:rsidP="00AD3A47">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 xml:space="preserve"> 1. Інтенсивність ВВП (2013-2022)</w:t>
      </w:r>
    </w:p>
    <w:p w14:paraId="72E1A121" w14:textId="77777777" w:rsidR="00300BD0" w:rsidRPr="00BF57BA" w:rsidRDefault="00300BD0" w:rsidP="00300BD0">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Інтенсивність ВВП є важливим показником, який відображає рівень ефективності використання енергетичних ресурсів для виробництва валового внутрішнього продукту. У Бельгії спостерігається тенденція до зниження інтенсивності ВВП, що свідчить про покращення ефективності використання енергії.</w:t>
      </w:r>
    </w:p>
    <w:p w14:paraId="01725200" w14:textId="6762FC3A" w:rsidR="00300BD0" w:rsidRPr="00BF57BA" w:rsidRDefault="00300BD0" w:rsidP="00300BD0">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 Динаміка показника:</w:t>
      </w:r>
    </w:p>
    <w:p w14:paraId="19C0887E" w14:textId="77777777" w:rsidR="00300BD0" w:rsidRPr="00BF57BA" w:rsidRDefault="00300BD0" w:rsidP="00300BD0">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 xml:space="preserve">  В період з 2013 по 2022 рік інтенсивність ВВП знизилась з 178,12 у 2013 році до 121,01 у 2022 році. Середнє значення за цей період складає 154,059. Це показує певний прогрес у зменшенні енергетичних витрат на одиницю виробленого ВВП, що є позитивним для економічної безпеки країни. Однак цей показник все ще залишається на досить високому рівні, тому важливо продовжувати роботу над підвищенням енергоефективності.</w:t>
      </w:r>
    </w:p>
    <w:p w14:paraId="7D0EFD17" w14:textId="5B584903" w:rsidR="00300BD0" w:rsidRPr="00BF57BA" w:rsidRDefault="00300BD0" w:rsidP="00300BD0">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 Аналіз:</w:t>
      </w:r>
    </w:p>
    <w:p w14:paraId="62CAFEB8" w14:textId="6D47289F" w:rsidR="00300BD0" w:rsidRPr="00BF57BA" w:rsidRDefault="00300BD0" w:rsidP="00DE4335">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lastRenderedPageBreak/>
        <w:t xml:space="preserve">  Зниження інтенсивності ВВП є результатом зростання енергоефективності та переходу до технологій, що зменшують витрати енергії. Проте значення цього показника ще не є критично низьким, і країна повинна продовжувати інтеграцію інноваційних енергозберігаючих технологій.</w:t>
      </w:r>
    </w:p>
    <w:p w14:paraId="6D2CAE0F" w14:textId="5314840B" w:rsidR="00300BD0" w:rsidRPr="00BF57BA" w:rsidRDefault="00300BD0" w:rsidP="00300BD0">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 xml:space="preserve"> 2. Частка енергії відновлювальних джерел (2016-2020)</w:t>
      </w:r>
    </w:p>
    <w:p w14:paraId="661E6025" w14:textId="77777777" w:rsidR="00300BD0" w:rsidRPr="00BF57BA" w:rsidRDefault="00300BD0" w:rsidP="00300BD0">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Використання відновлювальних джерел енергії є важливим компонентом стратегії енергетичної безпеки. У Бельгії спостерігається позитивна тенденція до зростання частки відновлювальних джерел енергії.</w:t>
      </w:r>
    </w:p>
    <w:p w14:paraId="79D28275" w14:textId="041D1524" w:rsidR="00300BD0" w:rsidRPr="00BF57BA" w:rsidRDefault="00300BD0" w:rsidP="00A61727">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 Аналіз:</w:t>
      </w:r>
    </w:p>
    <w:p w14:paraId="0CAB971B" w14:textId="5DEE5778" w:rsidR="00300BD0" w:rsidRPr="00BF57BA" w:rsidRDefault="00300BD0" w:rsidP="00DE4335">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 xml:space="preserve">  Частка відновлювальних джерел енергії перевищує оптимальний рівень 10%, що вказує на наявність ефективної стратегії щодо зменшення залежності від викопних видів палива. Цей тренд підтримує енергетичну безпеку країни, знижуючи вразливість до коливань цін на енергоносії та зміни на міжнародних ринках енергоносіїв.</w:t>
      </w:r>
    </w:p>
    <w:p w14:paraId="38064552" w14:textId="72702A7A" w:rsidR="00300BD0" w:rsidRPr="00BF57BA" w:rsidRDefault="00300BD0" w:rsidP="00A61727">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 xml:space="preserve"> 3. Втрата енергії при транспортуванні (2005-2014)</w:t>
      </w:r>
    </w:p>
    <w:p w14:paraId="655674D3" w14:textId="48C0B357" w:rsidR="00300BD0" w:rsidRPr="00BF57BA" w:rsidRDefault="00300BD0" w:rsidP="00CD0915">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 xml:space="preserve">Втрати енергії при транспортуванні є важливим аспектом енергетичної безпеки країни, оскільки ефективність транспортування енергії впливає на загальну </w:t>
      </w:r>
      <w:proofErr w:type="spellStart"/>
      <w:r w:rsidRPr="00BF57BA">
        <w:rPr>
          <w:rFonts w:ascii="Times New Roman" w:eastAsia="Times New Roman" w:hAnsi="Times New Roman" w:cs="Times New Roman"/>
          <w:sz w:val="28"/>
          <w:szCs w:val="28"/>
        </w:rPr>
        <w:t>витратність</w:t>
      </w:r>
      <w:proofErr w:type="spellEnd"/>
      <w:r w:rsidRPr="00BF57BA">
        <w:rPr>
          <w:rFonts w:ascii="Times New Roman" w:eastAsia="Times New Roman" w:hAnsi="Times New Roman" w:cs="Times New Roman"/>
          <w:sz w:val="28"/>
          <w:szCs w:val="28"/>
        </w:rPr>
        <w:t xml:space="preserve"> енергосистеми.</w:t>
      </w:r>
    </w:p>
    <w:p w14:paraId="09340A8E" w14:textId="12868524" w:rsidR="00300BD0" w:rsidRPr="00BF57BA" w:rsidRDefault="00300BD0" w:rsidP="00CD0915">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 Аналіз:</w:t>
      </w:r>
    </w:p>
    <w:p w14:paraId="2C859F16" w14:textId="77777777" w:rsidR="00300BD0" w:rsidRPr="00BF57BA" w:rsidRDefault="00300BD0" w:rsidP="00300BD0">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 xml:space="preserve">  Зростання втрат енергії при транспортуванні може негативно вплинути на економічну безпеку Бельгії, оскільки зменшується ефективність використання енергетичних ресурсів. Для підвищення енергетичної безпеки та зменшення витрат енергії необхідно вдосконалювати інфраструктуру транспортування енергії, інвестувати в нові технології та системи зберігання енергії.</w:t>
      </w:r>
    </w:p>
    <w:p w14:paraId="2EDA86F5" w14:textId="7A1D9CC0" w:rsidR="00410581" w:rsidRPr="006B350E" w:rsidRDefault="00AC2A83" w:rsidP="006373BB">
      <w:pPr>
        <w:jc w:val="center"/>
        <w:rPr>
          <w:rFonts w:ascii="Times New Roman" w:eastAsia="Times New Roman" w:hAnsi="Times New Roman" w:cs="Times New Roman"/>
          <w:sz w:val="28"/>
          <w:szCs w:val="28"/>
          <w:lang w:val="en-US"/>
        </w:rPr>
      </w:pPr>
      <w:r w:rsidRPr="00BF57BA">
        <w:rPr>
          <w:rFonts w:ascii="Times New Roman" w:hAnsi="Times New Roman" w:cs="Times New Roman"/>
          <w:noProof/>
          <w:sz w:val="28"/>
          <w:szCs w:val="28"/>
        </w:rPr>
        <w:drawing>
          <wp:anchor distT="0" distB="0" distL="114300" distR="114300" simplePos="0" relativeHeight="251673600" behindDoc="0" locked="0" layoutInCell="1" allowOverlap="1" wp14:anchorId="05196573" wp14:editId="1BFFA132">
            <wp:simplePos x="0" y="0"/>
            <wp:positionH relativeFrom="column">
              <wp:posOffset>1064895</wp:posOffset>
            </wp:positionH>
            <wp:positionV relativeFrom="paragraph">
              <wp:posOffset>4445</wp:posOffset>
            </wp:positionV>
            <wp:extent cx="3849370" cy="1605280"/>
            <wp:effectExtent l="0" t="0" r="17780" b="13970"/>
            <wp:wrapTopAndBottom/>
            <wp:docPr id="1654679089" name="Діаграма 1">
              <a:extLst xmlns:a="http://schemas.openxmlformats.org/drawingml/2006/main">
                <a:ext uri="{FF2B5EF4-FFF2-40B4-BE49-F238E27FC236}">
                  <a16:creationId xmlns:a16="http://schemas.microsoft.com/office/drawing/2014/main" id="{BA38B42F-2877-9543-A064-2F5D3D7BD4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6B350E">
        <w:rPr>
          <w:rFonts w:ascii="Times New Roman" w:eastAsia="Times New Roman" w:hAnsi="Times New Roman" w:cs="Times New Roman"/>
          <w:sz w:val="28"/>
          <w:szCs w:val="28"/>
          <w:lang w:val="en-US"/>
        </w:rPr>
        <w:t>Рис.6 Втрата енергії при транспортуванні</w:t>
      </w:r>
    </w:p>
    <w:p w14:paraId="2F019EA6" w14:textId="3CB6739F" w:rsidR="00AC2A83" w:rsidRPr="005704C5" w:rsidRDefault="005704C5" w:rsidP="005704C5">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Джерело: розроблене автором на основі (1)</w:t>
      </w:r>
    </w:p>
    <w:p w14:paraId="203133C5" w14:textId="4C0E3B36" w:rsidR="001624F8" w:rsidRPr="00BF57BA" w:rsidRDefault="00617B43" w:rsidP="00617B43">
      <w:pPr>
        <w:ind w:firstLine="708"/>
        <w:jc w:val="center"/>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Виробнича безпека</w:t>
      </w:r>
    </w:p>
    <w:p w14:paraId="02DE068E" w14:textId="58ECB248" w:rsidR="001624F8" w:rsidRPr="00BF57BA" w:rsidRDefault="001624F8" w:rsidP="00326B56">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Аналіз будівництва в Бельгії</w:t>
      </w:r>
    </w:p>
    <w:p w14:paraId="496C7DEE" w14:textId="2512D380" w:rsidR="001624F8" w:rsidRPr="00BF57BA" w:rsidRDefault="001624F8" w:rsidP="00DE4335">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lastRenderedPageBreak/>
        <w:t>Згідно з даними за період з 2016 по 2023 роки, обсяг будівництва у Бельгії демонструє стійкий позитивний тренд. Розрахунок середнього значення обсягу будівництва за ці роки показав результат 111,69 одиниць. Однак існують деякі коливання: у 2020 році обсяг знизився до 106,5 одиниць, але вже в наступні роки (2021-2023) спостерігається зростання, досягнувши 121,8 одиниць у 2021 році.</w:t>
      </w:r>
    </w:p>
    <w:p w14:paraId="2EA26D59" w14:textId="23D54EC4" w:rsidR="001624F8" w:rsidRPr="00BF57BA" w:rsidRDefault="001624F8" w:rsidP="00F33244">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 xml:space="preserve"> Аналіз урожайності в сільському господарстві Бельгії</w:t>
      </w:r>
    </w:p>
    <w:p w14:paraId="2EE02F61" w14:textId="5E48A24D" w:rsidR="001624F8" w:rsidRPr="00BF57BA" w:rsidRDefault="001624F8" w:rsidP="00DE4335">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Згідно з даними щодо урожайності сільськогосподарських культур у Бельгії, можна спостерігати деякі нестабільності в цей секторі економіки. Урожайність на гектар у 2022 році склала в середньому 8643,79 кг/га. Це значення є дещо нижчим, ніж у попередні роки, зокрема в 2016 році, коли цей показник становив 6984,8 кг/га, що свідчить про можливі коливання у врожайності внаслідок різних економічних та природних факторів.</w:t>
      </w:r>
    </w:p>
    <w:p w14:paraId="68948F31" w14:textId="76560F15" w:rsidR="00444A26" w:rsidRPr="00BF57BA" w:rsidRDefault="006373BB" w:rsidP="009B4329">
      <w:pPr>
        <w:ind w:firstLine="708"/>
        <w:jc w:val="both"/>
        <w:rPr>
          <w:rFonts w:ascii="Times New Roman" w:eastAsia="Times New Roman" w:hAnsi="Times New Roman" w:cs="Times New Roman"/>
          <w:sz w:val="28"/>
          <w:szCs w:val="28"/>
        </w:rPr>
      </w:pPr>
      <w:r w:rsidRPr="00BF57BA">
        <w:rPr>
          <w:rFonts w:ascii="Times New Roman" w:hAnsi="Times New Roman" w:cs="Times New Roman"/>
          <w:noProof/>
          <w:sz w:val="28"/>
          <w:szCs w:val="28"/>
        </w:rPr>
        <w:drawing>
          <wp:anchor distT="0" distB="0" distL="114300" distR="114300" simplePos="0" relativeHeight="251694080" behindDoc="0" locked="0" layoutInCell="1" allowOverlap="1" wp14:anchorId="47B2DEC5" wp14:editId="0EAA3C3A">
            <wp:simplePos x="0" y="0"/>
            <wp:positionH relativeFrom="column">
              <wp:posOffset>1873250</wp:posOffset>
            </wp:positionH>
            <wp:positionV relativeFrom="paragraph">
              <wp:posOffset>1179830</wp:posOffset>
            </wp:positionV>
            <wp:extent cx="3065780" cy="1567180"/>
            <wp:effectExtent l="0" t="0" r="20320" b="13970"/>
            <wp:wrapTopAndBottom/>
            <wp:docPr id="2014885971" name="Діаграма 1">
              <a:extLst xmlns:a="http://schemas.openxmlformats.org/drawingml/2006/main">
                <a:ext uri="{FF2B5EF4-FFF2-40B4-BE49-F238E27FC236}">
                  <a16:creationId xmlns:a16="http://schemas.microsoft.com/office/drawing/2014/main" id="{7ADBCA5E-519C-0ED2-D113-DF6E375ADF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1624F8" w:rsidRPr="00BF57BA">
        <w:rPr>
          <w:rFonts w:ascii="Times New Roman" w:eastAsia="Times New Roman" w:hAnsi="Times New Roman" w:cs="Times New Roman"/>
          <w:sz w:val="28"/>
          <w:szCs w:val="28"/>
        </w:rPr>
        <w:t>Урожайність у ц/га за цей період коливалась від 69,8 до 98,4 ц/га. Показник урожайності у 2020 році досягнув найнижчого рівня — 20,2 ц/га, що є значним падінням. Це свідчить про наявність проблем у сільському господарстві Бельгії, таких як несприятливі погодні умови, технічні труднощі або економічні фактори, які могли призвести до зниження врожайності.</w:t>
      </w:r>
    </w:p>
    <w:p w14:paraId="3FA4975F" w14:textId="1415AB2C" w:rsidR="00895CAD" w:rsidRDefault="00895CAD" w:rsidP="006373BB">
      <w:pPr>
        <w:ind w:firstLine="708"/>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Рис.7 </w:t>
      </w:r>
      <w:proofErr w:type="spellStart"/>
      <w:r w:rsidR="00947AAE">
        <w:rPr>
          <w:rFonts w:ascii="Times New Roman" w:eastAsia="Times New Roman" w:hAnsi="Times New Roman" w:cs="Times New Roman"/>
          <w:sz w:val="28"/>
          <w:szCs w:val="28"/>
          <w:lang w:val="en-US"/>
        </w:rPr>
        <w:t>Обсяг</w:t>
      </w:r>
      <w:proofErr w:type="spellEnd"/>
      <w:r w:rsidR="00947AAE">
        <w:rPr>
          <w:rFonts w:ascii="Times New Roman" w:eastAsia="Times New Roman" w:hAnsi="Times New Roman" w:cs="Times New Roman"/>
          <w:sz w:val="28"/>
          <w:szCs w:val="28"/>
          <w:lang w:val="en-US"/>
        </w:rPr>
        <w:t xml:space="preserve"> </w:t>
      </w:r>
      <w:proofErr w:type="spellStart"/>
      <w:r w:rsidR="00947AAE">
        <w:rPr>
          <w:rFonts w:ascii="Times New Roman" w:eastAsia="Times New Roman" w:hAnsi="Times New Roman" w:cs="Times New Roman"/>
          <w:sz w:val="28"/>
          <w:szCs w:val="28"/>
          <w:lang w:val="en-US"/>
        </w:rPr>
        <w:t>будівництва</w:t>
      </w:r>
      <w:proofErr w:type="spellEnd"/>
    </w:p>
    <w:p w14:paraId="1631D3C4" w14:textId="4466AF81" w:rsidR="005704C5" w:rsidRPr="005704C5" w:rsidRDefault="005704C5" w:rsidP="005704C5">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Джерело: розроблене автором на основі (1)</w:t>
      </w:r>
    </w:p>
    <w:p w14:paraId="7695C8D7" w14:textId="1F314158" w:rsidR="00B100F1" w:rsidRPr="00BF57BA" w:rsidRDefault="00AC655F" w:rsidP="00AC655F">
      <w:pPr>
        <w:ind w:firstLine="708"/>
        <w:jc w:val="center"/>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Зовнішньоекономічна безпека</w:t>
      </w:r>
    </w:p>
    <w:p w14:paraId="2646465C" w14:textId="26B13047" w:rsidR="00444A26" w:rsidRPr="00BF57BA" w:rsidRDefault="00444A26" w:rsidP="00AC655F">
      <w:pPr>
        <w:ind w:firstLine="708"/>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 xml:space="preserve">Покриття експорту імпорту  </w:t>
      </w:r>
    </w:p>
    <w:p w14:paraId="68B038A6" w14:textId="6FEF6AB8" w:rsidR="004F551D" w:rsidRPr="00BF57BA" w:rsidRDefault="00444A26" w:rsidP="004F551D">
      <w:pPr>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 xml:space="preserve">Показник покриття експорту імпорту, що вимірюється як відношення експорту до імпорту, показує здатність країни підтримувати економічну рівновагу у зовнішній торгівлі. Для Бельгії цей показник стабільно тримався в межах оптимального значення від 1 до 1,2, що є індикатором здорової зовнішньоекономічної діяльності. В середньому він становить 1,01 за період з 2013 по 2023 рік. Незначне зниження цього показника у 2022 та 2023 роках (0,98 і 0,99 відповідно) можна пояснити впливом економічних потрясінь і глобальних змін на світових ринках. Зменшення показника нижче 1 може свідчити про </w:t>
      </w:r>
      <w:r w:rsidRPr="00BF57BA">
        <w:rPr>
          <w:rFonts w:ascii="Times New Roman" w:eastAsia="Times New Roman" w:hAnsi="Times New Roman" w:cs="Times New Roman"/>
          <w:sz w:val="28"/>
          <w:szCs w:val="28"/>
        </w:rPr>
        <w:lastRenderedPageBreak/>
        <w:t>зростаючі проблеми з балансом зовнішньої торгівлі, але в межах допустимих коливань для Бельгії.</w:t>
      </w:r>
    </w:p>
    <w:p w14:paraId="117D0E20" w14:textId="1B034D11" w:rsidR="00444A26" w:rsidRPr="00BF57BA" w:rsidRDefault="00444A26" w:rsidP="00B100F1">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 xml:space="preserve">Експорт та імпорт як частка ВВП  </w:t>
      </w:r>
    </w:p>
    <w:p w14:paraId="0593A883" w14:textId="77777777" w:rsidR="00444A26" w:rsidRPr="00BF57BA" w:rsidRDefault="00444A26" w:rsidP="00CB21EF">
      <w:pPr>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Експорт Бельгії у 2023 році становив 86,68% ВВП, що є високим показником, хоча і дещо нижчим за 2022 рік (95,7%). Імпорт в 2023 році також залишався високим — 87,61% ВВП, що відображає високий рівень інтеграції країни у глобальну економіку. Високі показники імпорту та експорту можуть вказувати на значну залежність економіки від зовнішньої торгівлі, що в свою чергу підвищує вразливість до коливань світових ринків.</w:t>
      </w:r>
    </w:p>
    <w:p w14:paraId="7D6BF1F7" w14:textId="2334645B" w:rsidR="00444A26" w:rsidRPr="00BF57BA" w:rsidRDefault="00444A26" w:rsidP="00B100F1">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 xml:space="preserve">Відкриття економіки  </w:t>
      </w:r>
    </w:p>
    <w:p w14:paraId="312E99A0" w14:textId="77777777" w:rsidR="00444A26" w:rsidRPr="00BF57BA" w:rsidRDefault="00444A26" w:rsidP="00CB21EF">
      <w:pPr>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Показник відкриття економіки (сума експорту та імпорту як частка ВВП) для Бельгії демонструє тенденцію до зростання впродовж останніх років. У 2023 році цей показник досяг 54%, що є високим рівнем відкритості і свідчить про інтеграцію Бельгії у глобальну економіку. Однак цей тренд може мати дві сторони. З одного боку, висока відкритість сприяє залученню інвестицій та розвитку економіки, з іншого — робить країну вразливою до змін у зовнішньоекономічних умовах, таких як коливання світових цін на сировину чи зміни у міжнародній політиці.</w:t>
      </w:r>
    </w:p>
    <w:p w14:paraId="19A0A6B7" w14:textId="06252064" w:rsidR="00444A26" w:rsidRPr="00BF57BA" w:rsidRDefault="00444A26" w:rsidP="00B100F1">
      <w:pPr>
        <w:ind w:firstLine="708"/>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 xml:space="preserve">Аналіз тенденцій  </w:t>
      </w:r>
    </w:p>
    <w:p w14:paraId="432889AE" w14:textId="77777777" w:rsidR="00444A26" w:rsidRPr="00BF57BA" w:rsidRDefault="00444A26" w:rsidP="00CB21EF">
      <w:pPr>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 Тенденція до зростання: Відкриття економіки показує висхідний тренд, зокрема з 2019 року, коли показник сягнув 44,1%, і досягнув 54% у 2023 році. Це свідчить про нарощування ролі зовнішньої торгівлі у розвитку економіки Бельгії.</w:t>
      </w:r>
    </w:p>
    <w:p w14:paraId="0536B1D4" w14:textId="3336ADD5" w:rsidR="00444A26" w:rsidRPr="00BF57BA" w:rsidRDefault="006373BB" w:rsidP="00CB21EF">
      <w:pPr>
        <w:jc w:val="both"/>
        <w:rPr>
          <w:rFonts w:ascii="Times New Roman" w:eastAsia="Times New Roman" w:hAnsi="Times New Roman" w:cs="Times New Roman"/>
          <w:sz w:val="28"/>
          <w:szCs w:val="28"/>
        </w:rPr>
      </w:pPr>
      <w:r w:rsidRPr="00BF57BA">
        <w:rPr>
          <w:rFonts w:ascii="Times New Roman" w:hAnsi="Times New Roman" w:cs="Times New Roman"/>
          <w:noProof/>
          <w:sz w:val="28"/>
          <w:szCs w:val="28"/>
        </w:rPr>
        <w:drawing>
          <wp:anchor distT="0" distB="0" distL="114300" distR="114300" simplePos="0" relativeHeight="251681792" behindDoc="0" locked="0" layoutInCell="1" allowOverlap="1" wp14:anchorId="63C083C7" wp14:editId="7AA4C749">
            <wp:simplePos x="0" y="0"/>
            <wp:positionH relativeFrom="column">
              <wp:posOffset>1408430</wp:posOffset>
            </wp:positionH>
            <wp:positionV relativeFrom="paragraph">
              <wp:posOffset>734060</wp:posOffset>
            </wp:positionV>
            <wp:extent cx="3588385" cy="1897380"/>
            <wp:effectExtent l="0" t="0" r="12065" b="26670"/>
            <wp:wrapTopAndBottom/>
            <wp:docPr id="974159565" name="Діаграма 1">
              <a:extLst xmlns:a="http://schemas.openxmlformats.org/drawingml/2006/main">
                <a:ext uri="{FF2B5EF4-FFF2-40B4-BE49-F238E27FC236}">
                  <a16:creationId xmlns:a16="http://schemas.microsoft.com/office/drawing/2014/main" id="{B8941795-7175-1D46-AA46-B3D119B34F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444A26" w:rsidRPr="00BF57BA">
        <w:rPr>
          <w:rFonts w:ascii="Times New Roman" w:eastAsia="Times New Roman" w:hAnsi="Times New Roman" w:cs="Times New Roman"/>
          <w:sz w:val="28"/>
          <w:szCs w:val="28"/>
        </w:rPr>
        <w:t>- Тенденція до спадання: Показник покриття експорту імпорту має незначну тенденцію до зменшення в останні роки, що може бути ознакою можливих проблем у зовнішній торгівлі та балансі між експортними і імпортними потоками.</w:t>
      </w:r>
    </w:p>
    <w:p w14:paraId="1E50CEC9" w14:textId="4C42A166" w:rsidR="00444A26" w:rsidRDefault="00947AAE" w:rsidP="006373BB">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Рис.8 </w:t>
      </w:r>
      <w:proofErr w:type="spellStart"/>
      <w:r w:rsidR="001C574A">
        <w:rPr>
          <w:rFonts w:ascii="Times New Roman" w:eastAsia="Times New Roman" w:hAnsi="Times New Roman" w:cs="Times New Roman"/>
          <w:sz w:val="28"/>
          <w:szCs w:val="28"/>
          <w:lang w:val="en-US"/>
        </w:rPr>
        <w:t>Покриття</w:t>
      </w:r>
      <w:proofErr w:type="spellEnd"/>
      <w:r w:rsidR="001C574A">
        <w:rPr>
          <w:rFonts w:ascii="Times New Roman" w:eastAsia="Times New Roman" w:hAnsi="Times New Roman" w:cs="Times New Roman"/>
          <w:sz w:val="28"/>
          <w:szCs w:val="28"/>
          <w:lang w:val="en-US"/>
        </w:rPr>
        <w:t xml:space="preserve"> </w:t>
      </w:r>
      <w:proofErr w:type="spellStart"/>
      <w:r w:rsidR="001C574A">
        <w:rPr>
          <w:rFonts w:ascii="Times New Roman" w:eastAsia="Times New Roman" w:hAnsi="Times New Roman" w:cs="Times New Roman"/>
          <w:sz w:val="28"/>
          <w:szCs w:val="28"/>
          <w:lang w:val="en-US"/>
        </w:rPr>
        <w:t>експортом</w:t>
      </w:r>
      <w:proofErr w:type="spellEnd"/>
      <w:r w:rsidR="001C574A">
        <w:rPr>
          <w:rFonts w:ascii="Times New Roman" w:eastAsia="Times New Roman" w:hAnsi="Times New Roman" w:cs="Times New Roman"/>
          <w:sz w:val="28"/>
          <w:szCs w:val="28"/>
          <w:lang w:val="en-US"/>
        </w:rPr>
        <w:t xml:space="preserve"> </w:t>
      </w:r>
      <w:proofErr w:type="spellStart"/>
      <w:r w:rsidR="001C574A">
        <w:rPr>
          <w:rFonts w:ascii="Times New Roman" w:eastAsia="Times New Roman" w:hAnsi="Times New Roman" w:cs="Times New Roman"/>
          <w:sz w:val="28"/>
          <w:szCs w:val="28"/>
          <w:lang w:val="en-US"/>
        </w:rPr>
        <w:t>імпорту</w:t>
      </w:r>
      <w:proofErr w:type="spellEnd"/>
      <w:r w:rsidR="001C574A">
        <w:rPr>
          <w:rFonts w:ascii="Times New Roman" w:eastAsia="Times New Roman" w:hAnsi="Times New Roman" w:cs="Times New Roman"/>
          <w:sz w:val="28"/>
          <w:szCs w:val="28"/>
          <w:lang w:val="en-US"/>
        </w:rPr>
        <w:t xml:space="preserve">, </w:t>
      </w:r>
      <w:proofErr w:type="spellStart"/>
      <w:r w:rsidR="001C574A">
        <w:rPr>
          <w:rFonts w:ascii="Times New Roman" w:eastAsia="Times New Roman" w:hAnsi="Times New Roman" w:cs="Times New Roman"/>
          <w:sz w:val="28"/>
          <w:szCs w:val="28"/>
          <w:lang w:val="en-US"/>
        </w:rPr>
        <w:t>разів</w:t>
      </w:r>
      <w:proofErr w:type="spellEnd"/>
    </w:p>
    <w:p w14:paraId="537031B0" w14:textId="7DFE73CA" w:rsidR="005704C5" w:rsidRPr="005704C5" w:rsidRDefault="005704C5" w:rsidP="005704C5">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Джерело: розроблене автором на основі (1)</w:t>
      </w:r>
    </w:p>
    <w:p w14:paraId="4CE53D21" w14:textId="15F70A84" w:rsidR="006B5256" w:rsidRPr="00BF57BA" w:rsidRDefault="006B5256" w:rsidP="006B5256">
      <w:pPr>
        <w:jc w:val="center"/>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Демографічна безпека</w:t>
      </w:r>
    </w:p>
    <w:p w14:paraId="1166F01C" w14:textId="37C38AA5" w:rsidR="006B5256" w:rsidRPr="00BF57BA" w:rsidRDefault="006B5256" w:rsidP="006B5256">
      <w:pPr>
        <w:pStyle w:val="a9"/>
        <w:numPr>
          <w:ilvl w:val="0"/>
          <w:numId w:val="5"/>
        </w:numPr>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lastRenderedPageBreak/>
        <w:t xml:space="preserve">Очікувана тривалість життя  </w:t>
      </w:r>
    </w:p>
    <w:p w14:paraId="5F6DADA6" w14:textId="77777777" w:rsidR="006373BB" w:rsidRDefault="004A1DA5" w:rsidP="00CB21EF">
      <w:pPr>
        <w:jc w:val="both"/>
        <w:rPr>
          <w:rFonts w:ascii="Times New Roman" w:eastAsia="Times New Roman" w:hAnsi="Times New Roman" w:cs="Times New Roman"/>
          <w:sz w:val="28"/>
          <w:szCs w:val="28"/>
          <w:lang w:val="en-US"/>
        </w:rPr>
      </w:pPr>
      <w:r w:rsidRPr="00BF57BA">
        <w:rPr>
          <w:noProof/>
        </w:rPr>
        <w:drawing>
          <wp:anchor distT="0" distB="0" distL="114300" distR="114300" simplePos="0" relativeHeight="251696128" behindDoc="0" locked="0" layoutInCell="1" allowOverlap="1" wp14:anchorId="128CA6A3" wp14:editId="0A7011B3">
            <wp:simplePos x="0" y="0"/>
            <wp:positionH relativeFrom="column">
              <wp:posOffset>1077595</wp:posOffset>
            </wp:positionH>
            <wp:positionV relativeFrom="paragraph">
              <wp:posOffset>499110</wp:posOffset>
            </wp:positionV>
            <wp:extent cx="3380740" cy="1651635"/>
            <wp:effectExtent l="0" t="0" r="10160" b="24765"/>
            <wp:wrapTopAndBottom/>
            <wp:docPr id="768183169" name="Діаграма 1">
              <a:extLst xmlns:a="http://schemas.openxmlformats.org/drawingml/2006/main">
                <a:ext uri="{FF2B5EF4-FFF2-40B4-BE49-F238E27FC236}">
                  <a16:creationId xmlns:a16="http://schemas.microsoft.com/office/drawing/2014/main" id="{67A829CE-4526-E423-3730-AAA426A295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6B5256" w:rsidRPr="00BF57BA">
        <w:rPr>
          <w:rFonts w:ascii="Times New Roman" w:eastAsia="Times New Roman" w:hAnsi="Times New Roman" w:cs="Times New Roman"/>
          <w:sz w:val="28"/>
          <w:szCs w:val="28"/>
        </w:rPr>
        <w:t xml:space="preserve">   Протягом 2013-2022 років спостерігається стійке зростання очікуваної тривалості життя в Бельгії. У 2013 році цей показник становив 80,59 років, а до </w:t>
      </w:r>
    </w:p>
    <w:p w14:paraId="0BEAD097" w14:textId="4A50DB6A" w:rsidR="006373BB" w:rsidRDefault="006373BB" w:rsidP="006373BB">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Рис.9 </w:t>
      </w:r>
      <w:proofErr w:type="spellStart"/>
      <w:r>
        <w:rPr>
          <w:rFonts w:ascii="Times New Roman" w:eastAsia="Times New Roman" w:hAnsi="Times New Roman" w:cs="Times New Roman"/>
          <w:sz w:val="28"/>
          <w:szCs w:val="28"/>
          <w:lang w:val="en-US"/>
        </w:rPr>
        <w:t>Очікувана</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тривалість</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життя</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років</w:t>
      </w:r>
      <w:proofErr w:type="spellEnd"/>
    </w:p>
    <w:p w14:paraId="7881226A" w14:textId="512A54AA" w:rsidR="005704C5" w:rsidRPr="005704C5" w:rsidRDefault="005704C5" w:rsidP="005704C5">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Джерело: розроблене автором на основі (1)</w:t>
      </w:r>
    </w:p>
    <w:p w14:paraId="04CE7B88" w14:textId="1AFE51F1" w:rsidR="006B5256" w:rsidRPr="006373BB" w:rsidRDefault="006B5256" w:rsidP="00CB21EF">
      <w:pPr>
        <w:jc w:val="both"/>
        <w:rPr>
          <w:rFonts w:ascii="Times New Roman" w:eastAsia="Times New Roman" w:hAnsi="Times New Roman" w:cs="Times New Roman"/>
          <w:sz w:val="28"/>
          <w:szCs w:val="28"/>
          <w:lang w:val="en-US"/>
        </w:rPr>
      </w:pPr>
      <w:r w:rsidRPr="00BF57BA">
        <w:rPr>
          <w:rFonts w:ascii="Times New Roman" w:eastAsia="Times New Roman" w:hAnsi="Times New Roman" w:cs="Times New Roman"/>
          <w:sz w:val="28"/>
          <w:szCs w:val="28"/>
        </w:rPr>
        <w:t>2022 року він досяг 81,70 років. Середнє значення за весь період склало 81,36 років. Це свідчить про покращення загального стану здоров’я населення та ефективність медичних і соціальних програм.</w:t>
      </w:r>
    </w:p>
    <w:p w14:paraId="0065D62B" w14:textId="78E1473F" w:rsidR="006B5256" w:rsidRPr="00BF57BA" w:rsidRDefault="006B5256" w:rsidP="006B5256">
      <w:pPr>
        <w:pStyle w:val="a9"/>
        <w:numPr>
          <w:ilvl w:val="0"/>
          <w:numId w:val="5"/>
        </w:numPr>
        <w:jc w:val="both"/>
        <w:rPr>
          <w:rFonts w:ascii="Times New Roman" w:eastAsia="Times New Roman" w:hAnsi="Times New Roman" w:cs="Times New Roman"/>
          <w:sz w:val="28"/>
          <w:szCs w:val="28"/>
        </w:rPr>
      </w:pPr>
      <w:r w:rsidRPr="00BF57BA">
        <w:rPr>
          <w:rFonts w:ascii="Times New Roman" w:eastAsia="Times New Roman" w:hAnsi="Times New Roman" w:cs="Times New Roman"/>
          <w:sz w:val="28"/>
          <w:szCs w:val="28"/>
        </w:rPr>
        <w:t xml:space="preserve">Дитяча смертність  </w:t>
      </w:r>
    </w:p>
    <w:p w14:paraId="07788D16" w14:textId="2BA94A4E" w:rsidR="00C2700F" w:rsidRPr="0090495A" w:rsidRDefault="006B5256" w:rsidP="0097335E">
      <w:pPr>
        <w:jc w:val="both"/>
        <w:rPr>
          <w:rFonts w:ascii="Times New Roman" w:eastAsia="Times New Roman" w:hAnsi="Times New Roman" w:cs="Times New Roman"/>
          <w:sz w:val="28"/>
          <w:szCs w:val="28"/>
          <w:lang w:val="en-US"/>
        </w:rPr>
      </w:pPr>
      <w:r w:rsidRPr="00BF57BA">
        <w:rPr>
          <w:rFonts w:ascii="Times New Roman" w:eastAsia="Times New Roman" w:hAnsi="Times New Roman" w:cs="Times New Roman"/>
          <w:sz w:val="28"/>
          <w:szCs w:val="28"/>
        </w:rPr>
        <w:t xml:space="preserve">   Дитяча смертність в Бельгії демонструє позитивну тенденцію до зниження. У 2013 році на 1 тис. Народжень припадало 3,5 випадків дитячої смертності, а до 2022 року цей показник зменшився до 3,1. Середнє значення за період становить 3,3. </w:t>
      </w:r>
    </w:p>
    <w:p w14:paraId="5BF7FC45" w14:textId="77777777" w:rsidR="005704C5" w:rsidRDefault="005704C5" w:rsidP="00FE0C19">
      <w:pPr>
        <w:jc w:val="center"/>
        <w:rPr>
          <w:rFonts w:ascii="Times New Roman" w:eastAsia="Times New Roman" w:hAnsi="Times New Roman" w:cs="Times New Roman"/>
          <w:b/>
          <w:bCs/>
          <w:sz w:val="28"/>
          <w:szCs w:val="28"/>
          <w:lang w:val="en-US"/>
        </w:rPr>
      </w:pPr>
    </w:p>
    <w:p w14:paraId="34E9C605" w14:textId="77777777" w:rsidR="005704C5" w:rsidRDefault="005704C5" w:rsidP="00FE0C19">
      <w:pPr>
        <w:jc w:val="center"/>
        <w:rPr>
          <w:rFonts w:ascii="Times New Roman" w:eastAsia="Times New Roman" w:hAnsi="Times New Roman" w:cs="Times New Roman"/>
          <w:b/>
          <w:bCs/>
          <w:sz w:val="28"/>
          <w:szCs w:val="28"/>
          <w:lang w:val="en-US"/>
        </w:rPr>
      </w:pPr>
    </w:p>
    <w:p w14:paraId="4F4AD7EE" w14:textId="77777777" w:rsidR="005704C5" w:rsidRDefault="005704C5" w:rsidP="00FE0C19">
      <w:pPr>
        <w:jc w:val="center"/>
        <w:rPr>
          <w:rFonts w:ascii="Times New Roman" w:eastAsia="Times New Roman" w:hAnsi="Times New Roman" w:cs="Times New Roman"/>
          <w:b/>
          <w:bCs/>
          <w:sz w:val="28"/>
          <w:szCs w:val="28"/>
          <w:lang w:val="en-US"/>
        </w:rPr>
      </w:pPr>
    </w:p>
    <w:p w14:paraId="19AEAB94" w14:textId="77777777" w:rsidR="005704C5" w:rsidRDefault="005704C5" w:rsidP="00FE0C19">
      <w:pPr>
        <w:jc w:val="center"/>
        <w:rPr>
          <w:rFonts w:ascii="Times New Roman" w:eastAsia="Times New Roman" w:hAnsi="Times New Roman" w:cs="Times New Roman"/>
          <w:b/>
          <w:bCs/>
          <w:sz w:val="28"/>
          <w:szCs w:val="28"/>
          <w:lang w:val="en-US"/>
        </w:rPr>
      </w:pPr>
    </w:p>
    <w:p w14:paraId="5BBE2BD3" w14:textId="77777777" w:rsidR="005704C5" w:rsidRDefault="005704C5" w:rsidP="00FE0C19">
      <w:pPr>
        <w:jc w:val="center"/>
        <w:rPr>
          <w:rFonts w:ascii="Times New Roman" w:eastAsia="Times New Roman" w:hAnsi="Times New Roman" w:cs="Times New Roman"/>
          <w:b/>
          <w:bCs/>
          <w:sz w:val="28"/>
          <w:szCs w:val="28"/>
          <w:lang w:val="en-US"/>
        </w:rPr>
      </w:pPr>
    </w:p>
    <w:p w14:paraId="1BD1D8A6" w14:textId="77777777" w:rsidR="005704C5" w:rsidRDefault="005704C5" w:rsidP="00FE0C19">
      <w:pPr>
        <w:jc w:val="center"/>
        <w:rPr>
          <w:rFonts w:ascii="Times New Roman" w:eastAsia="Times New Roman" w:hAnsi="Times New Roman" w:cs="Times New Roman"/>
          <w:b/>
          <w:bCs/>
          <w:sz w:val="28"/>
          <w:szCs w:val="28"/>
          <w:lang w:val="en-US"/>
        </w:rPr>
      </w:pPr>
    </w:p>
    <w:p w14:paraId="79987569" w14:textId="77777777" w:rsidR="005704C5" w:rsidRDefault="005704C5" w:rsidP="00FE0C19">
      <w:pPr>
        <w:jc w:val="center"/>
        <w:rPr>
          <w:rFonts w:ascii="Times New Roman" w:eastAsia="Times New Roman" w:hAnsi="Times New Roman" w:cs="Times New Roman"/>
          <w:b/>
          <w:bCs/>
          <w:sz w:val="28"/>
          <w:szCs w:val="28"/>
          <w:lang w:val="en-US"/>
        </w:rPr>
      </w:pPr>
    </w:p>
    <w:p w14:paraId="0756F5D0" w14:textId="77777777" w:rsidR="005704C5" w:rsidRDefault="005704C5" w:rsidP="00FE0C19">
      <w:pPr>
        <w:jc w:val="center"/>
        <w:rPr>
          <w:rFonts w:ascii="Times New Roman" w:eastAsia="Times New Roman" w:hAnsi="Times New Roman" w:cs="Times New Roman"/>
          <w:b/>
          <w:bCs/>
          <w:sz w:val="28"/>
          <w:szCs w:val="28"/>
          <w:lang w:val="en-US"/>
        </w:rPr>
      </w:pPr>
    </w:p>
    <w:p w14:paraId="3C6566A5" w14:textId="77777777" w:rsidR="005704C5" w:rsidRDefault="005704C5" w:rsidP="00FE0C19">
      <w:pPr>
        <w:jc w:val="center"/>
        <w:rPr>
          <w:rFonts w:ascii="Times New Roman" w:eastAsia="Times New Roman" w:hAnsi="Times New Roman" w:cs="Times New Roman"/>
          <w:b/>
          <w:bCs/>
          <w:sz w:val="28"/>
          <w:szCs w:val="28"/>
          <w:lang w:val="en-US"/>
        </w:rPr>
      </w:pPr>
    </w:p>
    <w:p w14:paraId="6BE7BA56" w14:textId="77777777" w:rsidR="005704C5" w:rsidRDefault="005704C5" w:rsidP="00FE0C19">
      <w:pPr>
        <w:jc w:val="center"/>
        <w:rPr>
          <w:rFonts w:ascii="Times New Roman" w:eastAsia="Times New Roman" w:hAnsi="Times New Roman" w:cs="Times New Roman"/>
          <w:b/>
          <w:bCs/>
          <w:sz w:val="28"/>
          <w:szCs w:val="28"/>
          <w:lang w:val="en-US"/>
        </w:rPr>
      </w:pPr>
    </w:p>
    <w:p w14:paraId="5D3596B3" w14:textId="77777777" w:rsidR="005704C5" w:rsidRDefault="005704C5" w:rsidP="00FE0C19">
      <w:pPr>
        <w:jc w:val="center"/>
        <w:rPr>
          <w:rFonts w:ascii="Times New Roman" w:eastAsia="Times New Roman" w:hAnsi="Times New Roman" w:cs="Times New Roman"/>
          <w:b/>
          <w:bCs/>
          <w:sz w:val="28"/>
          <w:szCs w:val="28"/>
          <w:lang w:val="en-US"/>
        </w:rPr>
      </w:pPr>
    </w:p>
    <w:p w14:paraId="05AB2FEB" w14:textId="77777777" w:rsidR="005704C5" w:rsidRDefault="005704C5" w:rsidP="00FE0C19">
      <w:pPr>
        <w:jc w:val="center"/>
        <w:rPr>
          <w:rFonts w:ascii="Times New Roman" w:eastAsia="Times New Roman" w:hAnsi="Times New Roman" w:cs="Times New Roman"/>
          <w:b/>
          <w:bCs/>
          <w:sz w:val="28"/>
          <w:szCs w:val="28"/>
          <w:lang w:val="en-US"/>
        </w:rPr>
      </w:pPr>
    </w:p>
    <w:p w14:paraId="36C92E94" w14:textId="6BE32FBC" w:rsidR="00C2700F" w:rsidRPr="00FE0C19" w:rsidRDefault="003A7405" w:rsidP="00FE0C19">
      <w:pPr>
        <w:jc w:val="center"/>
        <w:rPr>
          <w:rFonts w:ascii="Times New Roman" w:eastAsia="Times New Roman" w:hAnsi="Times New Roman" w:cs="Times New Roman"/>
          <w:b/>
          <w:bCs/>
          <w:sz w:val="28"/>
          <w:szCs w:val="28"/>
        </w:rPr>
      </w:pPr>
      <w:r w:rsidRPr="00FE0C19">
        <w:rPr>
          <w:rFonts w:ascii="Times New Roman" w:eastAsia="Times New Roman" w:hAnsi="Times New Roman" w:cs="Times New Roman"/>
          <w:b/>
          <w:bCs/>
          <w:sz w:val="28"/>
          <w:szCs w:val="28"/>
        </w:rPr>
        <w:lastRenderedPageBreak/>
        <w:t>5 Найбільш загроз для країни</w:t>
      </w:r>
    </w:p>
    <w:p w14:paraId="5F0CB656" w14:textId="77777777" w:rsidR="00C2700F" w:rsidRPr="00BF57BA" w:rsidRDefault="00C2700F" w:rsidP="0097335E">
      <w:pPr>
        <w:jc w:val="both"/>
        <w:rPr>
          <w:rFonts w:ascii="Times New Roman" w:eastAsia="Times New Roman" w:hAnsi="Times New Roman" w:cs="Times New Roman"/>
          <w:sz w:val="28"/>
          <w:szCs w:val="28"/>
        </w:rPr>
      </w:pPr>
    </w:p>
    <w:p w14:paraId="07CA82D6" w14:textId="77777777" w:rsidR="004A6004" w:rsidRPr="004A6004" w:rsidRDefault="004A6004" w:rsidP="004A6004">
      <w:pPr>
        <w:pStyle w:val="a9"/>
        <w:numPr>
          <w:ilvl w:val="0"/>
          <w:numId w:val="6"/>
        </w:numPr>
        <w:jc w:val="both"/>
        <w:rPr>
          <w:rFonts w:ascii="Times New Roman" w:eastAsia="Times New Roman" w:hAnsi="Times New Roman" w:cs="Times New Roman"/>
          <w:sz w:val="28"/>
          <w:szCs w:val="28"/>
        </w:rPr>
      </w:pPr>
      <w:r w:rsidRPr="004A6004">
        <w:rPr>
          <w:rFonts w:ascii="Times New Roman" w:eastAsia="Times New Roman" w:hAnsi="Times New Roman" w:cs="Times New Roman"/>
          <w:sz w:val="28"/>
          <w:szCs w:val="28"/>
        </w:rPr>
        <w:t>Частка похилого віку</w:t>
      </w:r>
    </w:p>
    <w:p w14:paraId="7CCF2D26" w14:textId="6C442994" w:rsidR="004A6004" w:rsidRDefault="004A6004" w:rsidP="004A6004">
      <w:pPr>
        <w:pStyle w:val="a9"/>
        <w:jc w:val="both"/>
        <w:rPr>
          <w:rFonts w:ascii="Times New Roman" w:eastAsia="Times New Roman" w:hAnsi="Times New Roman" w:cs="Times New Roman"/>
          <w:sz w:val="28"/>
          <w:szCs w:val="28"/>
        </w:rPr>
      </w:pPr>
      <w:r w:rsidRPr="004A6004">
        <w:rPr>
          <w:rFonts w:ascii="Times New Roman" w:eastAsia="Times New Roman" w:hAnsi="Times New Roman" w:cs="Times New Roman"/>
          <w:sz w:val="28"/>
          <w:szCs w:val="28"/>
        </w:rPr>
        <w:t>В Бельгії зросла з 17,8% у 2013 році до 19,7% у 2022 році. Це є важливим індикатором старіння населення, що може створювати додаткове навантаження на економічну систему, зокрема на пенсійну систему, медичні послуги та соціальне забезпечення.</w:t>
      </w:r>
    </w:p>
    <w:p w14:paraId="16997213" w14:textId="77777777" w:rsidR="004A6004" w:rsidRDefault="004A6004" w:rsidP="004A6004">
      <w:pPr>
        <w:pStyle w:val="a9"/>
        <w:jc w:val="both"/>
        <w:rPr>
          <w:rFonts w:ascii="Times New Roman" w:eastAsia="Times New Roman" w:hAnsi="Times New Roman" w:cs="Times New Roman"/>
          <w:sz w:val="28"/>
          <w:szCs w:val="28"/>
        </w:rPr>
      </w:pPr>
    </w:p>
    <w:p w14:paraId="330408FC" w14:textId="77777777" w:rsidR="004A6004" w:rsidRPr="004A6004" w:rsidRDefault="004A6004" w:rsidP="004A6004">
      <w:pPr>
        <w:pStyle w:val="a9"/>
        <w:numPr>
          <w:ilvl w:val="0"/>
          <w:numId w:val="6"/>
        </w:numPr>
        <w:jc w:val="both"/>
        <w:rPr>
          <w:rFonts w:ascii="Times New Roman" w:eastAsia="Times New Roman" w:hAnsi="Times New Roman" w:cs="Times New Roman"/>
          <w:sz w:val="28"/>
          <w:szCs w:val="28"/>
        </w:rPr>
      </w:pPr>
      <w:r w:rsidRPr="004A6004">
        <w:rPr>
          <w:rFonts w:ascii="Times New Roman" w:eastAsia="Times New Roman" w:hAnsi="Times New Roman" w:cs="Times New Roman"/>
          <w:sz w:val="28"/>
          <w:szCs w:val="28"/>
        </w:rPr>
        <w:t xml:space="preserve">Зростання соціальної нерівності </w:t>
      </w:r>
    </w:p>
    <w:p w14:paraId="3CD980E4" w14:textId="77777777" w:rsidR="004A6004" w:rsidRPr="004A6004" w:rsidRDefault="004A6004" w:rsidP="004A6004">
      <w:pPr>
        <w:pStyle w:val="a9"/>
        <w:jc w:val="both"/>
        <w:rPr>
          <w:rFonts w:ascii="Times New Roman" w:eastAsia="Times New Roman" w:hAnsi="Times New Roman" w:cs="Times New Roman"/>
          <w:sz w:val="28"/>
          <w:szCs w:val="28"/>
        </w:rPr>
      </w:pPr>
      <w:r w:rsidRPr="004A6004">
        <w:rPr>
          <w:rFonts w:ascii="Times New Roman" w:eastAsia="Times New Roman" w:hAnsi="Times New Roman" w:cs="Times New Roman"/>
          <w:sz w:val="28"/>
          <w:szCs w:val="28"/>
        </w:rPr>
        <w:t xml:space="preserve">Незважаючи на незначне зниження співвідношення доходів між найбагатшими та найбіднішими верствами населення, рівень економічної нерівності в країні залишається високим. Це може призвести до соціальних </w:t>
      </w:r>
      <w:proofErr w:type="spellStart"/>
      <w:r w:rsidRPr="004A6004">
        <w:rPr>
          <w:rFonts w:ascii="Times New Roman" w:eastAsia="Times New Roman" w:hAnsi="Times New Roman" w:cs="Times New Roman"/>
          <w:sz w:val="28"/>
          <w:szCs w:val="28"/>
        </w:rPr>
        <w:t>напруг</w:t>
      </w:r>
      <w:proofErr w:type="spellEnd"/>
      <w:r w:rsidRPr="004A6004">
        <w:rPr>
          <w:rFonts w:ascii="Times New Roman" w:eastAsia="Times New Roman" w:hAnsi="Times New Roman" w:cs="Times New Roman"/>
          <w:sz w:val="28"/>
          <w:szCs w:val="28"/>
        </w:rPr>
        <w:t xml:space="preserve"> і політичної нестабільності, що загрожує економічному розвитку та стабільності.</w:t>
      </w:r>
    </w:p>
    <w:p w14:paraId="7F328065" w14:textId="77777777" w:rsidR="004A6004" w:rsidRDefault="004A6004" w:rsidP="0097335E">
      <w:pPr>
        <w:jc w:val="both"/>
        <w:rPr>
          <w:rFonts w:ascii="Times New Roman" w:eastAsia="Times New Roman" w:hAnsi="Times New Roman" w:cs="Times New Roman"/>
          <w:sz w:val="28"/>
          <w:szCs w:val="28"/>
        </w:rPr>
      </w:pPr>
    </w:p>
    <w:p w14:paraId="4F748D2A" w14:textId="77777777" w:rsidR="004A6004" w:rsidRPr="004A6004" w:rsidRDefault="004A6004" w:rsidP="004A6004">
      <w:pPr>
        <w:pStyle w:val="a9"/>
        <w:numPr>
          <w:ilvl w:val="0"/>
          <w:numId w:val="6"/>
        </w:numPr>
        <w:jc w:val="both"/>
        <w:rPr>
          <w:rFonts w:ascii="Times New Roman" w:eastAsia="Times New Roman" w:hAnsi="Times New Roman" w:cs="Times New Roman"/>
          <w:sz w:val="28"/>
          <w:szCs w:val="28"/>
        </w:rPr>
      </w:pPr>
      <w:r w:rsidRPr="004A6004">
        <w:rPr>
          <w:rFonts w:ascii="Times New Roman" w:eastAsia="Times New Roman" w:hAnsi="Times New Roman" w:cs="Times New Roman"/>
          <w:sz w:val="28"/>
          <w:szCs w:val="28"/>
        </w:rPr>
        <w:t>Зниження рівня виробництва зерна</w:t>
      </w:r>
    </w:p>
    <w:p w14:paraId="45586271" w14:textId="77777777" w:rsidR="004A6004" w:rsidRPr="004A6004" w:rsidRDefault="004A6004" w:rsidP="004A6004">
      <w:pPr>
        <w:pStyle w:val="a9"/>
        <w:jc w:val="both"/>
        <w:rPr>
          <w:rFonts w:ascii="Times New Roman" w:eastAsia="Times New Roman" w:hAnsi="Times New Roman" w:cs="Times New Roman"/>
          <w:sz w:val="28"/>
          <w:szCs w:val="28"/>
        </w:rPr>
      </w:pPr>
      <w:r w:rsidRPr="004A6004">
        <w:rPr>
          <w:rFonts w:ascii="Times New Roman" w:eastAsia="Times New Roman" w:hAnsi="Times New Roman" w:cs="Times New Roman"/>
          <w:sz w:val="28"/>
          <w:szCs w:val="28"/>
        </w:rPr>
        <w:t>Спостережувана тенденція до зменшення виробництва зерна може негативно вплинути на продовольчу безпеку Бельгії. Це підвищує залежність країни від імпорту зернових культур, що створює ризики в умовах глобальних економічних та кліматичних змін.</w:t>
      </w:r>
    </w:p>
    <w:p w14:paraId="6AC56F40" w14:textId="77777777" w:rsidR="004A6004" w:rsidRDefault="004A6004" w:rsidP="0097335E">
      <w:pPr>
        <w:jc w:val="both"/>
        <w:rPr>
          <w:rFonts w:ascii="Times New Roman" w:eastAsia="Times New Roman" w:hAnsi="Times New Roman" w:cs="Times New Roman"/>
          <w:sz w:val="28"/>
          <w:szCs w:val="28"/>
        </w:rPr>
      </w:pPr>
    </w:p>
    <w:p w14:paraId="3349E12A" w14:textId="77777777" w:rsidR="004A6004" w:rsidRPr="004A6004" w:rsidRDefault="004A6004" w:rsidP="004A6004">
      <w:pPr>
        <w:pStyle w:val="a9"/>
        <w:numPr>
          <w:ilvl w:val="0"/>
          <w:numId w:val="6"/>
        </w:numPr>
        <w:jc w:val="both"/>
        <w:rPr>
          <w:rFonts w:ascii="Times New Roman" w:eastAsia="Times New Roman" w:hAnsi="Times New Roman" w:cs="Times New Roman"/>
          <w:sz w:val="28"/>
          <w:szCs w:val="28"/>
        </w:rPr>
      </w:pPr>
      <w:r w:rsidRPr="004A6004">
        <w:rPr>
          <w:rFonts w:ascii="Times New Roman" w:eastAsia="Times New Roman" w:hAnsi="Times New Roman" w:cs="Times New Roman"/>
          <w:sz w:val="28"/>
          <w:szCs w:val="28"/>
        </w:rPr>
        <w:t>Негативне сальдо поточного рахунку платіжного балансу</w:t>
      </w:r>
    </w:p>
    <w:p w14:paraId="344FC5ED" w14:textId="77777777" w:rsidR="004A6004" w:rsidRPr="004A6004" w:rsidRDefault="004A6004" w:rsidP="004A6004">
      <w:pPr>
        <w:pStyle w:val="a9"/>
        <w:jc w:val="both"/>
        <w:rPr>
          <w:rFonts w:ascii="Times New Roman" w:eastAsia="Times New Roman" w:hAnsi="Times New Roman" w:cs="Times New Roman"/>
          <w:sz w:val="28"/>
          <w:szCs w:val="28"/>
        </w:rPr>
      </w:pPr>
      <w:r w:rsidRPr="004A6004">
        <w:rPr>
          <w:rFonts w:ascii="Times New Roman" w:eastAsia="Times New Roman" w:hAnsi="Times New Roman" w:cs="Times New Roman"/>
          <w:sz w:val="28"/>
          <w:szCs w:val="28"/>
        </w:rPr>
        <w:t>Зростаючий дефіцит на поточному рахунку може свідчити про погіршення зовнішньоекономічної ситуації та збільшення фінансових ризиків. Це може вплинути на стабільність національної валюти та фінансову систему.</w:t>
      </w:r>
    </w:p>
    <w:p w14:paraId="18B5009E" w14:textId="77777777" w:rsidR="004A6004" w:rsidRDefault="004A6004" w:rsidP="0097335E">
      <w:pPr>
        <w:jc w:val="both"/>
        <w:rPr>
          <w:rFonts w:ascii="Times New Roman" w:eastAsia="Times New Roman" w:hAnsi="Times New Roman" w:cs="Times New Roman"/>
          <w:sz w:val="28"/>
          <w:szCs w:val="28"/>
        </w:rPr>
      </w:pPr>
    </w:p>
    <w:p w14:paraId="72E561EC" w14:textId="77777777" w:rsidR="004A6004" w:rsidRPr="004A6004" w:rsidRDefault="004A6004" w:rsidP="004A6004">
      <w:pPr>
        <w:pStyle w:val="a9"/>
        <w:numPr>
          <w:ilvl w:val="0"/>
          <w:numId w:val="6"/>
        </w:numPr>
        <w:jc w:val="both"/>
        <w:rPr>
          <w:rFonts w:ascii="Times New Roman" w:eastAsia="Times New Roman" w:hAnsi="Times New Roman" w:cs="Times New Roman"/>
          <w:sz w:val="28"/>
          <w:szCs w:val="28"/>
        </w:rPr>
      </w:pPr>
      <w:r w:rsidRPr="004A6004">
        <w:rPr>
          <w:rFonts w:ascii="Times New Roman" w:eastAsia="Times New Roman" w:hAnsi="Times New Roman" w:cs="Times New Roman"/>
          <w:sz w:val="28"/>
          <w:szCs w:val="28"/>
        </w:rPr>
        <w:t>Економічна нестабільність через низький приріст інвестицій: Зниження приросту ПІІ в поєднанні з іншими економічними труднощами може призвести до більшої економічної уразливості. Це може зменшити країну потенціал для подальшого розвитку, знизити конкурентоспроможність на світовому ринку і створити умови для економічної кризи в разі несприятливих глобальних змін.</w:t>
      </w:r>
    </w:p>
    <w:p w14:paraId="64EA813C" w14:textId="77777777" w:rsidR="004A6004" w:rsidRDefault="004A6004" w:rsidP="0097335E">
      <w:pPr>
        <w:jc w:val="both"/>
        <w:rPr>
          <w:rFonts w:ascii="Times New Roman" w:eastAsia="Times New Roman" w:hAnsi="Times New Roman" w:cs="Times New Roman"/>
          <w:sz w:val="28"/>
          <w:szCs w:val="28"/>
        </w:rPr>
      </w:pPr>
    </w:p>
    <w:p w14:paraId="136CC739" w14:textId="77777777" w:rsidR="004A6004" w:rsidRPr="00BF57BA" w:rsidRDefault="004A6004" w:rsidP="0097335E">
      <w:pPr>
        <w:jc w:val="both"/>
        <w:rPr>
          <w:rFonts w:ascii="Times New Roman" w:eastAsia="Times New Roman" w:hAnsi="Times New Roman" w:cs="Times New Roman"/>
          <w:sz w:val="28"/>
          <w:szCs w:val="28"/>
        </w:rPr>
      </w:pPr>
    </w:p>
    <w:p w14:paraId="3CF8C517" w14:textId="77777777" w:rsidR="005704C5" w:rsidRDefault="005704C5" w:rsidP="005704C5">
      <w:pPr>
        <w:rPr>
          <w:rFonts w:ascii="Times New Roman" w:eastAsia="Times New Roman" w:hAnsi="Times New Roman" w:cs="Times New Roman"/>
          <w:b/>
          <w:bCs/>
          <w:sz w:val="28"/>
          <w:szCs w:val="28"/>
          <w:lang w:val="en-US"/>
        </w:rPr>
      </w:pPr>
    </w:p>
    <w:p w14:paraId="4A617A23" w14:textId="7A161A38" w:rsidR="006F3DE9" w:rsidRPr="006F3DE9" w:rsidRDefault="001124FD" w:rsidP="006F3DE9">
      <w:pPr>
        <w:jc w:val="center"/>
        <w:rPr>
          <w:rFonts w:ascii="Times New Roman" w:eastAsia="Times New Roman" w:hAnsi="Times New Roman" w:cs="Times New Roman"/>
          <w:b/>
          <w:bCs/>
          <w:sz w:val="28"/>
          <w:szCs w:val="28"/>
        </w:rPr>
      </w:pPr>
      <w:r w:rsidRPr="002A2AE6">
        <w:rPr>
          <w:rFonts w:ascii="Times New Roman" w:eastAsia="Times New Roman" w:hAnsi="Times New Roman" w:cs="Times New Roman"/>
          <w:b/>
          <w:bCs/>
          <w:sz w:val="28"/>
          <w:szCs w:val="28"/>
        </w:rPr>
        <w:lastRenderedPageBreak/>
        <w:t xml:space="preserve">5 Головних </w:t>
      </w:r>
      <w:r w:rsidR="002A2AE6" w:rsidRPr="002A2AE6">
        <w:rPr>
          <w:rFonts w:ascii="Times New Roman" w:eastAsia="Times New Roman" w:hAnsi="Times New Roman" w:cs="Times New Roman"/>
          <w:b/>
          <w:bCs/>
          <w:sz w:val="28"/>
          <w:szCs w:val="28"/>
        </w:rPr>
        <w:t>рекомендацій</w:t>
      </w:r>
      <w:r w:rsidRPr="002A2AE6">
        <w:rPr>
          <w:rFonts w:ascii="Times New Roman" w:eastAsia="Times New Roman" w:hAnsi="Times New Roman" w:cs="Times New Roman"/>
          <w:b/>
          <w:bCs/>
          <w:sz w:val="28"/>
          <w:szCs w:val="28"/>
        </w:rPr>
        <w:t xml:space="preserve"> для по</w:t>
      </w:r>
      <w:r w:rsidR="002A2AE6" w:rsidRPr="002A2AE6">
        <w:rPr>
          <w:rFonts w:ascii="Times New Roman" w:eastAsia="Times New Roman" w:hAnsi="Times New Roman" w:cs="Times New Roman"/>
          <w:b/>
          <w:bCs/>
          <w:sz w:val="28"/>
          <w:szCs w:val="28"/>
        </w:rPr>
        <w:t>кращення економічної безпеки країни</w:t>
      </w:r>
    </w:p>
    <w:p w14:paraId="1897775F" w14:textId="0DD67175" w:rsidR="006F3DE9" w:rsidRPr="006F3DE9" w:rsidRDefault="008759D6" w:rsidP="006F3DE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6F3DE9" w:rsidRPr="006F3DE9">
        <w:rPr>
          <w:rFonts w:ascii="Times New Roman" w:eastAsia="Times New Roman" w:hAnsi="Times New Roman" w:cs="Times New Roman"/>
          <w:sz w:val="28"/>
          <w:szCs w:val="28"/>
        </w:rPr>
        <w:t>. Стабілізація та зниження державного боргу: Оскільки рівень державного боргу Бельгії залишається високим, необхідно вжити заходів для скорочення дефіциту бюджету та зменшення боргових зобов'язань, що знизить фінансові ризики та покращить довіру інвесторів.</w:t>
      </w:r>
    </w:p>
    <w:p w14:paraId="05CB2526" w14:textId="77777777" w:rsidR="006F3DE9" w:rsidRPr="006F3DE9" w:rsidRDefault="006F3DE9" w:rsidP="006F3DE9">
      <w:pPr>
        <w:jc w:val="both"/>
        <w:rPr>
          <w:rFonts w:ascii="Times New Roman" w:eastAsia="Times New Roman" w:hAnsi="Times New Roman" w:cs="Times New Roman"/>
          <w:sz w:val="28"/>
          <w:szCs w:val="28"/>
        </w:rPr>
      </w:pPr>
    </w:p>
    <w:p w14:paraId="5D5CC7AB" w14:textId="3796ACAC" w:rsidR="006F3DE9" w:rsidRPr="006F3DE9" w:rsidRDefault="006F3DE9" w:rsidP="006F3DE9">
      <w:pPr>
        <w:jc w:val="both"/>
        <w:rPr>
          <w:rFonts w:ascii="Times New Roman" w:eastAsia="Times New Roman" w:hAnsi="Times New Roman" w:cs="Times New Roman"/>
          <w:sz w:val="28"/>
          <w:szCs w:val="28"/>
        </w:rPr>
      </w:pPr>
      <w:r w:rsidRPr="006F3DE9">
        <w:rPr>
          <w:rFonts w:ascii="Times New Roman" w:eastAsia="Times New Roman" w:hAnsi="Times New Roman" w:cs="Times New Roman"/>
          <w:sz w:val="28"/>
          <w:szCs w:val="28"/>
        </w:rPr>
        <w:t xml:space="preserve">2. Зменшення соціальної нерівності: Враховуючи високий рівень економічної поляризації, необхідно сприяти зростанню доходів найбідніших верств населення через збільшення соціальних програм та підтримку середнього класу для зменшення соціальної напруги та економічних </w:t>
      </w:r>
      <w:proofErr w:type="spellStart"/>
      <w:r w:rsidRPr="006F3DE9">
        <w:rPr>
          <w:rFonts w:ascii="Times New Roman" w:eastAsia="Times New Roman" w:hAnsi="Times New Roman" w:cs="Times New Roman"/>
          <w:sz w:val="28"/>
          <w:szCs w:val="28"/>
        </w:rPr>
        <w:t>дисбалансів</w:t>
      </w:r>
      <w:proofErr w:type="spellEnd"/>
      <w:r w:rsidRPr="006F3DE9">
        <w:rPr>
          <w:rFonts w:ascii="Times New Roman" w:eastAsia="Times New Roman" w:hAnsi="Times New Roman" w:cs="Times New Roman"/>
          <w:sz w:val="28"/>
          <w:szCs w:val="28"/>
        </w:rPr>
        <w:t>.</w:t>
      </w:r>
    </w:p>
    <w:p w14:paraId="4B64D30C" w14:textId="77777777" w:rsidR="006F3DE9" w:rsidRPr="006F3DE9" w:rsidRDefault="006F3DE9" w:rsidP="006F3DE9">
      <w:pPr>
        <w:jc w:val="both"/>
        <w:rPr>
          <w:rFonts w:ascii="Times New Roman" w:eastAsia="Times New Roman" w:hAnsi="Times New Roman" w:cs="Times New Roman"/>
          <w:sz w:val="28"/>
          <w:szCs w:val="28"/>
        </w:rPr>
      </w:pPr>
    </w:p>
    <w:p w14:paraId="76014AB9" w14:textId="59EDC94E" w:rsidR="006F3DE9" w:rsidRPr="006F3DE9" w:rsidRDefault="006F3DE9" w:rsidP="006F3DE9">
      <w:pPr>
        <w:jc w:val="both"/>
        <w:rPr>
          <w:rFonts w:ascii="Times New Roman" w:eastAsia="Times New Roman" w:hAnsi="Times New Roman" w:cs="Times New Roman"/>
          <w:sz w:val="28"/>
          <w:szCs w:val="28"/>
        </w:rPr>
      </w:pPr>
      <w:r w:rsidRPr="006F3DE9">
        <w:rPr>
          <w:rFonts w:ascii="Times New Roman" w:eastAsia="Times New Roman" w:hAnsi="Times New Roman" w:cs="Times New Roman"/>
          <w:sz w:val="28"/>
          <w:szCs w:val="28"/>
        </w:rPr>
        <w:t>3. Диверсифікація економіки та розвитку інноваційних секторів: З метою зменшення залежності від традиційних експортних товарів, країні варто зосередитись на розвитку інноваційних галузей, таких як інформаційні технології, зелена енергетика, що зменшить вразливість до змін у світових ринках.</w:t>
      </w:r>
    </w:p>
    <w:p w14:paraId="2A9C9378" w14:textId="77777777" w:rsidR="006F3DE9" w:rsidRPr="006F3DE9" w:rsidRDefault="006F3DE9" w:rsidP="006F3DE9">
      <w:pPr>
        <w:jc w:val="both"/>
        <w:rPr>
          <w:rFonts w:ascii="Times New Roman" w:eastAsia="Times New Roman" w:hAnsi="Times New Roman" w:cs="Times New Roman"/>
          <w:sz w:val="28"/>
          <w:szCs w:val="28"/>
        </w:rPr>
      </w:pPr>
    </w:p>
    <w:p w14:paraId="53D22A99" w14:textId="555CB86B" w:rsidR="006F3DE9" w:rsidRPr="006F3DE9" w:rsidRDefault="006F3DE9" w:rsidP="006F3DE9">
      <w:pPr>
        <w:jc w:val="both"/>
        <w:rPr>
          <w:rFonts w:ascii="Times New Roman" w:eastAsia="Times New Roman" w:hAnsi="Times New Roman" w:cs="Times New Roman"/>
          <w:sz w:val="28"/>
          <w:szCs w:val="28"/>
        </w:rPr>
      </w:pPr>
      <w:r w:rsidRPr="006F3DE9">
        <w:rPr>
          <w:rFonts w:ascii="Times New Roman" w:eastAsia="Times New Roman" w:hAnsi="Times New Roman" w:cs="Times New Roman"/>
          <w:sz w:val="28"/>
          <w:szCs w:val="28"/>
        </w:rPr>
        <w:t>4. Посилення продовольчої безпеки: Враховуючи зниження виробництва зерна та залежність від імпорту, Бельгії слід інвестувати в аграрну інфраструктуру та технології для стабілізації внутрішнього виробництва зернових і зменшення залежності від зовнішніх постачальників.</w:t>
      </w:r>
    </w:p>
    <w:p w14:paraId="40B91EC7" w14:textId="77777777" w:rsidR="006F3DE9" w:rsidRPr="006F3DE9" w:rsidRDefault="006F3DE9" w:rsidP="006F3DE9">
      <w:pPr>
        <w:jc w:val="both"/>
        <w:rPr>
          <w:rFonts w:ascii="Times New Roman" w:eastAsia="Times New Roman" w:hAnsi="Times New Roman" w:cs="Times New Roman"/>
          <w:sz w:val="28"/>
          <w:szCs w:val="28"/>
        </w:rPr>
      </w:pPr>
    </w:p>
    <w:p w14:paraId="6709B36E" w14:textId="12C2E4A5" w:rsidR="006E0897" w:rsidRPr="006F3DE9" w:rsidRDefault="006F3DE9" w:rsidP="006E0897">
      <w:pPr>
        <w:jc w:val="both"/>
        <w:rPr>
          <w:rFonts w:ascii="Times New Roman" w:eastAsia="Times New Roman" w:hAnsi="Times New Roman" w:cs="Times New Roman"/>
          <w:sz w:val="28"/>
          <w:szCs w:val="28"/>
        </w:rPr>
      </w:pPr>
      <w:r w:rsidRPr="006F3DE9">
        <w:rPr>
          <w:rFonts w:ascii="Times New Roman" w:eastAsia="Times New Roman" w:hAnsi="Times New Roman" w:cs="Times New Roman"/>
          <w:sz w:val="28"/>
          <w:szCs w:val="28"/>
        </w:rPr>
        <w:t>5. Зміцнення торгових відносин та диверсифікація торгових партнерів: Для стабілізації платіжного балансу та покращення економічної безпеки Бельгії варто розвивати нові ринки експорту та укріплювати взаємодію з іншими країнами ЄС і з іншими регіонами для зменшення зовнішніх економічних ризиків.</w:t>
      </w:r>
    </w:p>
    <w:p w14:paraId="609C673C" w14:textId="6B315FB5" w:rsidR="006E0897" w:rsidRPr="006F3DE9" w:rsidRDefault="00C2700F" w:rsidP="006E0897">
      <w:pPr>
        <w:jc w:val="both"/>
        <w:rPr>
          <w:rFonts w:ascii="Times New Roman" w:eastAsia="Times New Roman" w:hAnsi="Times New Roman" w:cs="Times New Roman"/>
          <w:sz w:val="28"/>
          <w:szCs w:val="28"/>
        </w:rPr>
      </w:pPr>
      <w:r w:rsidRPr="006F3DE9">
        <w:rPr>
          <w:rFonts w:ascii="Times New Roman" w:eastAsia="Times New Roman" w:hAnsi="Times New Roman" w:cs="Times New Roman"/>
          <w:sz w:val="28"/>
          <w:szCs w:val="28"/>
        </w:rPr>
        <w:br w:type="page"/>
      </w:r>
    </w:p>
    <w:p w14:paraId="5FF2DC72" w14:textId="7974AE09" w:rsidR="00C2700F" w:rsidRPr="006F3DE9" w:rsidRDefault="000055AB" w:rsidP="000055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Використані джерела</w:t>
      </w:r>
    </w:p>
    <w:p w14:paraId="70DAAC16" w14:textId="57D32018" w:rsidR="00C2700F" w:rsidRPr="00DA707F" w:rsidRDefault="00490372" w:rsidP="00DA707F">
      <w:pPr>
        <w:pStyle w:val="a9"/>
        <w:numPr>
          <w:ilvl w:val="0"/>
          <w:numId w:val="7"/>
        </w:numPr>
        <w:jc w:val="both"/>
        <w:rPr>
          <w:rFonts w:ascii="Times New Roman" w:eastAsia="Times New Roman" w:hAnsi="Times New Roman" w:cs="Times New Roman"/>
          <w:sz w:val="28"/>
          <w:szCs w:val="28"/>
        </w:rPr>
      </w:pPr>
      <w:r w:rsidRPr="00DA707F">
        <w:rPr>
          <w:rFonts w:ascii="Times New Roman" w:eastAsia="Times New Roman" w:hAnsi="Times New Roman" w:cs="Times New Roman"/>
          <w:sz w:val="28"/>
          <w:szCs w:val="28"/>
          <w:lang w:val="en-US"/>
        </w:rPr>
        <w:t>World Bank Group, https://www.worldbank.org/ext/en/home</w:t>
      </w:r>
    </w:p>
    <w:p w14:paraId="21EABB81" w14:textId="673CAF21" w:rsidR="003763E6" w:rsidRPr="00DA707F" w:rsidRDefault="00503B1E" w:rsidP="00DA707F">
      <w:pPr>
        <w:pStyle w:val="a9"/>
        <w:numPr>
          <w:ilvl w:val="0"/>
          <w:numId w:val="7"/>
        </w:numPr>
        <w:jc w:val="both"/>
        <w:rPr>
          <w:rFonts w:ascii="Times New Roman" w:eastAsia="Times New Roman" w:hAnsi="Times New Roman" w:cs="Times New Roman"/>
          <w:sz w:val="28"/>
          <w:szCs w:val="28"/>
          <w:lang w:val="en-US"/>
        </w:rPr>
      </w:pPr>
      <w:r w:rsidRPr="00DA707F">
        <w:rPr>
          <w:rFonts w:ascii="Times New Roman" w:eastAsia="Times New Roman" w:hAnsi="Times New Roman" w:cs="Times New Roman"/>
          <w:sz w:val="28"/>
          <w:szCs w:val="28"/>
          <w:lang w:val="en-US"/>
        </w:rPr>
        <w:t xml:space="preserve">Eurostat, </w:t>
      </w:r>
      <w:hyperlink r:id="rId16" w:history="1">
        <w:r w:rsidRPr="00DA707F">
          <w:rPr>
            <w:rStyle w:val="af2"/>
            <w:rFonts w:ascii="Times New Roman" w:eastAsia="Times New Roman" w:hAnsi="Times New Roman" w:cs="Times New Roman"/>
            <w:sz w:val="28"/>
            <w:szCs w:val="28"/>
            <w:lang w:val="en-US"/>
          </w:rPr>
          <w:t>https://ec.europa.eu/eurostat](https://ec.europa.eu/eurostat</w:t>
        </w:r>
      </w:hyperlink>
    </w:p>
    <w:p w14:paraId="38F756C6" w14:textId="56455253" w:rsidR="00503B1E" w:rsidRPr="00DA707F" w:rsidRDefault="002557F8" w:rsidP="00DA707F">
      <w:pPr>
        <w:pStyle w:val="a9"/>
        <w:numPr>
          <w:ilvl w:val="0"/>
          <w:numId w:val="7"/>
        </w:numPr>
        <w:jc w:val="both"/>
        <w:rPr>
          <w:rFonts w:ascii="Times New Roman" w:eastAsia="Times New Roman" w:hAnsi="Times New Roman" w:cs="Times New Roman"/>
          <w:sz w:val="28"/>
          <w:szCs w:val="28"/>
        </w:rPr>
      </w:pPr>
      <w:r w:rsidRPr="00DA707F">
        <w:rPr>
          <w:rFonts w:ascii="Times New Roman" w:eastAsia="Times New Roman" w:hAnsi="Times New Roman" w:cs="Times New Roman"/>
          <w:sz w:val="28"/>
          <w:szCs w:val="28"/>
          <w:lang w:val="en-US"/>
        </w:rPr>
        <w:t>National Bank of Bel</w:t>
      </w:r>
      <w:r w:rsidR="00FB2201" w:rsidRPr="00DA707F">
        <w:rPr>
          <w:rFonts w:ascii="Times New Roman" w:eastAsia="Times New Roman" w:hAnsi="Times New Roman" w:cs="Times New Roman"/>
          <w:sz w:val="28"/>
          <w:szCs w:val="28"/>
          <w:lang w:val="en-US"/>
        </w:rPr>
        <w:t xml:space="preserve">gium, </w:t>
      </w:r>
      <w:r w:rsidRPr="00DA707F">
        <w:rPr>
          <w:rFonts w:ascii="Times New Roman" w:eastAsia="Times New Roman" w:hAnsi="Times New Roman" w:cs="Times New Roman"/>
          <w:sz w:val="28"/>
          <w:szCs w:val="28"/>
          <w:lang w:val="en-US"/>
        </w:rPr>
        <w:t>https://www.nbb.be/en](https://www.nbb.be/en</w:t>
      </w:r>
    </w:p>
    <w:sectPr w:rsidR="00503B1E" w:rsidRPr="00DA707F" w:rsidSect="004A4D1E">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717506" w14:textId="77777777" w:rsidR="00352EA6" w:rsidRDefault="00352EA6" w:rsidP="002A050B">
      <w:pPr>
        <w:spacing w:after="0" w:line="240" w:lineRule="auto"/>
      </w:pPr>
      <w:r>
        <w:separator/>
      </w:r>
    </w:p>
  </w:endnote>
  <w:endnote w:type="continuationSeparator" w:id="0">
    <w:p w14:paraId="55CD6BD4" w14:textId="77777777" w:rsidR="00352EA6" w:rsidRDefault="00352EA6" w:rsidP="002A0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0A38C" w14:textId="77777777" w:rsidR="00352EA6" w:rsidRDefault="00352EA6" w:rsidP="002A050B">
      <w:pPr>
        <w:spacing w:after="0" w:line="240" w:lineRule="auto"/>
      </w:pPr>
      <w:r>
        <w:separator/>
      </w:r>
    </w:p>
  </w:footnote>
  <w:footnote w:type="continuationSeparator" w:id="0">
    <w:p w14:paraId="13F88ADF" w14:textId="77777777" w:rsidR="00352EA6" w:rsidRDefault="00352EA6" w:rsidP="002A05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21DDD"/>
    <w:multiLevelType w:val="hybridMultilevel"/>
    <w:tmpl w:val="39560810"/>
    <w:lvl w:ilvl="0" w:tplc="FFFFFFF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4FB24F5"/>
    <w:multiLevelType w:val="hybridMultilevel"/>
    <w:tmpl w:val="D2B63F40"/>
    <w:lvl w:ilvl="0" w:tplc="FFFFFFFF">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 w15:restartNumberingAfterBreak="0">
    <w:nsid w:val="2CBD02FC"/>
    <w:multiLevelType w:val="hybridMultilevel"/>
    <w:tmpl w:val="6E42570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3ACE2BB1"/>
    <w:multiLevelType w:val="hybridMultilevel"/>
    <w:tmpl w:val="645457D4"/>
    <w:lvl w:ilvl="0" w:tplc="FFFFFFFF">
      <w:start w:val="1"/>
      <w:numFmt w:val="decimal"/>
      <w:lvlText w:val="%1."/>
      <w:lvlJc w:val="left"/>
      <w:pPr>
        <w:ind w:left="1068" w:hanging="360"/>
      </w:pPr>
      <w:rPr>
        <w:rFonts w:hint="default"/>
      </w:rPr>
    </w:lvl>
    <w:lvl w:ilvl="1" w:tplc="D2721D70">
      <w:start w:val="2"/>
      <w:numFmt w:val="bullet"/>
      <w:lvlText w:val="-"/>
      <w:lvlJc w:val="left"/>
      <w:pPr>
        <w:ind w:left="1788" w:hanging="360"/>
      </w:pPr>
      <w:rPr>
        <w:rFonts w:ascii="Times New Roman" w:eastAsia="Times New Roman" w:hAnsi="Times New Roman" w:cs="Times New Roman" w:hint="default"/>
      </w:r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4" w15:restartNumberingAfterBreak="0">
    <w:nsid w:val="44C74E55"/>
    <w:multiLevelType w:val="hybridMultilevel"/>
    <w:tmpl w:val="1BCCB570"/>
    <w:lvl w:ilvl="0" w:tplc="FFFFFFF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4C965511"/>
    <w:multiLevelType w:val="hybridMultilevel"/>
    <w:tmpl w:val="81647AC0"/>
    <w:lvl w:ilvl="0" w:tplc="FFFFFFFF">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6" w15:restartNumberingAfterBreak="0">
    <w:nsid w:val="7450028F"/>
    <w:multiLevelType w:val="hybridMultilevel"/>
    <w:tmpl w:val="B9A4666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433474479">
    <w:abstractNumId w:val="3"/>
  </w:num>
  <w:num w:numId="2" w16cid:durableId="1125661494">
    <w:abstractNumId w:val="5"/>
  </w:num>
  <w:num w:numId="3" w16cid:durableId="313143605">
    <w:abstractNumId w:val="1"/>
  </w:num>
  <w:num w:numId="4" w16cid:durableId="1483037739">
    <w:abstractNumId w:val="0"/>
  </w:num>
  <w:num w:numId="5" w16cid:durableId="1405835470">
    <w:abstractNumId w:val="4"/>
  </w:num>
  <w:num w:numId="6" w16cid:durableId="119154796">
    <w:abstractNumId w:val="6"/>
  </w:num>
  <w:num w:numId="7" w16cid:durableId="884759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6"/>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40A"/>
    <w:rsid w:val="000055AB"/>
    <w:rsid w:val="00024FC4"/>
    <w:rsid w:val="00042A27"/>
    <w:rsid w:val="000442B7"/>
    <w:rsid w:val="00083A85"/>
    <w:rsid w:val="000D09B4"/>
    <w:rsid w:val="000E7ADC"/>
    <w:rsid w:val="001124FD"/>
    <w:rsid w:val="00150564"/>
    <w:rsid w:val="001624F8"/>
    <w:rsid w:val="00173AFD"/>
    <w:rsid w:val="001825CF"/>
    <w:rsid w:val="001A24D2"/>
    <w:rsid w:val="001A3DFE"/>
    <w:rsid w:val="001A4253"/>
    <w:rsid w:val="001C1DBE"/>
    <w:rsid w:val="001C574A"/>
    <w:rsid w:val="00201076"/>
    <w:rsid w:val="00217BDC"/>
    <w:rsid w:val="002308B7"/>
    <w:rsid w:val="0023766C"/>
    <w:rsid w:val="00251635"/>
    <w:rsid w:val="002557F8"/>
    <w:rsid w:val="00262D5D"/>
    <w:rsid w:val="002A050B"/>
    <w:rsid w:val="002A2AE6"/>
    <w:rsid w:val="00300BD0"/>
    <w:rsid w:val="00311C21"/>
    <w:rsid w:val="00326B56"/>
    <w:rsid w:val="00345395"/>
    <w:rsid w:val="003522C8"/>
    <w:rsid w:val="00352EA6"/>
    <w:rsid w:val="00374CC4"/>
    <w:rsid w:val="003763E6"/>
    <w:rsid w:val="003A7405"/>
    <w:rsid w:val="00403459"/>
    <w:rsid w:val="00410581"/>
    <w:rsid w:val="00413A06"/>
    <w:rsid w:val="00444A26"/>
    <w:rsid w:val="0045456C"/>
    <w:rsid w:val="00490372"/>
    <w:rsid w:val="00494F86"/>
    <w:rsid w:val="004A1DA5"/>
    <w:rsid w:val="004A4D1E"/>
    <w:rsid w:val="004A6004"/>
    <w:rsid w:val="004A672A"/>
    <w:rsid w:val="004A735D"/>
    <w:rsid w:val="004E1418"/>
    <w:rsid w:val="004F551D"/>
    <w:rsid w:val="00503B1E"/>
    <w:rsid w:val="005106B9"/>
    <w:rsid w:val="00565FAD"/>
    <w:rsid w:val="005704C5"/>
    <w:rsid w:val="00590BB6"/>
    <w:rsid w:val="005C05A4"/>
    <w:rsid w:val="005E17EE"/>
    <w:rsid w:val="005E347E"/>
    <w:rsid w:val="005E7E46"/>
    <w:rsid w:val="00601925"/>
    <w:rsid w:val="006064B2"/>
    <w:rsid w:val="00617B43"/>
    <w:rsid w:val="00637216"/>
    <w:rsid w:val="006373BB"/>
    <w:rsid w:val="006712CE"/>
    <w:rsid w:val="00671315"/>
    <w:rsid w:val="00692FBD"/>
    <w:rsid w:val="00697F78"/>
    <w:rsid w:val="006A0FBF"/>
    <w:rsid w:val="006B350E"/>
    <w:rsid w:val="006B5256"/>
    <w:rsid w:val="006E0897"/>
    <w:rsid w:val="006F3DE9"/>
    <w:rsid w:val="00707B02"/>
    <w:rsid w:val="00762B9B"/>
    <w:rsid w:val="0076458F"/>
    <w:rsid w:val="00794CF5"/>
    <w:rsid w:val="007968A4"/>
    <w:rsid w:val="007A6293"/>
    <w:rsid w:val="007A6B5C"/>
    <w:rsid w:val="007B4DFF"/>
    <w:rsid w:val="007F06C7"/>
    <w:rsid w:val="00853F22"/>
    <w:rsid w:val="00857F46"/>
    <w:rsid w:val="008759D6"/>
    <w:rsid w:val="00880D1F"/>
    <w:rsid w:val="008917C7"/>
    <w:rsid w:val="008927F4"/>
    <w:rsid w:val="00895CAD"/>
    <w:rsid w:val="008F12BF"/>
    <w:rsid w:val="0090495A"/>
    <w:rsid w:val="00930DEB"/>
    <w:rsid w:val="00947AAE"/>
    <w:rsid w:val="00957D76"/>
    <w:rsid w:val="00966C0C"/>
    <w:rsid w:val="00974267"/>
    <w:rsid w:val="009909A1"/>
    <w:rsid w:val="009B4329"/>
    <w:rsid w:val="009D60E8"/>
    <w:rsid w:val="009F5C6D"/>
    <w:rsid w:val="00A61727"/>
    <w:rsid w:val="00AA2B98"/>
    <w:rsid w:val="00AA4127"/>
    <w:rsid w:val="00AC2A83"/>
    <w:rsid w:val="00AC655F"/>
    <w:rsid w:val="00AD3A47"/>
    <w:rsid w:val="00AE584C"/>
    <w:rsid w:val="00B100F1"/>
    <w:rsid w:val="00B674CE"/>
    <w:rsid w:val="00B73B36"/>
    <w:rsid w:val="00B867AF"/>
    <w:rsid w:val="00BC5E33"/>
    <w:rsid w:val="00BF57BA"/>
    <w:rsid w:val="00C07D2F"/>
    <w:rsid w:val="00C2700F"/>
    <w:rsid w:val="00C75CD9"/>
    <w:rsid w:val="00CB09BC"/>
    <w:rsid w:val="00CB21EF"/>
    <w:rsid w:val="00CD0915"/>
    <w:rsid w:val="00D201CF"/>
    <w:rsid w:val="00D3579B"/>
    <w:rsid w:val="00D52147"/>
    <w:rsid w:val="00D55C58"/>
    <w:rsid w:val="00D80B94"/>
    <w:rsid w:val="00D9573C"/>
    <w:rsid w:val="00D97039"/>
    <w:rsid w:val="00DA707F"/>
    <w:rsid w:val="00DD340A"/>
    <w:rsid w:val="00DE3803"/>
    <w:rsid w:val="00DE4335"/>
    <w:rsid w:val="00DE7895"/>
    <w:rsid w:val="00E3382E"/>
    <w:rsid w:val="00EA389F"/>
    <w:rsid w:val="00EC099E"/>
    <w:rsid w:val="00ED0CCB"/>
    <w:rsid w:val="00ED1711"/>
    <w:rsid w:val="00F020B4"/>
    <w:rsid w:val="00F14376"/>
    <w:rsid w:val="00F17D61"/>
    <w:rsid w:val="00F21B54"/>
    <w:rsid w:val="00F33244"/>
    <w:rsid w:val="00F62ABF"/>
    <w:rsid w:val="00F7408C"/>
    <w:rsid w:val="00FB2201"/>
    <w:rsid w:val="00FC5FF6"/>
    <w:rsid w:val="00FE0C19"/>
  </w:rsids>
  <m:mathPr>
    <m:mathFont m:val="Cambria Math"/>
    <m:brkBin m:val="before"/>
    <m:brkBinSub m:val="--"/>
    <m:smallFrac m:val="0"/>
    <m:dispDef/>
    <m:lMargin m:val="0"/>
    <m:rMargin m:val="0"/>
    <m:defJc m:val="centerGroup"/>
    <m:wrapIndent m:val="1440"/>
    <m:intLim m:val="subSup"/>
    <m:naryLim m:val="undOvr"/>
  </m:mathPr>
  <w:themeFontLang w:val="uk-U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3BF49F4"/>
  <w15:chartTrackingRefBased/>
  <w15:docId w15:val="{9B178CF8-2B98-2742-9D3A-F9CEC881C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uk-U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D3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D3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D340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D340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D340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D340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D340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D340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D340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D340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D340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D340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D340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D340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D340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D340A"/>
    <w:rPr>
      <w:rFonts w:eastAsiaTheme="majorEastAsia" w:cstheme="majorBidi"/>
      <w:color w:val="595959" w:themeColor="text1" w:themeTint="A6"/>
    </w:rPr>
  </w:style>
  <w:style w:type="character" w:customStyle="1" w:styleId="80">
    <w:name w:val="Заголовок 8 Знак"/>
    <w:basedOn w:val="a0"/>
    <w:link w:val="8"/>
    <w:uiPriority w:val="9"/>
    <w:semiHidden/>
    <w:rsid w:val="00DD340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D340A"/>
    <w:rPr>
      <w:rFonts w:eastAsiaTheme="majorEastAsia" w:cstheme="majorBidi"/>
      <w:color w:val="272727" w:themeColor="text1" w:themeTint="D8"/>
    </w:rPr>
  </w:style>
  <w:style w:type="paragraph" w:styleId="a3">
    <w:name w:val="Title"/>
    <w:basedOn w:val="a"/>
    <w:next w:val="a"/>
    <w:link w:val="a4"/>
    <w:uiPriority w:val="10"/>
    <w:qFormat/>
    <w:rsid w:val="00DD3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DD340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D340A"/>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DD340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D340A"/>
    <w:pPr>
      <w:spacing w:before="160"/>
      <w:jc w:val="center"/>
    </w:pPr>
    <w:rPr>
      <w:i/>
      <w:iCs/>
      <w:color w:val="404040" w:themeColor="text1" w:themeTint="BF"/>
    </w:rPr>
  </w:style>
  <w:style w:type="character" w:customStyle="1" w:styleId="a8">
    <w:name w:val="Цитата Знак"/>
    <w:basedOn w:val="a0"/>
    <w:link w:val="a7"/>
    <w:uiPriority w:val="29"/>
    <w:rsid w:val="00DD340A"/>
    <w:rPr>
      <w:i/>
      <w:iCs/>
      <w:color w:val="404040" w:themeColor="text1" w:themeTint="BF"/>
    </w:rPr>
  </w:style>
  <w:style w:type="paragraph" w:styleId="a9">
    <w:name w:val="List Paragraph"/>
    <w:basedOn w:val="a"/>
    <w:uiPriority w:val="34"/>
    <w:qFormat/>
    <w:rsid w:val="00DD340A"/>
    <w:pPr>
      <w:ind w:left="720"/>
      <w:contextualSpacing/>
    </w:pPr>
  </w:style>
  <w:style w:type="character" w:styleId="aa">
    <w:name w:val="Intense Emphasis"/>
    <w:basedOn w:val="a0"/>
    <w:uiPriority w:val="21"/>
    <w:qFormat/>
    <w:rsid w:val="00DD340A"/>
    <w:rPr>
      <w:i/>
      <w:iCs/>
      <w:color w:val="0F4761" w:themeColor="accent1" w:themeShade="BF"/>
    </w:rPr>
  </w:style>
  <w:style w:type="paragraph" w:styleId="ab">
    <w:name w:val="Intense Quote"/>
    <w:basedOn w:val="a"/>
    <w:next w:val="a"/>
    <w:link w:val="ac"/>
    <w:uiPriority w:val="30"/>
    <w:qFormat/>
    <w:rsid w:val="00DD3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DD340A"/>
    <w:rPr>
      <w:i/>
      <w:iCs/>
      <w:color w:val="0F4761" w:themeColor="accent1" w:themeShade="BF"/>
    </w:rPr>
  </w:style>
  <w:style w:type="character" w:styleId="ad">
    <w:name w:val="Intense Reference"/>
    <w:basedOn w:val="a0"/>
    <w:uiPriority w:val="32"/>
    <w:qFormat/>
    <w:rsid w:val="00DD340A"/>
    <w:rPr>
      <w:b/>
      <w:bCs/>
      <w:smallCaps/>
      <w:color w:val="0F4761" w:themeColor="accent1" w:themeShade="BF"/>
      <w:spacing w:val="5"/>
    </w:rPr>
  </w:style>
  <w:style w:type="paragraph" w:styleId="ae">
    <w:name w:val="header"/>
    <w:basedOn w:val="a"/>
    <w:link w:val="af"/>
    <w:uiPriority w:val="99"/>
    <w:unhideWhenUsed/>
    <w:rsid w:val="002A050B"/>
    <w:pPr>
      <w:tabs>
        <w:tab w:val="center" w:pos="4819"/>
        <w:tab w:val="right" w:pos="9639"/>
      </w:tabs>
      <w:spacing w:after="0" w:line="240" w:lineRule="auto"/>
    </w:pPr>
  </w:style>
  <w:style w:type="character" w:customStyle="1" w:styleId="af">
    <w:name w:val="Верхній колонтитул Знак"/>
    <w:basedOn w:val="a0"/>
    <w:link w:val="ae"/>
    <w:uiPriority w:val="99"/>
    <w:rsid w:val="002A050B"/>
  </w:style>
  <w:style w:type="paragraph" w:styleId="af0">
    <w:name w:val="footer"/>
    <w:basedOn w:val="a"/>
    <w:link w:val="af1"/>
    <w:uiPriority w:val="99"/>
    <w:unhideWhenUsed/>
    <w:rsid w:val="002A050B"/>
    <w:pPr>
      <w:tabs>
        <w:tab w:val="center" w:pos="4819"/>
        <w:tab w:val="right" w:pos="9639"/>
      </w:tabs>
      <w:spacing w:after="0" w:line="240" w:lineRule="auto"/>
    </w:pPr>
  </w:style>
  <w:style w:type="character" w:customStyle="1" w:styleId="af1">
    <w:name w:val="Нижній колонтитул Знак"/>
    <w:basedOn w:val="a0"/>
    <w:link w:val="af0"/>
    <w:uiPriority w:val="99"/>
    <w:rsid w:val="002A050B"/>
  </w:style>
  <w:style w:type="character" w:styleId="af2">
    <w:name w:val="Hyperlink"/>
    <w:basedOn w:val="a0"/>
    <w:uiPriority w:val="99"/>
    <w:unhideWhenUsed/>
    <w:rsid w:val="00503B1E"/>
    <w:rPr>
      <w:color w:val="467886" w:themeColor="hyperlink"/>
      <w:u w:val="single"/>
    </w:rPr>
  </w:style>
  <w:style w:type="character" w:styleId="af3">
    <w:name w:val="Unresolved Mention"/>
    <w:basedOn w:val="a0"/>
    <w:uiPriority w:val="99"/>
    <w:semiHidden/>
    <w:unhideWhenUsed/>
    <w:rsid w:val="00503B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 /><Relationship Id="rId13" Type="http://schemas.openxmlformats.org/officeDocument/2006/relationships/chart" Target="charts/chart7.xm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chart" Target="charts/chart1.xml" /><Relationship Id="rId12" Type="http://schemas.openxmlformats.org/officeDocument/2006/relationships/chart" Target="charts/chart6.xm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s://ec.europa.eu/eurostat%5d(https://ec.europa.eu/eurostat"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chart" Target="charts/chart5.xml" /><Relationship Id="rId5" Type="http://schemas.openxmlformats.org/officeDocument/2006/relationships/footnotes" Target="footnotes.xml" /><Relationship Id="rId15" Type="http://schemas.openxmlformats.org/officeDocument/2006/relationships/chart" Target="charts/chart9.xml" /><Relationship Id="rId10" Type="http://schemas.openxmlformats.org/officeDocument/2006/relationships/chart" Target="charts/chart4.xml" /><Relationship Id="rId4" Type="http://schemas.openxmlformats.org/officeDocument/2006/relationships/webSettings" Target="webSettings.xml" /><Relationship Id="rId9" Type="http://schemas.openxmlformats.org/officeDocument/2006/relationships/chart" Target="charts/chart3.xml" /><Relationship Id="rId14" Type="http://schemas.openxmlformats.org/officeDocument/2006/relationships/chart" Target="charts/chart8.xml" /></Relationships>
</file>

<file path=word/charts/_rels/chart1.xml.rels><?xml version="1.0" encoding="UTF-8" standalone="yes"?>
<Relationships xmlns="http://schemas.openxmlformats.org/package/2006/relationships"><Relationship Id="rId2" Type="http://schemas.microsoft.com/office/2011/relationships/chartColorStyle" Target="colors1.xml" /><Relationship Id="rId1" Type="http://schemas.microsoft.com/office/2011/relationships/chartStyle" Target="style1.xml" /></Relationships>
</file>

<file path=word/charts/_rels/chart2.xml.rels><?xml version="1.0" encoding="UTF-8" standalone="yes"?>
<Relationships xmlns="http://schemas.openxmlformats.org/package/2006/relationships"><Relationship Id="rId2" Type="http://schemas.microsoft.com/office/2011/relationships/chartColorStyle" Target="colors2.xml" /><Relationship Id="rId1" Type="http://schemas.microsoft.com/office/2011/relationships/chartStyle" Target="style2.xml" /></Relationships>
</file>

<file path=word/charts/_rels/chart3.xml.rels><?xml version="1.0" encoding="UTF-8" standalone="yes"?>
<Relationships xmlns="http://schemas.openxmlformats.org/package/2006/relationships"><Relationship Id="rId2" Type="http://schemas.microsoft.com/office/2011/relationships/chartColorStyle" Target="colors3.xml" /><Relationship Id="rId1" Type="http://schemas.microsoft.com/office/2011/relationships/chartStyle" Target="style3.xml" /></Relationships>
</file>

<file path=word/charts/_rels/chart4.xml.rels><?xml version="1.0" encoding="UTF-8" standalone="yes"?>
<Relationships xmlns="http://schemas.openxmlformats.org/package/2006/relationships"><Relationship Id="rId2" Type="http://schemas.microsoft.com/office/2011/relationships/chartColorStyle" Target="colors4.xml" /><Relationship Id="rId1" Type="http://schemas.microsoft.com/office/2011/relationships/chartStyle" Target="style4.xml" /></Relationships>
</file>

<file path=word/charts/_rels/chart5.xml.rels><?xml version="1.0" encoding="UTF-8" standalone="yes"?>
<Relationships xmlns="http://schemas.openxmlformats.org/package/2006/relationships"><Relationship Id="rId2" Type="http://schemas.microsoft.com/office/2011/relationships/chartColorStyle" Target="colors5.xml" /><Relationship Id="rId1" Type="http://schemas.microsoft.com/office/2011/relationships/chartStyle" Target="style5.xml" /></Relationships>
</file>

<file path=word/charts/_rels/chart6.xml.rels><?xml version="1.0" encoding="UTF-8" standalone="yes"?>
<Relationships xmlns="http://schemas.openxmlformats.org/package/2006/relationships"><Relationship Id="rId2" Type="http://schemas.microsoft.com/office/2011/relationships/chartColorStyle" Target="colors6.xml" /><Relationship Id="rId1" Type="http://schemas.microsoft.com/office/2011/relationships/chartStyle" Target="style6.xml" /></Relationships>
</file>

<file path=word/charts/_rels/chart7.xml.rels><?xml version="1.0" encoding="UTF-8" standalone="yes"?>
<Relationships xmlns="http://schemas.openxmlformats.org/package/2006/relationships"><Relationship Id="rId2" Type="http://schemas.microsoft.com/office/2011/relationships/chartColorStyle" Target="colors7.xml" /><Relationship Id="rId1" Type="http://schemas.microsoft.com/office/2011/relationships/chartStyle" Target="style7.xml" /></Relationships>
</file>

<file path=word/charts/_rels/chart8.xml.rels><?xml version="1.0" encoding="UTF-8" standalone="yes"?>
<Relationships xmlns="http://schemas.openxmlformats.org/package/2006/relationships"><Relationship Id="rId2" Type="http://schemas.microsoft.com/office/2011/relationships/chartColorStyle" Target="colors8.xml" /><Relationship Id="rId1" Type="http://schemas.microsoft.com/office/2011/relationships/chartStyle" Target="style8.xml" /></Relationships>
</file>

<file path=word/charts/_rels/chart9.xml.rels><?xml version="1.0" encoding="UTF-8" standalone="yes"?>
<Relationships xmlns="http://schemas.openxmlformats.org/package/2006/relationships"><Relationship Id="rId2" Type="http://schemas.microsoft.com/office/2011/relationships/chartColorStyle" Target="colors9.xml" /><Relationship Id="rId1" Type="http://schemas.microsoft.com/office/2011/relationships/chartStyle" Target="style9.xm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scatterChart>
        <c:scatterStyle val="smoothMarker"/>
        <c:varyColors val="0"/>
        <c:ser>
          <c:idx val="0"/>
          <c:order val="0"/>
          <c:tx>
            <c:strRef>
              <c:f>'[Бережна_інвестиційно-інноваційна безпека.xlsx]Іноземні інвестиції'!$A$3</c:f>
              <c:strCache>
                <c:ptCount val="1"/>
                <c:pt idx="0">
                  <c:v>Приріст прямих іноземних інвестицій</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'[Бережна_інвестиційно-інноваційна безпека.xlsx]Іноземні інвестиції'!$B$2:$L$2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xVal>
          <c:yVal>
            <c:numRef>
              <c:f>'[Бережна_інвестиційно-інноваційна безпека.xlsx]Іноземні інвестиції'!$B$3:$L$3</c:f>
              <c:numCache>
                <c:formatCode>0.00</c:formatCode>
                <c:ptCount val="11"/>
                <c:pt idx="0">
                  <c:v>-5.6806123739999999</c:v>
                </c:pt>
                <c:pt idx="1">
                  <c:v>-2.8401474950000001</c:v>
                </c:pt>
                <c:pt idx="2">
                  <c:v>-4.2207969529999998</c:v>
                </c:pt>
                <c:pt idx="3">
                  <c:v>12.08629548</c:v>
                </c:pt>
                <c:pt idx="4">
                  <c:v>-7.4167575379999997</c:v>
                </c:pt>
                <c:pt idx="5">
                  <c:v>-7.6571799570000003</c:v>
                </c:pt>
                <c:pt idx="6">
                  <c:v>-3.9897936500000002</c:v>
                </c:pt>
                <c:pt idx="7">
                  <c:v>-5.2012425000000002</c:v>
                </c:pt>
                <c:pt idx="8">
                  <c:v>4.9118984819999998</c:v>
                </c:pt>
                <c:pt idx="9">
                  <c:v>2.139256284</c:v>
                </c:pt>
                <c:pt idx="10">
                  <c:v>-3.1639970709999998</c:v>
                </c:pt>
              </c:numCache>
            </c:numRef>
          </c:yVal>
          <c:smooth val="1"/>
          <c:extLst>
            <c:ext xmlns:c16="http://schemas.microsoft.com/office/drawing/2014/chart" uri="{C3380CC4-5D6E-409C-BE32-E72D297353CC}">
              <c16:uniqueId val="{00000001-4AED-E545-8B6C-51576C8AF7A9}"/>
            </c:ext>
          </c:extLst>
        </c:ser>
        <c:dLbls>
          <c:showLegendKey val="0"/>
          <c:showVal val="0"/>
          <c:showCatName val="0"/>
          <c:showSerName val="0"/>
          <c:showPercent val="0"/>
          <c:showBubbleSize val="0"/>
        </c:dLbls>
        <c:axId val="1544113856"/>
        <c:axId val="1544115648"/>
      </c:scatterChart>
      <c:valAx>
        <c:axId val="15441138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544115648"/>
        <c:crosses val="autoZero"/>
        <c:crossBetween val="midCat"/>
      </c:valAx>
      <c:valAx>
        <c:axId val="15441156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5441138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scatterChart>
        <c:scatterStyle val="smoothMarker"/>
        <c:varyColors val="0"/>
        <c:ser>
          <c:idx val="0"/>
          <c:order val="0"/>
          <c:tx>
            <c:strRef>
              <c:f>'[Бережна_Фінансова безпека.xlsx]Державний борг'!$A$3</c:f>
              <c:strCache>
                <c:ptCount val="1"/>
                <c:pt idx="0">
                  <c:v>Державний борг, % до ВВП</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'[Бережна_Фінансова безпека.xlsx]Державний борг'!$B$2:$K$2</c:f>
              <c:numCache>
                <c:formatCode>General</c:formatCode>
                <c:ptCount val="10"/>
                <c:pt idx="0">
                  <c:v>2013</c:v>
                </c:pt>
                <c:pt idx="1">
                  <c:v>2014</c:v>
                </c:pt>
                <c:pt idx="2">
                  <c:v>2015</c:v>
                </c:pt>
                <c:pt idx="3">
                  <c:v>2016</c:v>
                </c:pt>
                <c:pt idx="4">
                  <c:v>2017</c:v>
                </c:pt>
                <c:pt idx="5">
                  <c:v>2018</c:v>
                </c:pt>
                <c:pt idx="6">
                  <c:v>2019</c:v>
                </c:pt>
                <c:pt idx="7">
                  <c:v>2020</c:v>
                </c:pt>
                <c:pt idx="8">
                  <c:v>2021</c:v>
                </c:pt>
                <c:pt idx="9">
                  <c:v>2022</c:v>
                </c:pt>
              </c:numCache>
            </c:numRef>
          </c:xVal>
          <c:yVal>
            <c:numRef>
              <c:f>'[Бережна_Фінансова безпека.xlsx]Державний борг'!$B$3:$K$3</c:f>
              <c:numCache>
                <c:formatCode>0.00</c:formatCode>
                <c:ptCount val="10"/>
                <c:pt idx="0">
                  <c:v>101.56436100000001</c:v>
                </c:pt>
                <c:pt idx="1">
                  <c:v>112.3041623</c:v>
                </c:pt>
                <c:pt idx="2">
                  <c:v>108.58164859999999</c:v>
                </c:pt>
                <c:pt idx="3">
                  <c:v>110.18212269999999</c:v>
                </c:pt>
                <c:pt idx="4">
                  <c:v>103.8647204</c:v>
                </c:pt>
                <c:pt idx="5">
                  <c:v>101.3831517</c:v>
                </c:pt>
                <c:pt idx="6">
                  <c:v>103.36661700000001</c:v>
                </c:pt>
                <c:pt idx="7">
                  <c:v>119.2694365</c:v>
                </c:pt>
                <c:pt idx="8">
                  <c:v>108.0102876</c:v>
                </c:pt>
                <c:pt idx="9">
                  <c:v>94.039432140000002</c:v>
                </c:pt>
              </c:numCache>
            </c:numRef>
          </c:yVal>
          <c:smooth val="1"/>
          <c:extLst>
            <c:ext xmlns:c16="http://schemas.microsoft.com/office/drawing/2014/chart" uri="{C3380CC4-5D6E-409C-BE32-E72D297353CC}">
              <c16:uniqueId val="{00000001-8374-1544-A5D5-B446D21C904A}"/>
            </c:ext>
          </c:extLst>
        </c:ser>
        <c:dLbls>
          <c:showLegendKey val="0"/>
          <c:showVal val="0"/>
          <c:showCatName val="0"/>
          <c:showSerName val="0"/>
          <c:showPercent val="0"/>
          <c:showBubbleSize val="0"/>
        </c:dLbls>
        <c:axId val="1869828032"/>
        <c:axId val="1869829824"/>
      </c:scatterChart>
      <c:valAx>
        <c:axId val="1869828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869829824"/>
        <c:crosses val="autoZero"/>
        <c:crossBetween val="midCat"/>
      </c:valAx>
      <c:valAx>
        <c:axId val="18698298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8698280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scatterChart>
        <c:scatterStyle val="smoothMarker"/>
        <c:varyColors val="0"/>
        <c:ser>
          <c:idx val="0"/>
          <c:order val="0"/>
          <c:tx>
            <c:strRef>
              <c:f>'[Бережна_Соціальна безпека.xlsx]Аркуш1'!$A$3</c:f>
              <c:strCache>
                <c:ptCount val="1"/>
                <c:pt idx="0">
                  <c:v>Співвідношення найбагатших 10% населення та найбідніших 10% населення</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'[Бережна_Соціальна безпека.xlsx]Аркуш1'!$B$2:$J$2</c:f>
              <c:numCache>
                <c:formatCode>General</c:formatCode>
                <c:ptCount val="9"/>
                <c:pt idx="0">
                  <c:v>2013</c:v>
                </c:pt>
                <c:pt idx="1">
                  <c:v>2014</c:v>
                </c:pt>
                <c:pt idx="2">
                  <c:v>2015</c:v>
                </c:pt>
                <c:pt idx="3">
                  <c:v>2016</c:v>
                </c:pt>
                <c:pt idx="4">
                  <c:v>2017</c:v>
                </c:pt>
                <c:pt idx="5">
                  <c:v>2018</c:v>
                </c:pt>
                <c:pt idx="6">
                  <c:v>2019</c:v>
                </c:pt>
                <c:pt idx="7">
                  <c:v>2020</c:v>
                </c:pt>
                <c:pt idx="8">
                  <c:v>2021</c:v>
                </c:pt>
              </c:numCache>
            </c:numRef>
          </c:xVal>
          <c:yVal>
            <c:numRef>
              <c:f>'[Бережна_Соціальна безпека.xlsx]Аркуш1'!$B$3:$J$3</c:f>
              <c:numCache>
                <c:formatCode>0.00</c:formatCode>
                <c:ptCount val="9"/>
                <c:pt idx="0">
                  <c:v>6.6060606060606064</c:v>
                </c:pt>
                <c:pt idx="1">
                  <c:v>6.5882352941176467</c:v>
                </c:pt>
                <c:pt idx="2">
                  <c:v>6.5294117647058822</c:v>
                </c:pt>
                <c:pt idx="3">
                  <c:v>6.5294117647058822</c:v>
                </c:pt>
                <c:pt idx="4">
                  <c:v>6.4411764705882346</c:v>
                </c:pt>
                <c:pt idx="5">
                  <c:v>6.3428571428571425</c:v>
                </c:pt>
                <c:pt idx="6">
                  <c:v>6.1944444444444446</c:v>
                </c:pt>
                <c:pt idx="7">
                  <c:v>5.7837837837837833</c:v>
                </c:pt>
                <c:pt idx="8">
                  <c:v>6.083333333333333</c:v>
                </c:pt>
              </c:numCache>
            </c:numRef>
          </c:yVal>
          <c:smooth val="1"/>
          <c:extLst>
            <c:ext xmlns:c16="http://schemas.microsoft.com/office/drawing/2014/chart" uri="{C3380CC4-5D6E-409C-BE32-E72D297353CC}">
              <c16:uniqueId val="{00000001-C424-C847-A209-57D75132E353}"/>
            </c:ext>
          </c:extLst>
        </c:ser>
        <c:dLbls>
          <c:showLegendKey val="0"/>
          <c:showVal val="0"/>
          <c:showCatName val="0"/>
          <c:showSerName val="0"/>
          <c:showPercent val="0"/>
          <c:showBubbleSize val="0"/>
        </c:dLbls>
        <c:axId val="1088371712"/>
        <c:axId val="1088373504"/>
      </c:scatterChart>
      <c:valAx>
        <c:axId val="10883717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088373504"/>
        <c:crosses val="autoZero"/>
        <c:crossBetween val="midCat"/>
      </c:valAx>
      <c:valAx>
        <c:axId val="108837350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088371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scatterChart>
        <c:scatterStyle val="smoothMarker"/>
        <c:varyColors val="0"/>
        <c:ser>
          <c:idx val="0"/>
          <c:order val="0"/>
          <c:tx>
            <c:strRef>
              <c:f>'[Бережна_Продовольча безпека.xlsx]Виробництво зерна'!$A$4</c:f>
              <c:strCache>
                <c:ptCount val="1"/>
                <c:pt idx="0">
                  <c:v>Виробництво зерна, т</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'[Бережна_Продовольча безпека.xlsx]Виробництво зерна'!$B$2:$K$2</c:f>
              <c:numCache>
                <c:formatCode>General</c:formatCode>
                <c:ptCount val="10"/>
                <c:pt idx="0">
                  <c:v>2013</c:v>
                </c:pt>
                <c:pt idx="1">
                  <c:v>2014</c:v>
                </c:pt>
                <c:pt idx="2">
                  <c:v>2015</c:v>
                </c:pt>
                <c:pt idx="3">
                  <c:v>2016</c:v>
                </c:pt>
                <c:pt idx="4">
                  <c:v>2017</c:v>
                </c:pt>
                <c:pt idx="5">
                  <c:v>2018</c:v>
                </c:pt>
                <c:pt idx="6">
                  <c:v>2019</c:v>
                </c:pt>
                <c:pt idx="7">
                  <c:v>2020</c:v>
                </c:pt>
                <c:pt idx="8">
                  <c:v>2021</c:v>
                </c:pt>
                <c:pt idx="9">
                  <c:v>2022</c:v>
                </c:pt>
              </c:numCache>
            </c:numRef>
          </c:xVal>
          <c:yVal>
            <c:numRef>
              <c:f>'[Бережна_Продовольча безпека.xlsx]Виробництво зерна'!$B$4:$K$4</c:f>
              <c:numCache>
                <c:formatCode>General</c:formatCode>
                <c:ptCount val="10"/>
                <c:pt idx="0">
                  <c:v>3097497</c:v>
                </c:pt>
                <c:pt idx="1">
                  <c:v>3162852</c:v>
                </c:pt>
                <c:pt idx="2">
                  <c:v>3163733</c:v>
                </c:pt>
                <c:pt idx="3">
                  <c:v>2287774</c:v>
                </c:pt>
                <c:pt idx="4">
                  <c:v>2764392</c:v>
                </c:pt>
                <c:pt idx="5">
                  <c:v>2431020</c:v>
                </c:pt>
                <c:pt idx="6">
                  <c:v>2814390</c:v>
                </c:pt>
                <c:pt idx="7">
                  <c:v>2565850</c:v>
                </c:pt>
                <c:pt idx="8">
                  <c:v>2452580</c:v>
                </c:pt>
                <c:pt idx="9">
                  <c:v>2779540</c:v>
                </c:pt>
              </c:numCache>
            </c:numRef>
          </c:yVal>
          <c:smooth val="1"/>
          <c:extLst>
            <c:ext xmlns:c16="http://schemas.microsoft.com/office/drawing/2014/chart" uri="{C3380CC4-5D6E-409C-BE32-E72D297353CC}">
              <c16:uniqueId val="{00000001-AF3A-D349-9EC1-6E94A537C10D}"/>
            </c:ext>
          </c:extLst>
        </c:ser>
        <c:dLbls>
          <c:showLegendKey val="0"/>
          <c:showVal val="0"/>
          <c:showCatName val="0"/>
          <c:showSerName val="0"/>
          <c:showPercent val="0"/>
          <c:showBubbleSize val="0"/>
        </c:dLbls>
        <c:axId val="1935701504"/>
        <c:axId val="1935703296"/>
      </c:scatterChart>
      <c:valAx>
        <c:axId val="19357015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935703296"/>
        <c:crosses val="autoZero"/>
        <c:crossBetween val="midCat"/>
      </c:valAx>
      <c:valAx>
        <c:axId val="1935703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9357015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scatterChart>
        <c:scatterStyle val="smoothMarker"/>
        <c:varyColors val="0"/>
        <c:ser>
          <c:idx val="0"/>
          <c:order val="0"/>
          <c:tx>
            <c:strRef>
              <c:f>'[Бережна_Макроекономічна економіка.xlsx]Рівень безробіття'!$A$3</c:f>
              <c:strCache>
                <c:ptCount val="1"/>
                <c:pt idx="0">
                  <c:v>Рівень безробіття</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'[Бережна_Макроекономічна економіка.xlsx]Рівень безробіття'!$B$2:$L$2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xVal>
          <c:yVal>
            <c:numRef>
              <c:f>'[Бережна_Макроекономічна економіка.xlsx]Рівень безробіття'!$B$3:$L$3</c:f>
              <c:numCache>
                <c:formatCode>General</c:formatCode>
                <c:ptCount val="11"/>
                <c:pt idx="0">
                  <c:v>8.4250000000000007</c:v>
                </c:pt>
                <c:pt idx="1">
                  <c:v>8.5229999999999997</c:v>
                </c:pt>
                <c:pt idx="2">
                  <c:v>8.4819999999999993</c:v>
                </c:pt>
                <c:pt idx="3">
                  <c:v>7.83</c:v>
                </c:pt>
                <c:pt idx="4">
                  <c:v>7.0860000000000003</c:v>
                </c:pt>
                <c:pt idx="5">
                  <c:v>5.9480000000000004</c:v>
                </c:pt>
                <c:pt idx="6">
                  <c:v>5.36</c:v>
                </c:pt>
                <c:pt idx="7">
                  <c:v>5.5549999999999997</c:v>
                </c:pt>
                <c:pt idx="8">
                  <c:v>6.2640000000000002</c:v>
                </c:pt>
                <c:pt idx="9">
                  <c:v>5.5579999999999998</c:v>
                </c:pt>
                <c:pt idx="10">
                  <c:v>5.508</c:v>
                </c:pt>
              </c:numCache>
            </c:numRef>
          </c:yVal>
          <c:smooth val="1"/>
          <c:extLst>
            <c:ext xmlns:c16="http://schemas.microsoft.com/office/drawing/2014/chart" uri="{C3380CC4-5D6E-409C-BE32-E72D297353CC}">
              <c16:uniqueId val="{00000001-7EE1-144D-9DF6-DF5424882E82}"/>
            </c:ext>
          </c:extLst>
        </c:ser>
        <c:dLbls>
          <c:showLegendKey val="0"/>
          <c:showVal val="0"/>
          <c:showCatName val="0"/>
          <c:showSerName val="0"/>
          <c:showPercent val="0"/>
          <c:showBubbleSize val="0"/>
        </c:dLbls>
        <c:axId val="822928000"/>
        <c:axId val="822929792"/>
      </c:scatterChart>
      <c:valAx>
        <c:axId val="822928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822929792"/>
        <c:crosses val="autoZero"/>
        <c:crossBetween val="midCat"/>
      </c:valAx>
      <c:valAx>
        <c:axId val="822929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82292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scatterChart>
        <c:scatterStyle val="smoothMarker"/>
        <c:varyColors val="0"/>
        <c:ser>
          <c:idx val="0"/>
          <c:order val="0"/>
          <c:tx>
            <c:strRef>
              <c:f>'[Бережна_енергетична безпека Бельгії.xlsx]Втрата енергії при трапспортува'!$A$2</c:f>
              <c:strCache>
                <c:ptCount val="1"/>
                <c:pt idx="0">
                  <c:v>Втрата енергії при  транспортуванні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strRef>
              <c:f>'[Бережна_енергетична безпека Бельгії.xlsx]Втрата енергії при трапспортува'!$I$1:$O$1</c:f>
              <c:strCache>
                <c:ptCount val="4"/>
                <c:pt idx="0">
                  <c:v>2012</c:v>
                </c:pt>
                <c:pt idx="1">
                  <c:v>2013</c:v>
                </c:pt>
                <c:pt idx="2">
                  <c:v>2014</c:v>
                </c:pt>
                <c:pt idx="3">
                  <c:v>Середнє значення </c:v>
                </c:pt>
              </c:strCache>
            </c:strRef>
          </c:xVal>
          <c:yVal>
            <c:numRef>
              <c:f>'[Бережна_енергетична безпека Бельгії.xlsx]Втрата енергії при трапспортува'!$B$2:$K$2</c:f>
              <c:numCache>
                <c:formatCode>0.00</c:formatCode>
                <c:ptCount val="10"/>
                <c:pt idx="0">
                  <c:v>4.8489656859999997</c:v>
                </c:pt>
                <c:pt idx="1">
                  <c:v>4.9544743210000002</c:v>
                </c:pt>
                <c:pt idx="2">
                  <c:v>4.6430856409999999</c:v>
                </c:pt>
                <c:pt idx="3">
                  <c:v>5.0991230270000001</c:v>
                </c:pt>
                <c:pt idx="4">
                  <c:v>4.5264236240000004</c:v>
                </c:pt>
                <c:pt idx="5">
                  <c:v>4.5644922360000004</c:v>
                </c:pt>
                <c:pt idx="6">
                  <c:v>4.6666816459999998</c:v>
                </c:pt>
                <c:pt idx="7">
                  <c:v>5.0611974860000002</c:v>
                </c:pt>
                <c:pt idx="8">
                  <c:v>4.8756146239999998</c:v>
                </c:pt>
                <c:pt idx="9">
                  <c:v>5.4250230760000004</c:v>
                </c:pt>
              </c:numCache>
            </c:numRef>
          </c:yVal>
          <c:smooth val="1"/>
          <c:extLst>
            <c:ext xmlns:c16="http://schemas.microsoft.com/office/drawing/2014/chart" uri="{C3380CC4-5D6E-409C-BE32-E72D297353CC}">
              <c16:uniqueId val="{00000001-B750-2C47-AF99-48677023886D}"/>
            </c:ext>
          </c:extLst>
        </c:ser>
        <c:dLbls>
          <c:showLegendKey val="0"/>
          <c:showVal val="0"/>
          <c:showCatName val="0"/>
          <c:showSerName val="0"/>
          <c:showPercent val="0"/>
          <c:showBubbleSize val="0"/>
        </c:dLbls>
        <c:axId val="286089984"/>
        <c:axId val="286092224"/>
      </c:scatterChart>
      <c:valAx>
        <c:axId val="28608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286092224"/>
        <c:crosses val="autoZero"/>
        <c:crossBetween val="midCat"/>
      </c:valAx>
      <c:valAx>
        <c:axId val="2860922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2860899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scatterChart>
        <c:scatterStyle val="smoothMarker"/>
        <c:varyColors val="0"/>
        <c:ser>
          <c:idx val="0"/>
          <c:order val="0"/>
          <c:tx>
            <c:strRef>
              <c:f>'[Бережна_виробнича безпека Бельгії.xlsx]Будівництво'!$A$2</c:f>
              <c:strCache>
                <c:ptCount val="1"/>
                <c:pt idx="0">
                  <c:v>Обсяг будівництва</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trendlineLbl>
          </c:trendline>
          <c:trendline>
            <c:spPr>
              <a:ln w="19050" cap="rnd">
                <a:solidFill>
                  <a:schemeClr val="accent1"/>
                </a:solidFill>
                <a:prstDash val="sysDot"/>
              </a:ln>
              <a:effectLst/>
            </c:spPr>
            <c:trendlineType val="exp"/>
            <c:dispRSqr val="0"/>
            <c:dispEq val="0"/>
          </c:trendline>
          <c:xVal>
            <c:numRef>
              <c:f>'[Бережна_виробнича безпека Бельгії.xlsx]Будівництво'!$B$1:$I$1</c:f>
              <c:numCache>
                <c:formatCode>General</c:formatCode>
                <c:ptCount val="8"/>
                <c:pt idx="0">
                  <c:v>2016</c:v>
                </c:pt>
                <c:pt idx="1">
                  <c:v>2017</c:v>
                </c:pt>
                <c:pt idx="2">
                  <c:v>2018</c:v>
                </c:pt>
                <c:pt idx="3">
                  <c:v>2019</c:v>
                </c:pt>
                <c:pt idx="4">
                  <c:v>2020</c:v>
                </c:pt>
                <c:pt idx="5">
                  <c:v>2021</c:v>
                </c:pt>
                <c:pt idx="6">
                  <c:v>2022</c:v>
                </c:pt>
                <c:pt idx="7">
                  <c:v>2023</c:v>
                </c:pt>
              </c:numCache>
            </c:numRef>
          </c:xVal>
          <c:yVal>
            <c:numRef>
              <c:f>'[Бережна_виробнича безпека Бельгії.xlsx]Будівництво'!$B$2:$I$2</c:f>
              <c:numCache>
                <c:formatCode>General</c:formatCode>
                <c:ptCount val="8"/>
                <c:pt idx="0">
                  <c:v>103.6</c:v>
                </c:pt>
                <c:pt idx="1">
                  <c:v>105.9</c:v>
                </c:pt>
                <c:pt idx="2">
                  <c:v>107.4</c:v>
                </c:pt>
                <c:pt idx="3">
                  <c:v>111.4</c:v>
                </c:pt>
                <c:pt idx="4">
                  <c:v>106.5</c:v>
                </c:pt>
                <c:pt idx="5">
                  <c:v>121.8</c:v>
                </c:pt>
                <c:pt idx="6">
                  <c:v>121.1</c:v>
                </c:pt>
                <c:pt idx="7">
                  <c:v>115.8</c:v>
                </c:pt>
              </c:numCache>
            </c:numRef>
          </c:yVal>
          <c:smooth val="1"/>
          <c:extLst>
            <c:ext xmlns:c16="http://schemas.microsoft.com/office/drawing/2014/chart" uri="{C3380CC4-5D6E-409C-BE32-E72D297353CC}">
              <c16:uniqueId val="{00000002-6B9D-054A-9470-DB4D4EDB4DC3}"/>
            </c:ext>
          </c:extLst>
        </c:ser>
        <c:dLbls>
          <c:showLegendKey val="0"/>
          <c:showVal val="0"/>
          <c:showCatName val="0"/>
          <c:showSerName val="0"/>
          <c:showPercent val="0"/>
          <c:showBubbleSize val="0"/>
        </c:dLbls>
        <c:axId val="1542139072"/>
        <c:axId val="1542140864"/>
      </c:scatterChart>
      <c:valAx>
        <c:axId val="154213907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542140864"/>
        <c:crosses val="autoZero"/>
        <c:crossBetween val="midCat"/>
      </c:valAx>
      <c:valAx>
        <c:axId val="154214086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542139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scatterChart>
        <c:scatterStyle val="smoothMarker"/>
        <c:varyColors val="0"/>
        <c:ser>
          <c:idx val="0"/>
          <c:order val="0"/>
          <c:tx>
            <c:strRef>
              <c:f>'[Бережна_Бельгія5.11.xlsx]Покриття експортом імпорт'!$A$3</c:f>
              <c:strCache>
                <c:ptCount val="1"/>
                <c:pt idx="0">
                  <c:v>Покритя експортом імпорту, разів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'[Бережна_Бельгія5.11.xlsx]Покриття експортом імпорт'!$B$2:$L$2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xVal>
          <c:yVal>
            <c:numRef>
              <c:f>'[Бережна_Бельгія5.11.xlsx]Покриття експортом імпорт'!$B$3:$L$3</c:f>
              <c:numCache>
                <c:formatCode>0.00</c:formatCode>
                <c:ptCount val="11"/>
                <c:pt idx="0">
                  <c:v>1.0101602872169084</c:v>
                </c:pt>
                <c:pt idx="1">
                  <c:v>1.0103669200020589</c:v>
                </c:pt>
                <c:pt idx="2">
                  <c:v>1.01856353676075</c:v>
                </c:pt>
                <c:pt idx="3">
                  <c:v>1.0152642512158527</c:v>
                </c:pt>
                <c:pt idx="4">
                  <c:v>1.0126484150872299</c:v>
                </c:pt>
                <c:pt idx="5">
                  <c:v>0.99597761162919241</c:v>
                </c:pt>
                <c:pt idx="6">
                  <c:v>1.0076819919091276</c:v>
                </c:pt>
                <c:pt idx="7">
                  <c:v>1.0260964038012403</c:v>
                </c:pt>
                <c:pt idx="8">
                  <c:v>1.0204765788421466</c:v>
                </c:pt>
                <c:pt idx="9">
                  <c:v>0.98326669407024125</c:v>
                </c:pt>
                <c:pt idx="10">
                  <c:v>0.98935595185647474</c:v>
                </c:pt>
              </c:numCache>
            </c:numRef>
          </c:yVal>
          <c:smooth val="1"/>
          <c:extLst>
            <c:ext xmlns:c16="http://schemas.microsoft.com/office/drawing/2014/chart" uri="{C3380CC4-5D6E-409C-BE32-E72D297353CC}">
              <c16:uniqueId val="{00000001-4DA6-A74E-8E9C-C30D97ADFC50}"/>
            </c:ext>
          </c:extLst>
        </c:ser>
        <c:dLbls>
          <c:showLegendKey val="0"/>
          <c:showVal val="0"/>
          <c:showCatName val="0"/>
          <c:showSerName val="0"/>
          <c:showPercent val="0"/>
          <c:showBubbleSize val="0"/>
        </c:dLbls>
        <c:axId val="1122384896"/>
        <c:axId val="1122386688"/>
      </c:scatterChart>
      <c:valAx>
        <c:axId val="11223848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122386688"/>
        <c:crosses val="autoZero"/>
        <c:crossBetween val="midCat"/>
      </c:valAx>
      <c:valAx>
        <c:axId val="112238668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1223848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scatterChart>
        <c:scatterStyle val="smoothMarker"/>
        <c:varyColors val="0"/>
        <c:ser>
          <c:idx val="0"/>
          <c:order val="0"/>
          <c:tx>
            <c:strRef>
              <c:f>'[Бережна_14.xlsx]Очікування тривалість життя'!$A$2</c:f>
              <c:strCache>
                <c:ptCount val="1"/>
                <c:pt idx="0">
                  <c:v>Очікувана тривалість життя, років</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trendlineLbl>
          </c:trendline>
          <c:xVal>
            <c:numRef>
              <c:f>'[Бережна_14.xlsx]Очікування тривалість життя'!$B$1:$K$1</c:f>
              <c:numCache>
                <c:formatCode>General</c:formatCode>
                <c:ptCount val="10"/>
                <c:pt idx="0">
                  <c:v>2013</c:v>
                </c:pt>
                <c:pt idx="1">
                  <c:v>2014</c:v>
                </c:pt>
                <c:pt idx="2">
                  <c:v>2015</c:v>
                </c:pt>
                <c:pt idx="3">
                  <c:v>2016</c:v>
                </c:pt>
                <c:pt idx="4">
                  <c:v>2017</c:v>
                </c:pt>
                <c:pt idx="5">
                  <c:v>2018</c:v>
                </c:pt>
                <c:pt idx="6">
                  <c:v>2019</c:v>
                </c:pt>
                <c:pt idx="7">
                  <c:v>2020</c:v>
                </c:pt>
                <c:pt idx="8">
                  <c:v>2021</c:v>
                </c:pt>
                <c:pt idx="9">
                  <c:v>2022</c:v>
                </c:pt>
              </c:numCache>
            </c:numRef>
          </c:xVal>
          <c:yVal>
            <c:numRef>
              <c:f>'[Бережна_14.xlsx]Очікування тривалість життя'!$B$2:$K$2</c:f>
              <c:numCache>
                <c:formatCode>0.00;[Red]0.00</c:formatCode>
                <c:ptCount val="10"/>
                <c:pt idx="0">
                  <c:v>80.587848800000003</c:v>
                </c:pt>
                <c:pt idx="1">
                  <c:v>81.287804879999996</c:v>
                </c:pt>
                <c:pt idx="2">
                  <c:v>80.992682930000001</c:v>
                </c:pt>
                <c:pt idx="3">
                  <c:v>81.43902439</c:v>
                </c:pt>
                <c:pt idx="4">
                  <c:v>81.492682930000001</c:v>
                </c:pt>
                <c:pt idx="5">
                  <c:v>81.595121950000006</c:v>
                </c:pt>
                <c:pt idx="6">
                  <c:v>81.995121949999998</c:v>
                </c:pt>
                <c:pt idx="7">
                  <c:v>80.695131950000004</c:v>
                </c:pt>
                <c:pt idx="8">
                  <c:v>81.790243899999993</c:v>
                </c:pt>
                <c:pt idx="9">
                  <c:v>81.697560980000006</c:v>
                </c:pt>
              </c:numCache>
            </c:numRef>
          </c:yVal>
          <c:smooth val="1"/>
          <c:extLst>
            <c:ext xmlns:c16="http://schemas.microsoft.com/office/drawing/2014/chart" uri="{C3380CC4-5D6E-409C-BE32-E72D297353CC}">
              <c16:uniqueId val="{00000001-4C3E-764E-82E9-EFACDB110C74}"/>
            </c:ext>
          </c:extLst>
        </c:ser>
        <c:dLbls>
          <c:showLegendKey val="0"/>
          <c:showVal val="0"/>
          <c:showCatName val="0"/>
          <c:showSerName val="0"/>
          <c:showPercent val="0"/>
          <c:showBubbleSize val="0"/>
        </c:dLbls>
        <c:axId val="1384090624"/>
        <c:axId val="1384092416"/>
      </c:scatterChart>
      <c:valAx>
        <c:axId val="138409062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384092416"/>
        <c:crosses val="autoZero"/>
        <c:crossBetween val="midCat"/>
      </c:valAx>
      <c:valAx>
        <c:axId val="138409241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0.00;[Red]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384090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11848</Words>
  <Characters>6754</Characters>
  <Application>Microsoft Office Word</Application>
  <DocSecurity>0</DocSecurity>
  <Lines>56</Lines>
  <Paragraphs>37</Paragraphs>
  <ScaleCrop>false</ScaleCrop>
  <Company/>
  <LinksUpToDate>false</LinksUpToDate>
  <CharactersWithSpaces>18565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berezhnaoleksandra21@gmail.com</dc:creator>
  <cp:keywords/>
  <dc:description/>
  <cp:lastModifiedBy>berezhnaoleksandra21@gmail.com</cp:lastModifiedBy>
  <cp:revision>2</cp:revision>
  <dcterms:created xsi:type="dcterms:W3CDTF">2024-12-05T15:28:00Z</dcterms:created>
  <dcterms:modified xsi:type="dcterms:W3CDTF">2024-12-05T15:28:00Z</dcterms:modified>
</cp:coreProperties>
</file>