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F826" w14:textId="77777777" w:rsidR="006C4219" w:rsidRDefault="00000000">
      <w:pPr>
        <w:pStyle w:val="Heading1"/>
      </w:pPr>
      <w:r>
        <w:t>Mediation Intelligence Platform</w:t>
      </w:r>
    </w:p>
    <w:p w14:paraId="74CAC762" w14:textId="77777777" w:rsidR="006C4219" w:rsidRDefault="00000000">
      <w:pPr>
        <w:pStyle w:val="Heading2"/>
      </w:pPr>
      <w:r>
        <w:t>Critical Architecture (v7.1 – Complete Private Commercial Master Edition)</w:t>
      </w:r>
    </w:p>
    <w:p w14:paraId="224FE4ED" w14:textId="77777777" w:rsidR="006C4219" w:rsidRDefault="00000000">
      <w:r>
        <w:t>Date: 2026-02-18</w:t>
      </w:r>
    </w:p>
    <w:p w14:paraId="6E0E2858" w14:textId="77777777" w:rsidR="006C4219" w:rsidRDefault="00000000">
      <w:r>
        <w:t>Deployment Scope: Private / Commercial Mediation Platform</w:t>
      </w:r>
    </w:p>
    <w:p w14:paraId="302EA66A" w14:textId="77777777" w:rsidR="006C4219" w:rsidRDefault="00000000">
      <w:r>
        <w:t>Positioning: Enterprise-Grade, High-Trust, Compliance-Ready Infrastructure</w:t>
      </w:r>
    </w:p>
    <w:p w14:paraId="08B30076" w14:textId="77777777" w:rsidR="006C4219" w:rsidRDefault="00000000">
      <w:r>
        <w:t>Certification: Not Government-Operated, Certification-Compatible by Design</w:t>
      </w:r>
    </w:p>
    <w:p w14:paraId="56255B13" w14:textId="77777777" w:rsidR="006C4219" w:rsidRDefault="00000000">
      <w:pPr>
        <w:pStyle w:val="Heading3"/>
      </w:pPr>
      <w:r>
        <w:t>Executive Summary</w:t>
      </w:r>
    </w:p>
    <w:p w14:paraId="7223C82F" w14:textId="77777777" w:rsidR="006C4219" w:rsidRDefault="00000000">
      <w:r>
        <w:t>Version 7.1 provides a fully consolidated commercial master architecture for the Mediation Intelligence Platform. It retains the strongest elements of the national-grade design—sovereignty controls, SLA automation, fairness governance, cryptographic hardening, evidentiary integrity, export reliability, and disaster recovery discipline—while removing government-specific submission workflows. The result is a scalable, enterprise-ready private mediation infrastructure.</w:t>
      </w:r>
    </w:p>
    <w:p w14:paraId="61C39C92" w14:textId="77777777" w:rsidR="006C4219" w:rsidRDefault="00000000">
      <w:pPr>
        <w:pStyle w:val="Heading3"/>
      </w:pPr>
      <w:r>
        <w:t>1. Multi-Tenant Isolation Architecture</w:t>
      </w:r>
    </w:p>
    <w:p w14:paraId="285A83A7" w14:textId="77777777" w:rsidR="006C4219" w:rsidRDefault="00000000">
      <w:r>
        <w:t>• Logical tenant isolation using tenant_id partitioning.</w:t>
      </w:r>
    </w:p>
    <w:p w14:paraId="337965C0" w14:textId="77777777" w:rsidR="006C4219" w:rsidRDefault="00000000">
      <w:r>
        <w:t>• Optional dedicated database instances for enterprise tier.</w:t>
      </w:r>
    </w:p>
    <w:p w14:paraId="5341468C" w14:textId="77777777" w:rsidR="006C4219" w:rsidRDefault="00000000">
      <w:r>
        <w:t>• Dedicated KMS namespaces for enterprise customers.</w:t>
      </w:r>
    </w:p>
    <w:p w14:paraId="0A3C53DC" w14:textId="77777777" w:rsidR="006C4219" w:rsidRDefault="00000000">
      <w:r>
        <w:t>• Strict RBAC with tenant-level boundary enforcement.</w:t>
      </w:r>
    </w:p>
    <w:p w14:paraId="4769E115" w14:textId="77777777" w:rsidR="006C4219" w:rsidRDefault="00000000">
      <w:r>
        <w:t>• All access events logged to immutable audit storage.</w:t>
      </w:r>
    </w:p>
    <w:p w14:paraId="43ECCB61" w14:textId="77777777" w:rsidR="006C4219" w:rsidRDefault="00000000">
      <w:pPr>
        <w:pStyle w:val="Heading3"/>
      </w:pPr>
      <w:r>
        <w:t>2. Data Residency &amp; Transparency Controls</w:t>
      </w:r>
    </w:p>
    <w:p w14:paraId="6E431F87" w14:textId="77777777" w:rsidR="006C4219" w:rsidRDefault="00000000">
      <w:r>
        <w:t>• Region-selectable hosting (e.g., Africa, EU, US).</w:t>
      </w:r>
    </w:p>
    <w:p w14:paraId="201D6F56" w14:textId="77777777" w:rsidR="006C4219" w:rsidRDefault="00000000">
      <w:r>
        <w:t>• Configurable cross-border replication per contract.</w:t>
      </w:r>
    </w:p>
    <w:p w14:paraId="2445024C" w14:textId="77777777" w:rsidR="006C4219" w:rsidRDefault="00000000">
      <w:r>
        <w:t>• Automated residency attestation dashboard.</w:t>
      </w:r>
    </w:p>
    <w:p w14:paraId="0675DF1A" w14:textId="77777777" w:rsidR="006C4219" w:rsidRDefault="00000000">
      <w:r>
        <w:t>• Sovereignty score visible to enterprise tenants.</w:t>
      </w:r>
    </w:p>
    <w:p w14:paraId="72FC927A" w14:textId="77777777" w:rsidR="006C4219" w:rsidRDefault="00000000">
      <w:r>
        <w:t>• Backups encrypted and region-restricted by default.</w:t>
      </w:r>
    </w:p>
    <w:p w14:paraId="5E8C4EB3" w14:textId="77777777" w:rsidR="006C4219" w:rsidRDefault="00000000">
      <w:pPr>
        <w:pStyle w:val="Heading3"/>
      </w:pPr>
      <w:r>
        <w:t>3. Incident Governance &amp; SLA Automation</w:t>
      </w:r>
    </w:p>
    <w:p w14:paraId="47B416F2" w14:textId="77777777" w:rsidR="006C4219" w:rsidRDefault="00000000">
      <w:r>
        <w:t>• Internal breach assessment target: 24 hours.</w:t>
      </w:r>
    </w:p>
    <w:p w14:paraId="62E12DA9" w14:textId="77777777" w:rsidR="006C4219" w:rsidRDefault="00000000">
      <w:r>
        <w:t>• External notification: within 48 hours if legally required.</w:t>
      </w:r>
    </w:p>
    <w:p w14:paraId="73A18DE0" w14:textId="77777777" w:rsidR="006C4219" w:rsidRDefault="00000000">
      <w:r>
        <w:t>• Automated deadline alerts at 20h and 44h.</w:t>
      </w:r>
    </w:p>
    <w:p w14:paraId="17CCB048" w14:textId="77777777" w:rsidR="006C4219" w:rsidRDefault="00000000">
      <w:r>
        <w:lastRenderedPageBreak/>
        <w:t>• Redundant scheduler services with heartbeat monitoring.</w:t>
      </w:r>
    </w:p>
    <w:p w14:paraId="22936ED5" w14:textId="77777777" w:rsidR="006C4219" w:rsidRDefault="00000000">
      <w:r>
        <w:t>• Infrastructure escalation to cloud provider.</w:t>
      </w:r>
    </w:p>
    <w:p w14:paraId="0D0FAF75" w14:textId="77777777" w:rsidR="006C4219" w:rsidRDefault="00000000">
      <w:r>
        <w:t>• Exportable incident logs for enterprise audits.</w:t>
      </w:r>
    </w:p>
    <w:p w14:paraId="2DCAD952" w14:textId="77777777" w:rsidR="006C4219" w:rsidRDefault="00000000">
      <w:pPr>
        <w:pStyle w:val="Heading3"/>
      </w:pPr>
      <w:r>
        <w:t>4. AI Fairness &amp; Model Governance</w:t>
      </w:r>
    </w:p>
    <w:p w14:paraId="59FFF302" w14:textId="77777777" w:rsidR="006C4219" w:rsidRDefault="00000000">
      <w:r>
        <w:t>• Baseline fairness validation before model deployment.</w:t>
      </w:r>
    </w:p>
    <w:p w14:paraId="4B1A73DC" w14:textId="77777777" w:rsidR="006C4219" w:rsidRDefault="00000000">
      <w:r>
        <w:t>• Version-controlled fairness_metric_versions registry.</w:t>
      </w:r>
    </w:p>
    <w:p w14:paraId="50DB9A7C" w14:textId="77777777" w:rsidR="006C4219" w:rsidRDefault="00000000">
      <w:r>
        <w:t>• Structured rollback workflow with documented impact review.</w:t>
      </w:r>
    </w:p>
    <w:p w14:paraId="13C25F8A" w14:textId="77777777" w:rsidR="006C4219" w:rsidRDefault="00000000">
      <w:r>
        <w:t>• Bias validation reports available to enterprise customers.</w:t>
      </w:r>
    </w:p>
    <w:p w14:paraId="22D7F877" w14:textId="77777777" w:rsidR="006C4219" w:rsidRDefault="00000000">
      <w:r>
        <w:t>• Regional fairness profiles for multinational clients.</w:t>
      </w:r>
    </w:p>
    <w:p w14:paraId="5263C412" w14:textId="77777777" w:rsidR="006C4219" w:rsidRDefault="00000000">
      <w:r>
        <w:t>• Model drift detection alerts integrated with monitoring stack.</w:t>
      </w:r>
    </w:p>
    <w:p w14:paraId="5865D462" w14:textId="77777777" w:rsidR="006C4219" w:rsidRDefault="00000000">
      <w:pPr>
        <w:pStyle w:val="Heading3"/>
      </w:pPr>
      <w:r>
        <w:t>5. Settlement Integrity &amp; Evidentiary Controls</w:t>
      </w:r>
    </w:p>
    <w:p w14:paraId="55919861" w14:textId="77777777" w:rsidR="006C4219" w:rsidRDefault="00000000">
      <w:r>
        <w:t>• Template version binding at generation time.</w:t>
      </w:r>
    </w:p>
    <w:p w14:paraId="4D8FA6D7" w14:textId="77777777" w:rsidR="006C4219" w:rsidRDefault="00000000">
      <w:r>
        <w:t>• template_id, version, template_hash permanently stored.</w:t>
      </w:r>
    </w:p>
    <w:p w14:paraId="1B006BA3" w14:textId="77777777" w:rsidR="006C4219" w:rsidRDefault="00000000">
      <w:r>
        <w:t>• Optional transcript root hash binding for evidentiary assurance.</w:t>
      </w:r>
    </w:p>
    <w:p w14:paraId="7A2E0468" w14:textId="77777777" w:rsidR="006C4219" w:rsidRDefault="00000000">
      <w:r>
        <w:t>• Export confirmation receipts retained.</w:t>
      </w:r>
    </w:p>
    <w:p w14:paraId="526C12D3" w14:textId="77777777" w:rsidR="006C4219" w:rsidRDefault="00000000">
      <w:r>
        <w:t>• Optional e-signature tiers: Basic, Advanced, Qualified.</w:t>
      </w:r>
    </w:p>
    <w:p w14:paraId="171B0B09" w14:textId="77777777" w:rsidR="006C4219" w:rsidRDefault="00000000">
      <w:r>
        <w:t>• Immutable audit log for document lifecycle tracking.</w:t>
      </w:r>
    </w:p>
    <w:p w14:paraId="03831EB5" w14:textId="77777777" w:rsidR="006C4219" w:rsidRDefault="00000000">
      <w:pPr>
        <w:pStyle w:val="Heading3"/>
      </w:pPr>
      <w:r>
        <w:t>6. Settlement Export Reliability Engine</w:t>
      </w:r>
    </w:p>
    <w:p w14:paraId="583DAF57" w14:textId="77777777" w:rsidR="006C4219" w:rsidRDefault="00000000">
      <w:r>
        <w:t>• Explicit lifecycle: QUEUED → IN_PROGRESS → DELIVERED → FAILED.</w:t>
      </w:r>
    </w:p>
    <w:p w14:paraId="517C6F2D" w14:textId="77777777" w:rsidR="006C4219" w:rsidRDefault="00000000">
      <w:r>
        <w:t>• Retry intervals: 1m, 5m, 15m, 1h, 6h.</w:t>
      </w:r>
    </w:p>
    <w:p w14:paraId="2DC1F1A2" w14:textId="77777777" w:rsidR="006C4219" w:rsidRDefault="00000000">
      <w:r>
        <w:t>• SLA breach alerts to mediator and tenant admin.</w:t>
      </w:r>
    </w:p>
    <w:p w14:paraId="045F96FE" w14:textId="77777777" w:rsidR="006C4219" w:rsidRDefault="00000000">
      <w:r>
        <w:t>• Escalation contacts encrypted.</w:t>
      </w:r>
    </w:p>
    <w:p w14:paraId="62303828" w14:textId="77777777" w:rsidR="006C4219" w:rsidRDefault="00000000">
      <w:r>
        <w:t>• Export logs retained for contractual and legal review.</w:t>
      </w:r>
    </w:p>
    <w:p w14:paraId="6EE744F9" w14:textId="77777777" w:rsidR="006C4219" w:rsidRDefault="00000000">
      <w:pPr>
        <w:pStyle w:val="Heading3"/>
      </w:pPr>
      <w:r>
        <w:t>7. Business Continuity &amp; Disaster Recovery (BCDR)</w:t>
      </w:r>
    </w:p>
    <w:p w14:paraId="394DFA9F" w14:textId="77777777" w:rsidR="006C4219" w:rsidRDefault="00000000">
      <w:r>
        <w:t>• Target RTO ≤ 4 hours (enterprise tier).</w:t>
      </w:r>
    </w:p>
    <w:p w14:paraId="7F946A78" w14:textId="77777777" w:rsidR="006C4219" w:rsidRDefault="00000000">
      <w:r>
        <w:t>• Target RPO ≤ 15 minutes (transcript data).</w:t>
      </w:r>
    </w:p>
    <w:p w14:paraId="7BC56D15" w14:textId="77777777" w:rsidR="006C4219" w:rsidRDefault="00000000">
      <w:r>
        <w:t>• Annual full disaster recovery simulation.</w:t>
      </w:r>
    </w:p>
    <w:p w14:paraId="5FF6C99F" w14:textId="77777777" w:rsidR="006C4219" w:rsidRDefault="00000000">
      <w:r>
        <w:t>• Quarterly backup immutability verification.</w:t>
      </w:r>
    </w:p>
    <w:p w14:paraId="19A1B081" w14:textId="77777777" w:rsidR="006C4219" w:rsidRDefault="00000000">
      <w:r>
        <w:lastRenderedPageBreak/>
        <w:t>• Semi-annual emergency access drills.</w:t>
      </w:r>
    </w:p>
    <w:p w14:paraId="6AFD133C" w14:textId="77777777" w:rsidR="006C4219" w:rsidRDefault="00000000">
      <w:r>
        <w:t>• BCDR results summarized in enterprise dashboard.</w:t>
      </w:r>
    </w:p>
    <w:p w14:paraId="09D7E4DA" w14:textId="77777777" w:rsidR="006C4219" w:rsidRDefault="00000000">
      <w:pPr>
        <w:pStyle w:val="Heading3"/>
      </w:pPr>
      <w:r>
        <w:t>8. Cryptographic Hardening &amp; Key Governance</w:t>
      </w:r>
    </w:p>
    <w:p w14:paraId="3A734302" w14:textId="77777777" w:rsidR="006C4219" w:rsidRDefault="00000000">
      <w:r>
        <w:t>• AES-256-GCM encryption for transcripts and media.</w:t>
      </w:r>
    </w:p>
    <w:p w14:paraId="72DE65F6" w14:textId="77777777" w:rsidR="006C4219" w:rsidRDefault="00000000">
      <w:r>
        <w:t>• Web Crypto API keys generated with extractable=false.</w:t>
      </w:r>
    </w:p>
    <w:p w14:paraId="58FA7E16" w14:textId="77777777" w:rsidR="006C4219" w:rsidRDefault="00000000">
      <w:r>
        <w:t>• Memory zeroing via TypedArray.fill(0) on blur/pagehide/logout.</w:t>
      </w:r>
    </w:p>
    <w:p w14:paraId="1CC3E53D" w14:textId="77777777" w:rsidR="006C4219" w:rsidRDefault="00000000">
      <w:r>
        <w:t>• Annual key rotation policy.</w:t>
      </w:r>
    </w:p>
    <w:p w14:paraId="223E276F" w14:textId="77777777" w:rsidR="006C4219" w:rsidRDefault="00000000">
      <w:r>
        <w:t>• Emergency decryption requires dual authorization (enterprise tier).</w:t>
      </w:r>
    </w:p>
    <w:p w14:paraId="457B91BC" w14:textId="77777777" w:rsidR="006C4219" w:rsidRDefault="00000000">
      <w:r>
        <w:t>• All key events logged to key_management_audit table.</w:t>
      </w:r>
    </w:p>
    <w:p w14:paraId="3092ACEB" w14:textId="77777777" w:rsidR="006C4219" w:rsidRDefault="00000000">
      <w:pPr>
        <w:pStyle w:val="Heading3"/>
      </w:pPr>
      <w:r>
        <w:t>9. Schema Governance &amp; Change Control</w:t>
      </w:r>
    </w:p>
    <w:p w14:paraId="06008220" w14:textId="77777777" w:rsidR="006C4219" w:rsidRDefault="00000000">
      <w:r>
        <w:t>• Master Schema Registry maintained internally.</w:t>
      </w:r>
    </w:p>
    <w:p w14:paraId="5C8CB56E" w14:textId="77777777" w:rsidR="006C4219" w:rsidRDefault="00000000">
      <w:r>
        <w:t>• DDL guardrails requiring approved change ticket reference.</w:t>
      </w:r>
    </w:p>
    <w:p w14:paraId="1D191275" w14:textId="77777777" w:rsidR="006C4219" w:rsidRDefault="00000000">
      <w:r>
        <w:t>• Unauthorized schema changes blocked and logged.</w:t>
      </w:r>
    </w:p>
    <w:p w14:paraId="65E5CFA5" w14:textId="77777777" w:rsidR="006C4219" w:rsidRDefault="00000000">
      <w:r>
        <w:t>• Governance Change Register accessible read-only to enterprise auditors.</w:t>
      </w:r>
    </w:p>
    <w:p w14:paraId="3C5BCF2C" w14:textId="77777777" w:rsidR="006C4219" w:rsidRDefault="00000000">
      <w:r>
        <w:t>• All schema changes version-controlled and documented.</w:t>
      </w:r>
    </w:p>
    <w:p w14:paraId="2927A9D8" w14:textId="77777777" w:rsidR="006C4219" w:rsidRDefault="00000000">
      <w:pPr>
        <w:pStyle w:val="Heading3"/>
      </w:pPr>
      <w:r>
        <w:t>10. Certification-Compatible Roadmap</w:t>
      </w:r>
    </w:p>
    <w:p w14:paraId="71AB9BA8" w14:textId="77777777" w:rsidR="006C4219" w:rsidRDefault="00000000">
      <w:r>
        <w:t>• Architecture compatible with ISO 27001 and SOC 2 readiness.</w:t>
      </w:r>
    </w:p>
    <w:p w14:paraId="5F7F7437" w14:textId="77777777" w:rsidR="006C4219" w:rsidRDefault="00000000">
      <w:r>
        <w:t>• Evidence-pack API available for future accreditation use.</w:t>
      </w:r>
    </w:p>
    <w:p w14:paraId="379A494F" w14:textId="77777777" w:rsidR="006C4219" w:rsidRDefault="00000000">
      <w:r>
        <w:t>• Cryptographic signing infrastructure retained.</w:t>
      </w:r>
    </w:p>
    <w:p w14:paraId="34FB21AF" w14:textId="77777777" w:rsidR="006C4219" w:rsidRDefault="00000000">
      <w:r>
        <w:t>• Governance documentation structured for audit scalability.</w:t>
      </w:r>
    </w:p>
    <w:p w14:paraId="21480314" w14:textId="77777777" w:rsidR="006C4219" w:rsidRDefault="00000000">
      <w:r>
        <w:t>• Government submission workflows intentionally excluded from launch scope.</w:t>
      </w:r>
    </w:p>
    <w:p w14:paraId="62AADB33" w14:textId="77777777" w:rsidR="006C4219" w:rsidRDefault="00000000">
      <w:r>
        <w:br w:type="page"/>
      </w:r>
    </w:p>
    <w:p w14:paraId="4FA81190" w14:textId="77777777" w:rsidR="006C4219" w:rsidRDefault="00000000">
      <w:pPr>
        <w:pStyle w:val="Heading2"/>
      </w:pPr>
      <w:r>
        <w:lastRenderedPageBreak/>
        <w:t>Appendix A: Master Schema Registry (Commercial Scope)</w:t>
      </w:r>
    </w:p>
    <w:p w14:paraId="7DB69993" w14:textId="77777777" w:rsidR="006C4219" w:rsidRDefault="00000000">
      <w:r>
        <w:t>• tenants</w:t>
      </w:r>
    </w:p>
    <w:p w14:paraId="612E9B8E" w14:textId="77777777" w:rsidR="006C4219" w:rsidRDefault="00000000">
      <w:r>
        <w:t>• incident_notification_log</w:t>
      </w:r>
    </w:p>
    <w:p w14:paraId="541279DD" w14:textId="77777777" w:rsidR="006C4219" w:rsidRDefault="00000000">
      <w:r>
        <w:t>• fairness_metric_versions</w:t>
      </w:r>
    </w:p>
    <w:p w14:paraId="63DA06F9" w14:textId="77777777" w:rsidR="006C4219" w:rsidRDefault="00000000">
      <w:r>
        <w:t>• fairness_rollback_events</w:t>
      </w:r>
    </w:p>
    <w:p w14:paraId="3E4A69AE" w14:textId="77777777" w:rsidR="006C4219" w:rsidRDefault="00000000">
      <w:r>
        <w:t>• bcdr_test_results</w:t>
      </w:r>
    </w:p>
    <w:p w14:paraId="47C50F47" w14:textId="77777777" w:rsidR="006C4219" w:rsidRDefault="00000000">
      <w:r>
        <w:t>• bcdr_access_log</w:t>
      </w:r>
    </w:p>
    <w:p w14:paraId="6DE7F32D" w14:textId="77777777" w:rsidR="006C4219" w:rsidRDefault="00000000">
      <w:r>
        <w:t>• settlement_records</w:t>
      </w:r>
    </w:p>
    <w:p w14:paraId="76690420" w14:textId="77777777" w:rsidR="006C4219" w:rsidRDefault="00000000">
      <w:r>
        <w:t>• settlement_export_endpoints</w:t>
      </w:r>
    </w:p>
    <w:p w14:paraId="35D0265A" w14:textId="77777777" w:rsidR="006C4219" w:rsidRDefault="00000000">
      <w:r>
        <w:t>• key_management_audit</w:t>
      </w:r>
    </w:p>
    <w:p w14:paraId="0D5C25BD" w14:textId="77777777" w:rsidR="006C4219" w:rsidRDefault="00000000">
      <w:r>
        <w:t>• ai_model_validation_events</w:t>
      </w:r>
    </w:p>
    <w:p w14:paraId="23206B60" w14:textId="77777777" w:rsidR="006C4219" w:rsidRDefault="00000000">
      <w:r>
        <w:t>• residency_attestations</w:t>
      </w:r>
    </w:p>
    <w:p w14:paraId="2DC3FFB1" w14:textId="77777777" w:rsidR="006C4219" w:rsidRDefault="00000000">
      <w:r>
        <w:t>Schema modifications require formal internal change approval and audit logging.</w:t>
      </w:r>
    </w:p>
    <w:p w14:paraId="5334FD85" w14:textId="77777777" w:rsidR="006C4219" w:rsidRDefault="00000000">
      <w:pPr>
        <w:pStyle w:val="Heading3"/>
      </w:pPr>
      <w:r>
        <w:t>Commercial Launch Declaration</w:t>
      </w:r>
    </w:p>
    <w:p w14:paraId="32EEB773" w14:textId="77777777" w:rsidR="006C4219" w:rsidRDefault="00000000">
      <w:r>
        <w:t>Version 7.1 represents a complete, enterprise-grade, commercially deployable mediation platform architecture. It maintains national-grade engineering strengths while removing government certification dependencies, ensuring scalable, secure, and trustworthy private mediation services.</w:t>
      </w:r>
    </w:p>
    <w:sectPr w:rsidR="006C42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708125">
    <w:abstractNumId w:val="8"/>
  </w:num>
  <w:num w:numId="2" w16cid:durableId="806319764">
    <w:abstractNumId w:val="6"/>
  </w:num>
  <w:num w:numId="3" w16cid:durableId="1964575091">
    <w:abstractNumId w:val="5"/>
  </w:num>
  <w:num w:numId="4" w16cid:durableId="273440216">
    <w:abstractNumId w:val="4"/>
  </w:num>
  <w:num w:numId="5" w16cid:durableId="1207184642">
    <w:abstractNumId w:val="7"/>
  </w:num>
  <w:num w:numId="6" w16cid:durableId="1449396989">
    <w:abstractNumId w:val="3"/>
  </w:num>
  <w:num w:numId="7" w16cid:durableId="830751679">
    <w:abstractNumId w:val="2"/>
  </w:num>
  <w:num w:numId="8" w16cid:durableId="1331058267">
    <w:abstractNumId w:val="1"/>
  </w:num>
  <w:num w:numId="9" w16cid:durableId="79857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4219"/>
    <w:rsid w:val="00AA1D8D"/>
    <w:rsid w:val="00B47730"/>
    <w:rsid w:val="00CB0664"/>
    <w:rsid w:val="00D56C4B"/>
    <w:rsid w:val="00D940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0B359"/>
  <w14:defaultImageDpi w14:val="300"/>
  <w15:docId w15:val="{CEB98506-E4FD-4910-8DAE-722A44D3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Shuruti Mwajirani</cp:lastModifiedBy>
  <cp:revision>2</cp:revision>
  <dcterms:created xsi:type="dcterms:W3CDTF">2026-03-10T23:24:00Z</dcterms:created>
  <dcterms:modified xsi:type="dcterms:W3CDTF">2026-03-10T23:24:00Z</dcterms:modified>
  <cp:category/>
</cp:coreProperties>
</file>