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52" w:lineRule="auto"/>
        <w:jc w:val="center"/>
      </w:pPr>
      <w:r>
        <w:rPr>
          <w:rFonts w:ascii="Arial" w:hAnsi="Arial" w:eastAsia="Yu Gothic"/>
          <w:b/>
          <w:sz w:val="36"/>
        </w:rPr>
        <w:t>業務委託契約書</w:t>
      </w:r>
    </w:p>
    <w:p>
      <w:pPr>
        <w:spacing w:after="60" w:line="252" w:lineRule="auto"/>
      </w:pPr>
      <w:r>
        <w:rPr>
          <w:rFonts w:ascii="Arial" w:hAnsi="Arial" w:eastAsia="Yu Gothic"/>
          <w:b w:val="0"/>
          <w:sz w:val="21"/>
        </w:rPr>
        <w:t>本契約は、以下の当事者間において締結される。</w:t>
      </w:r>
    </w:p>
    <w:p>
      <w:pPr>
        <w:pStyle w:val="ListBullet"/>
      </w:pPr>
      <w:r>
        <w:rPr>
          <w:rFonts w:ascii="Arial" w:hAnsi="Arial" w:eastAsia="Yu Gothic"/>
          <w:b w:val="0"/>
          <w:sz w:val="21"/>
        </w:rPr>
        <w:t>甲：株式会社SAMURAI ARCHITECTS（以下「甲」という）</w:t>
      </w:r>
    </w:p>
    <w:p>
      <w:pPr>
        <w:pStyle w:val="ListBullet"/>
      </w:pPr>
      <w:r>
        <w:rPr>
          <w:rFonts w:ascii="Arial" w:hAnsi="Arial" w:eastAsia="Yu Gothic"/>
          <w:b w:val="0"/>
          <w:sz w:val="21"/>
        </w:rPr>
        <w:t>乙：川波嵩（以下「乙」という）</w:t>
      </w:r>
    </w:p>
    <w:p>
      <w:pPr>
        <w:spacing w:after="40" w:line="252" w:lineRule="auto"/>
      </w:pPr>
      <w:r>
        <w:rPr>
          <w:rFonts w:ascii="Arial" w:hAnsi="Arial" w:eastAsia="Yu Gothic"/>
          <w:b/>
          <w:sz w:val="22"/>
        </w:rPr>
        <w:t>第1条（目的）</w:t>
      </w:r>
    </w:p>
    <w:p>
      <w:pPr>
        <w:spacing w:after="60" w:line="252" w:lineRule="auto"/>
        <w:ind w:firstLine="227"/>
      </w:pPr>
      <w:r>
        <w:rPr>
          <w:rFonts w:ascii="Arial" w:hAnsi="Arial" w:eastAsia="Yu Gothic"/>
          <w:b w:val="0"/>
          <w:sz w:val="21"/>
        </w:rPr>
        <w:t>本契約は、甲の営業DX推進を目的として、乙がStripeから出力したCSVデータのSalesforce投入および商品別・月別MRR把握基盤の整備に関する業務を受託し、その実施条件を定めることを目的とする。</w:t>
      </w:r>
    </w:p>
    <w:p>
      <w:pPr>
        <w:spacing w:after="40" w:line="252" w:lineRule="auto"/>
      </w:pPr>
      <w:r>
        <w:rPr>
          <w:rFonts w:ascii="Arial" w:hAnsi="Arial" w:eastAsia="Yu Gothic"/>
          <w:b/>
          <w:sz w:val="22"/>
        </w:rPr>
        <w:t>第2条（業務内容）</w:t>
      </w:r>
    </w:p>
    <w:p>
      <w:pPr>
        <w:spacing w:after="60" w:line="252" w:lineRule="auto"/>
        <w:ind w:firstLine="227"/>
      </w:pPr>
      <w:r>
        <w:rPr>
          <w:rFonts w:ascii="Arial" w:hAnsi="Arial" w:eastAsia="Yu Gothic"/>
          <w:b w:val="0"/>
          <w:sz w:val="21"/>
        </w:rPr>
        <w:t>乙は、別途提示する見積書に基づき、以下の業務（以下「本業務」という）を実施する。</w:t>
      </w:r>
    </w:p>
    <w:p>
      <w:pPr>
        <w:spacing w:after="60" w:line="252" w:lineRule="auto"/>
        <w:ind w:firstLine="227"/>
      </w:pPr>
      <w:r>
        <w:rPr>
          <w:rFonts w:ascii="Arial" w:hAnsi="Arial" w:eastAsia="Yu Gothic"/>
          <w:b w:val="0"/>
          <w:sz w:val="21"/>
        </w:rPr>
        <w:t>1. 業務範囲</w:t>
      </w:r>
    </w:p>
    <w:p>
      <w:pPr>
        <w:pStyle w:val="ListBullet"/>
        <w:ind w:left="454" w:hanging="170"/>
      </w:pPr>
      <w:r>
        <w:rPr>
          <w:rFonts w:ascii="Arial" w:hAnsi="Arial" w:eastAsia="Yu Gothic"/>
          <w:b w:val="0"/>
          <w:sz w:val="20"/>
        </w:rPr>
        <w:t>Stripe CSVとSalesforceオブジェクトのマッピングおよび要件整理</w:t>
      </w:r>
    </w:p>
    <w:p>
      <w:pPr>
        <w:pStyle w:val="ListBullet"/>
        <w:ind w:left="454" w:hanging="170"/>
      </w:pPr>
      <w:r>
        <w:rPr>
          <w:rFonts w:ascii="Arial" w:hAnsi="Arial" w:eastAsia="Yu Gothic"/>
          <w:b w:val="0"/>
          <w:sz w:val="20"/>
        </w:rPr>
        <w:t>Salesforce外部ID、選択リスト、権限およびレイアウトの設定</w:t>
      </w:r>
    </w:p>
    <w:p>
      <w:pPr>
        <w:pStyle w:val="ListBullet"/>
        <w:ind w:left="454" w:hanging="170"/>
      </w:pPr>
      <w:r>
        <w:rPr>
          <w:rFonts w:ascii="Arial" w:hAnsi="Arial" w:eastAsia="Yu Gothic"/>
          <w:b w:val="0"/>
          <w:sz w:val="20"/>
        </w:rPr>
        <w:t>Excel変換・検証テンプレートの作成</w:t>
      </w:r>
    </w:p>
    <w:p>
      <w:pPr>
        <w:pStyle w:val="ListBullet"/>
        <w:ind w:left="454" w:hanging="170"/>
      </w:pPr>
      <w:r>
        <w:rPr>
          <w:rFonts w:ascii="Arial" w:hAnsi="Arial" w:eastAsia="Yu Gothic"/>
          <w:b w:val="0"/>
          <w:sz w:val="20"/>
        </w:rPr>
        <w:t>Data Loader Upsert用マッピングおよび月次運用手順書の作成</w:t>
      </w:r>
    </w:p>
    <w:p>
      <w:pPr>
        <w:pStyle w:val="ListBullet"/>
        <w:ind w:left="454" w:hanging="170"/>
      </w:pPr>
      <w:r>
        <w:rPr>
          <w:rFonts w:ascii="Arial" w:hAnsi="Arial" w:eastAsia="Yu Gothic"/>
          <w:b w:val="0"/>
          <w:sz w:val="20"/>
        </w:rPr>
        <w:t>Sandboxにおける正常系・異常系試験および件数・金額照合</w:t>
      </w:r>
    </w:p>
    <w:p>
      <w:pPr>
        <w:pStyle w:val="ListBullet"/>
        <w:ind w:left="454" w:hanging="170"/>
      </w:pPr>
      <w:r>
        <w:rPr>
          <w:rFonts w:ascii="Arial" w:hAnsi="Arial" w:eastAsia="Yu Gothic"/>
          <w:b w:val="0"/>
          <w:sz w:val="20"/>
        </w:rPr>
        <w:t>Stripe由来の請求情報と商品情報による商品別・月別MRR把握方法の整備</w:t>
      </w:r>
    </w:p>
    <w:p>
      <w:pPr>
        <w:spacing w:after="60" w:line="252" w:lineRule="auto"/>
      </w:pPr>
      <w:r>
        <w:rPr>
          <w:rFonts w:ascii="Arial" w:hAnsi="Arial" w:eastAsia="Yu Gothic"/>
          <w:b/>
          <w:sz w:val="21"/>
        </w:rPr>
        <w:t>2. 成果物</w:t>
      </w:r>
    </w:p>
    <w:p>
      <w:pPr>
        <w:pStyle w:val="ListBullet"/>
      </w:pPr>
      <w:r>
        <w:rPr>
          <w:rFonts w:ascii="Arial" w:hAnsi="Arial" w:eastAsia="Yu Gothic"/>
          <w:b w:val="0"/>
          <w:sz w:val="20"/>
        </w:rPr>
        <w:t>Salesforce設定または設定内容一覧</w:t>
      </w:r>
    </w:p>
    <w:p>
      <w:pPr>
        <w:pStyle w:val="ListBullet"/>
      </w:pPr>
      <w:r>
        <w:rPr>
          <w:rFonts w:ascii="Arial" w:hAnsi="Arial" w:eastAsia="Yu Gothic"/>
          <w:b w:val="0"/>
          <w:sz w:val="20"/>
        </w:rPr>
        <w:t>Excel変換・検証テンプレート</w:t>
      </w:r>
    </w:p>
    <w:p>
      <w:pPr>
        <w:pStyle w:val="ListBullet"/>
      </w:pPr>
      <w:r>
        <w:rPr>
          <w:rFonts w:ascii="Arial" w:hAnsi="Arial" w:eastAsia="Yu Gothic"/>
          <w:b w:val="0"/>
          <w:sz w:val="20"/>
        </w:rPr>
        <w:t>Data Loaderマッピングおよび月次運用手順書</w:t>
      </w:r>
    </w:p>
    <w:p>
      <w:pPr>
        <w:pStyle w:val="ListBullet"/>
      </w:pPr>
      <w:r>
        <w:rPr>
          <w:rFonts w:ascii="Arial" w:hAnsi="Arial" w:eastAsia="Yu Gothic"/>
          <w:b w:val="0"/>
          <w:sz w:val="20"/>
        </w:rPr>
        <w:t>Sandbox試験・照合結果</w:t>
      </w:r>
    </w:p>
    <w:p>
      <w:pPr>
        <w:pStyle w:val="ListBullet"/>
      </w:pPr>
      <w:r>
        <w:rPr>
          <w:rFonts w:ascii="Arial" w:hAnsi="Arial" w:eastAsia="Yu Gothic"/>
          <w:b w:val="0"/>
          <w:sz w:val="20"/>
        </w:rPr>
        <w:t>例外一覧の出力仕様</w:t>
      </w:r>
    </w:p>
    <w:p>
      <w:pPr>
        <w:spacing w:after="80" w:line="252" w:lineRule="auto"/>
      </w:pPr>
      <w:r>
        <w:rPr>
          <w:rFonts w:ascii="Arial" w:hAnsi="Arial" w:eastAsia="Yu Gothic"/>
          <w:b w:val="0"/>
          <w:sz w:val="19"/>
        </w:rPr>
        <w:t>※業務範囲、成果物、前提条件および対象外事項の詳細は、別途提示する見積書による。</w:t>
      </w:r>
    </w:p>
    <w:p>
      <w:pPr>
        <w:spacing w:after="40" w:line="252" w:lineRule="auto"/>
      </w:pPr>
      <w:r>
        <w:rPr>
          <w:rFonts w:ascii="Arial" w:hAnsi="Arial" w:eastAsia="Yu Gothic"/>
          <w:b/>
          <w:sz w:val="22"/>
        </w:rPr>
        <w:t>第3条（契約形態）</w:t>
      </w:r>
    </w:p>
    <w:p>
      <w:pPr>
        <w:spacing w:after="60" w:line="252" w:lineRule="auto"/>
        <w:ind w:firstLine="227"/>
      </w:pPr>
      <w:r>
        <w:rPr>
          <w:rFonts w:ascii="Arial" w:hAnsi="Arial" w:eastAsia="Yu Gothic"/>
          <w:b w:val="0"/>
          <w:sz w:val="21"/>
        </w:rPr>
        <w:t>本契約は準委任契約とし、乙は善良なる管理者の注意義務をもって本業務を遂行する。なお、本契約は特定の成果の完成、売上、MRR数値または第三者サービスの継続稼働を保証するものではない。</w:t>
      </w:r>
    </w:p>
    <w:p>
      <w:pPr>
        <w:spacing w:after="40" w:line="252" w:lineRule="auto"/>
      </w:pPr>
      <w:r>
        <w:rPr>
          <w:rFonts w:ascii="Arial" w:hAnsi="Arial" w:eastAsia="Yu Gothic"/>
          <w:b/>
          <w:sz w:val="22"/>
        </w:rPr>
        <w:t>第4条（開発方式）</w:t>
      </w:r>
    </w:p>
    <w:p>
      <w:pPr>
        <w:spacing w:after="60" w:line="252" w:lineRule="auto"/>
        <w:ind w:firstLine="227"/>
      </w:pPr>
      <w:r>
        <w:rPr>
          <w:rFonts w:ascii="Arial" w:hAnsi="Arial" w:eastAsia="Yu Gothic"/>
          <w:b w:val="0"/>
          <w:sz w:val="21"/>
        </w:rPr>
        <w:t>本業務は、月1回のCSV取込運用を前提とし、WBSまたは双方が合意した作業計画に基づき実施する。業務内容および優先順位は、甲乙協議の上、柔軟に変更できるものとする。</w:t>
      </w:r>
    </w:p>
    <w:p>
      <w:pPr>
        <w:spacing w:after="60" w:line="252" w:lineRule="auto"/>
        <w:ind w:firstLine="227"/>
      </w:pPr>
      <w:r>
        <w:rPr>
          <w:rFonts w:ascii="Arial" w:hAnsi="Arial" w:eastAsia="Yu Gothic"/>
          <w:b w:val="0"/>
          <w:sz w:val="21"/>
        </w:rPr>
        <w:t>契約月次明細の投入要否は、請求情報のみで商品別・月別MRRを正確かつ継続的に把握できるかをSandboxで確認し、甲乙協議の上で決定する。</w:t>
      </w:r>
    </w:p>
    <w:p>
      <w:pPr>
        <w:spacing w:after="40" w:line="252" w:lineRule="auto"/>
      </w:pPr>
      <w:r>
        <w:rPr>
          <w:rFonts w:ascii="Arial" w:hAnsi="Arial" w:eastAsia="Yu Gothic"/>
          <w:b/>
          <w:sz w:val="22"/>
        </w:rPr>
        <w:t>第5条（契約期間）</w:t>
      </w:r>
    </w:p>
    <w:p>
      <w:pPr>
        <w:spacing w:after="60" w:line="252" w:lineRule="auto"/>
        <w:ind w:firstLine="227"/>
      </w:pPr>
      <w:r>
        <w:rPr>
          <w:rFonts w:ascii="Yu Gothic" w:hAnsi="Yu Gothic" w:eastAsia="Yu Gothic"/>
          <w:sz w:val="21"/>
        </w:rPr>
        <w:t>開始日：2026年8月24日</w:t>
      </w:r>
    </w:p>
    <w:p>
      <w:pPr>
        <w:spacing w:after="60" w:line="252" w:lineRule="auto"/>
        <w:ind w:firstLine="227"/>
      </w:pPr>
      <w:r>
        <w:rPr>
          <w:rFonts w:ascii="Yu Gothic" w:hAnsi="Yu Gothic" w:eastAsia="Yu Gothic"/>
          <w:sz w:val="21"/>
        </w:rPr>
        <w:t>終了日：2026年9月30日</w:t>
      </w:r>
    </w:p>
    <w:p>
      <w:pPr>
        <w:spacing w:after="40" w:line="252" w:lineRule="auto"/>
      </w:pPr>
      <w:r>
        <w:rPr>
          <w:rFonts w:ascii="Arial" w:hAnsi="Arial" w:eastAsia="Yu Gothic"/>
          <w:b/>
          <w:sz w:val="22"/>
        </w:rPr>
        <w:t>第6条（報酬および支払条件）</w:t>
      </w:r>
    </w:p>
    <w:p>
      <w:pPr>
        <w:spacing w:after="60" w:line="252" w:lineRule="auto"/>
        <w:ind w:firstLine="227"/>
      </w:pPr>
      <w:r>
        <w:rPr>
          <w:rFonts w:ascii="Arial" w:hAnsi="Arial" w:eastAsia="Yu Gothic"/>
          <w:b w:val="0"/>
          <w:sz w:val="21"/>
        </w:rPr>
        <w:t>1. 報酬　本業務の報酬は以下とする。</w:t>
      </w:r>
    </w:p>
    <w:p>
      <w:pPr>
        <w:pStyle w:val="ListBullet"/>
        <w:ind w:left="454" w:hanging="170"/>
      </w:pPr>
      <w:r>
        <w:rPr>
          <w:rFonts w:ascii="Arial" w:hAnsi="Arial" w:eastAsia="Yu Gothic"/>
          <w:b w:val="0"/>
          <w:sz w:val="20"/>
        </w:rPr>
        <w:t>総額：154,000円（税込）</w:t>
      </w:r>
    </w:p>
    <w:p>
      <w:pPr>
        <w:pStyle w:val="ListBullet"/>
        <w:ind w:left="454" w:hanging="170"/>
      </w:pPr>
      <w:r>
        <w:rPr>
          <w:rFonts w:ascii="Arial" w:hAnsi="Arial" w:eastAsia="Yu Gothic"/>
          <w:b w:val="0"/>
          <w:sz w:val="20"/>
        </w:rPr>
        <w:t>内訳および詳細：別途提示する見積書の内容に基づく</w:t>
      </w:r>
    </w:p>
    <w:p>
      <w:pPr>
        <w:spacing w:after="60" w:line="252" w:lineRule="auto"/>
      </w:pPr>
      <w:r>
        <w:rPr>
          <w:rFonts w:ascii="Arial" w:hAnsi="Arial" w:eastAsia="Yu Gothic"/>
          <w:b w:val="0"/>
          <w:sz w:val="21"/>
        </w:rPr>
        <w:t>2. 支払条件　甲は乙に対し、以下の条件で支払う。</w:t>
      </w:r>
    </w:p>
    <w:p>
      <w:pPr>
        <w:pStyle w:val="ListBullet"/>
      </w:pPr>
      <w:r>
        <w:rPr>
          <w:rFonts w:ascii="Arial" w:hAnsi="Arial" w:eastAsia="Yu Gothic"/>
          <w:b w:val="0"/>
          <w:sz w:val="20"/>
        </w:rPr>
        <w:t>契約締結時（着手金）：77,000円（税込）</w:t>
      </w:r>
    </w:p>
    <w:p>
      <w:pPr>
        <w:pStyle w:val="ListBullet"/>
      </w:pPr>
      <w:r>
        <w:rPr>
          <w:rFonts w:ascii="Arial" w:hAnsi="Arial" w:eastAsia="Yu Gothic"/>
          <w:b w:val="0"/>
          <w:sz w:val="20"/>
        </w:rPr>
        <w:t>業務完了後：77,000円（税込）</w:t>
      </w:r>
    </w:p>
    <w:p>
      <w:pPr>
        <w:pStyle w:val="ListBullet"/>
      </w:pPr>
      <w:r>
        <w:rPr>
          <w:rFonts w:ascii="Arial" w:hAnsi="Arial" w:eastAsia="Yu Gothic"/>
          <w:b w:val="0"/>
          <w:sz w:val="20"/>
        </w:rPr>
        <w:t>支払期日：各請求月末締め翌月末払い</w:t>
      </w:r>
    </w:p>
    <w:p>
      <w:pPr>
        <w:spacing w:after="60" w:line="252" w:lineRule="auto"/>
        <w:ind w:firstLine="227"/>
      </w:pPr>
      <w:r>
        <w:rPr>
          <w:rFonts w:ascii="Arial" w:hAnsi="Arial" w:eastAsia="Yu Gothic"/>
          <w:b w:val="0"/>
          <w:sz w:val="19"/>
        </w:rPr>
        <w:t>業務完了は、WBSまたは合意した作業計画に基づく対象作業の完了をいう。</w:t>
      </w:r>
    </w:p>
    <w:p>
      <w:pPr>
        <w:spacing w:after="40" w:line="252" w:lineRule="auto"/>
      </w:pPr>
      <w:r>
        <w:rPr>
          <w:rFonts w:ascii="Arial" w:hAnsi="Arial" w:eastAsia="Yu Gothic"/>
          <w:b/>
          <w:sz w:val="22"/>
        </w:rPr>
        <w:t>第7条（再委託）</w:t>
      </w:r>
    </w:p>
    <w:p>
      <w:pPr>
        <w:spacing w:after="60" w:line="252" w:lineRule="auto"/>
        <w:ind w:firstLine="227"/>
      </w:pPr>
      <w:r>
        <w:rPr>
          <w:rFonts w:ascii="Arial" w:hAnsi="Arial" w:eastAsia="Yu Gothic"/>
          <w:b w:val="0"/>
          <w:sz w:val="21"/>
        </w:rPr>
        <w:t>乙は、本業務の全部または一部を第三者に再委託する場合、事前に甲の書面による承認を得るものとする。乙は再委託先の行為について責任を負い、再委託先に本契約と同等の秘密保持義務および情報セキュリティ義務を課す。</w:t>
      </w:r>
    </w:p>
    <w:p>
      <w:pPr>
        <w:spacing w:after="40" w:line="252" w:lineRule="auto"/>
      </w:pPr>
      <w:r>
        <w:rPr>
          <w:rFonts w:ascii="Arial" w:hAnsi="Arial" w:eastAsia="Yu Gothic"/>
          <w:b/>
          <w:sz w:val="22"/>
        </w:rPr>
        <w:t>第8条（資料提供）</w:t>
      </w:r>
    </w:p>
    <w:p>
      <w:pPr>
        <w:spacing w:after="60" w:line="252" w:lineRule="auto"/>
        <w:ind w:firstLine="227"/>
      </w:pPr>
      <w:r>
        <w:rPr>
          <w:rFonts w:ascii="Arial" w:hAnsi="Arial" w:eastAsia="Yu Gothic"/>
          <w:b w:val="0"/>
          <w:sz w:val="21"/>
        </w:rPr>
        <w:t>甲は、乙が本業務を遂行するために必要なStripeおよびSalesforceの情報、CSV、商品・Price対応情報、アカウント、権限その他の資料を適時提供するものとする。</w:t>
      </w:r>
    </w:p>
    <w:p>
      <w:pPr>
        <w:spacing w:after="40" w:line="252" w:lineRule="auto"/>
      </w:pPr>
      <w:r>
        <w:rPr>
          <w:rFonts w:ascii="Arial" w:hAnsi="Arial" w:eastAsia="Yu Gothic"/>
          <w:b/>
          <w:sz w:val="22"/>
        </w:rPr>
        <w:t>第9条（変更管理）</w:t>
      </w:r>
    </w:p>
    <w:p>
      <w:pPr>
        <w:spacing w:after="60" w:line="252" w:lineRule="auto"/>
        <w:ind w:firstLine="227"/>
      </w:pPr>
      <w:r>
        <w:rPr>
          <w:rFonts w:ascii="Arial" w:hAnsi="Arial" w:eastAsia="Yu Gothic"/>
          <w:b w:val="0"/>
          <w:sz w:val="21"/>
        </w:rPr>
        <w:t>業務内容は進行に応じて変更されることを前提とする。ただし、当初想定を超える変更、データ品質問題への追加対応または初期対象外事項への対応が必要となる場合、双方協議の上、追加費用および期間を決定する。Invoice Lines API取得ツールを追加する場合の想定追加工数は8時間から16時間とし、着手前に別途見積りおよび合意を行う。</w:t>
      </w:r>
    </w:p>
    <w:p>
      <w:pPr>
        <w:spacing w:after="40" w:line="252" w:lineRule="auto"/>
      </w:pPr>
      <w:r>
        <w:rPr>
          <w:rFonts w:ascii="Arial" w:hAnsi="Arial" w:eastAsia="Yu Gothic"/>
          <w:b/>
          <w:sz w:val="22"/>
        </w:rPr>
        <w:t>第10条（知的財産権）</w:t>
      </w:r>
    </w:p>
    <w:p>
      <w:pPr>
        <w:spacing w:after="60" w:line="252" w:lineRule="auto"/>
        <w:ind w:firstLine="227"/>
      </w:pPr>
      <w:r>
        <w:rPr>
          <w:rFonts w:ascii="Arial" w:hAnsi="Arial" w:eastAsia="Yu Gothic"/>
          <w:b w:val="0"/>
          <w:sz w:val="21"/>
        </w:rPr>
        <w:t>1. 本業務により新たに作成された成果物の知的財産権は、報酬の完済を条件として甲に帰属する。</w:t>
      </w:r>
    </w:p>
    <w:p>
      <w:pPr>
        <w:spacing w:after="60" w:line="252" w:lineRule="auto"/>
        <w:ind w:firstLine="227"/>
      </w:pPr>
      <w:r>
        <w:rPr>
          <w:rFonts w:ascii="Arial" w:hAnsi="Arial" w:eastAsia="Yu Gothic"/>
          <w:b w:val="0"/>
          <w:sz w:val="21"/>
        </w:rPr>
        <w:t>2. 乙または第三者が従来から保有するノウハウ、テンプレート、汎用部品その他の権利は乙または当該第三者に帰属する。</w:t>
      </w:r>
    </w:p>
    <w:p>
      <w:pPr>
        <w:spacing w:after="60" w:line="252" w:lineRule="auto"/>
        <w:ind w:firstLine="227"/>
      </w:pPr>
      <w:r>
        <w:rPr>
          <w:rFonts w:ascii="Arial" w:hAnsi="Arial" w:eastAsia="Yu Gothic"/>
          <w:b w:val="0"/>
          <w:sz w:val="21"/>
        </w:rPr>
        <w:t>3. 乙は、甲を特定できないよう匿名化した形で本業務実績を利用できる。</w:t>
      </w:r>
    </w:p>
    <w:p>
      <w:pPr>
        <w:spacing w:after="40" w:line="252" w:lineRule="auto"/>
      </w:pPr>
      <w:r>
        <w:rPr>
          <w:rFonts w:ascii="Arial" w:hAnsi="Arial" w:eastAsia="Yu Gothic"/>
          <w:b/>
          <w:sz w:val="22"/>
        </w:rPr>
        <w:t>第11条（秘密保持）</w:t>
      </w:r>
    </w:p>
    <w:p>
      <w:pPr>
        <w:spacing w:after="60" w:line="252" w:lineRule="auto"/>
        <w:ind w:firstLine="227"/>
      </w:pPr>
      <w:r>
        <w:rPr>
          <w:rFonts w:ascii="Arial" w:hAnsi="Arial" w:eastAsia="Yu Gothic"/>
          <w:b w:val="0"/>
          <w:sz w:val="21"/>
        </w:rPr>
        <w:t>双方は、本契約に関連して知り得た相手方の秘密情報および個人情報を、本業務以外に使用せず、相手方の事前承諾なく第三者に開示してはならない。本条は契約終了後も有効とする。</w:t>
      </w:r>
    </w:p>
    <w:p>
      <w:pPr>
        <w:spacing w:after="40" w:line="252" w:lineRule="auto"/>
      </w:pPr>
      <w:r>
        <w:rPr>
          <w:rFonts w:ascii="Arial" w:hAnsi="Arial" w:eastAsia="Yu Gothic"/>
          <w:b/>
          <w:sz w:val="22"/>
        </w:rPr>
        <w:t>第12条（責任範囲）</w:t>
      </w:r>
    </w:p>
    <w:p>
      <w:pPr>
        <w:spacing w:after="60" w:line="252" w:lineRule="auto"/>
        <w:ind w:firstLine="227"/>
      </w:pPr>
      <w:r>
        <w:rPr>
          <w:rFonts w:ascii="Arial" w:hAnsi="Arial" w:eastAsia="Yu Gothic"/>
          <w:b w:val="0"/>
          <w:sz w:val="21"/>
        </w:rPr>
        <w:t>1. 乙の損害賠償責任は、乙の故意または重過失による場合を除き、本契約に基づき受領した報酬額を上限とする。</w:t>
      </w:r>
    </w:p>
    <w:p>
      <w:pPr>
        <w:spacing w:after="60" w:line="252" w:lineRule="auto"/>
        <w:ind w:firstLine="227"/>
      </w:pPr>
      <w:r>
        <w:rPr>
          <w:rFonts w:ascii="Arial" w:hAnsi="Arial" w:eastAsia="Yu Gothic"/>
          <w:b w:val="0"/>
          <w:sz w:val="21"/>
        </w:rPr>
        <w:t>2. 逸失利益その他の間接損害または特別損害について、乙は責任を負わない。</w:t>
      </w:r>
    </w:p>
    <w:p>
      <w:pPr>
        <w:spacing w:after="40" w:line="252" w:lineRule="auto"/>
      </w:pPr>
      <w:r>
        <w:rPr>
          <w:rFonts w:ascii="Arial" w:hAnsi="Arial" w:eastAsia="Yu Gothic"/>
          <w:b/>
          <w:sz w:val="22"/>
        </w:rPr>
        <w:t>第13条（免責事項）</w:t>
      </w:r>
    </w:p>
    <w:p>
      <w:pPr>
        <w:spacing w:after="60" w:line="252" w:lineRule="auto"/>
        <w:ind w:firstLine="227"/>
      </w:pPr>
      <w:r>
        <w:rPr>
          <w:rFonts w:ascii="Arial" w:hAnsi="Arial" w:eastAsia="Yu Gothic"/>
          <w:b w:val="0"/>
          <w:sz w:val="21"/>
        </w:rPr>
        <w:t>以下に起因する損害または不利益について、乙は自己の責めに帰すべき場合を除き責任を負わない。</w:t>
      </w:r>
    </w:p>
    <w:p>
      <w:pPr>
        <w:pStyle w:val="ListBullet"/>
        <w:ind w:left="454" w:hanging="170"/>
      </w:pPr>
      <w:r>
        <w:rPr>
          <w:rFonts w:ascii="Arial" w:hAnsi="Arial" w:eastAsia="Yu Gothic"/>
          <w:b w:val="0"/>
          <w:sz w:val="20"/>
        </w:rPr>
        <w:t>Salesforce、Stripe、Data LoaderまたはExcelの仕様変更</w:t>
      </w:r>
    </w:p>
    <w:p>
      <w:pPr>
        <w:pStyle w:val="ListBullet"/>
        <w:ind w:left="454" w:hanging="170"/>
      </w:pPr>
      <w:r>
        <w:rPr>
          <w:rFonts w:ascii="Arial" w:hAnsi="Arial" w:eastAsia="Yu Gothic"/>
          <w:b w:val="0"/>
          <w:sz w:val="20"/>
        </w:rPr>
        <w:t>API制限または外部サービス障害</w:t>
      </w:r>
    </w:p>
    <w:p>
      <w:pPr>
        <w:pStyle w:val="ListBullet"/>
        <w:ind w:left="454" w:hanging="170"/>
      </w:pPr>
      <w:r>
        <w:rPr>
          <w:rFonts w:ascii="Arial" w:hAnsi="Arial" w:eastAsia="Yu Gothic"/>
          <w:b w:val="0"/>
          <w:sz w:val="20"/>
        </w:rPr>
        <w:t>甲が提供したデータの不備</w:t>
      </w:r>
    </w:p>
    <w:p>
      <w:pPr>
        <w:pStyle w:val="ListBullet"/>
        <w:ind w:left="454" w:hanging="170"/>
      </w:pPr>
      <w:r>
        <w:rPr>
          <w:rFonts w:ascii="Arial" w:hAnsi="Arial" w:eastAsia="Yu Gothic"/>
          <w:b w:val="0"/>
          <w:sz w:val="20"/>
        </w:rPr>
        <w:t>甲による設定変更、操作または業務運用</w:t>
      </w:r>
    </w:p>
    <w:p>
      <w:pPr>
        <w:pStyle w:val="ListBullet"/>
        <w:ind w:left="454" w:hanging="170"/>
      </w:pPr>
      <w:r>
        <w:rPr>
          <w:rFonts w:ascii="Arial" w:hAnsi="Arial" w:eastAsia="Yu Gothic"/>
          <w:b w:val="0"/>
          <w:sz w:val="20"/>
        </w:rPr>
        <w:t>第三者の行為</w:t>
      </w:r>
    </w:p>
    <w:p>
      <w:pPr>
        <w:spacing w:after="40" w:line="252" w:lineRule="auto"/>
      </w:pPr>
      <w:r>
        <w:rPr>
          <w:rFonts w:ascii="Arial" w:hAnsi="Arial" w:eastAsia="Yu Gothic"/>
          <w:b/>
          <w:sz w:val="22"/>
        </w:rPr>
        <w:t>第14条（契約解除）</w:t>
      </w:r>
    </w:p>
    <w:p>
      <w:pPr>
        <w:spacing w:after="60" w:line="252" w:lineRule="auto"/>
        <w:ind w:firstLine="227"/>
      </w:pPr>
      <w:r>
        <w:rPr>
          <w:rFonts w:ascii="Arial" w:hAnsi="Arial" w:eastAsia="Yu Gothic"/>
          <w:b w:val="0"/>
          <w:sz w:val="21"/>
        </w:rPr>
        <w:t>1. 当事者の一方が本契約に違反し、相当期間を定めた催告後も是正されない場合、相手方は本契約を解除できる。</w:t>
      </w:r>
    </w:p>
    <w:p>
      <w:pPr>
        <w:spacing w:after="60" w:line="252" w:lineRule="auto"/>
        <w:ind w:firstLine="227"/>
      </w:pPr>
      <w:r>
        <w:rPr>
          <w:rFonts w:ascii="Arial" w:hAnsi="Arial" w:eastAsia="Yu Gothic"/>
          <w:b w:val="0"/>
          <w:sz w:val="21"/>
        </w:rPr>
        <w:t>2. 甲は30日前の通知により本契約を中途解約できる。</w:t>
      </w:r>
    </w:p>
    <w:p>
      <w:pPr>
        <w:spacing w:after="60" w:line="252" w:lineRule="auto"/>
        <w:ind w:firstLine="227"/>
      </w:pPr>
      <w:r>
        <w:rPr>
          <w:rFonts w:ascii="Arial" w:hAnsi="Arial" w:eastAsia="Yu Gothic"/>
          <w:b w:val="0"/>
          <w:sz w:val="21"/>
        </w:rPr>
        <w:t>3. 中途解約の場合、乙は実施済み業務分および合理的に発生した費用を請求できる。</w:t>
      </w:r>
    </w:p>
    <w:p>
      <w:pPr>
        <w:spacing w:after="40" w:line="252" w:lineRule="auto"/>
      </w:pPr>
      <w:r>
        <w:rPr>
          <w:rFonts w:ascii="Arial" w:hAnsi="Arial" w:eastAsia="Yu Gothic"/>
          <w:b/>
          <w:sz w:val="22"/>
        </w:rPr>
        <w:t>第15条（不具合対応）</w:t>
      </w:r>
    </w:p>
    <w:p>
      <w:pPr>
        <w:spacing w:after="60" w:line="252" w:lineRule="auto"/>
        <w:ind w:firstLine="227"/>
      </w:pPr>
      <w:r>
        <w:rPr>
          <w:rFonts w:ascii="Arial" w:hAnsi="Arial" w:eastAsia="Yu Gothic"/>
          <w:b w:val="0"/>
          <w:sz w:val="21"/>
        </w:rPr>
        <w:t>乙は、本業務の完了後30日間に限り、本業務に起因する不具合について合理的な範囲で修正対応を行う。ただし、甲による設定・運用変更、第三者サービスの仕様変更、提供データの不備または本業務範囲外の機能に関する事項は対象外とする。</w:t>
      </w:r>
    </w:p>
    <w:p>
      <w:pPr>
        <w:spacing w:after="40" w:line="252" w:lineRule="auto"/>
      </w:pPr>
      <w:r>
        <w:rPr>
          <w:rFonts w:ascii="Arial" w:hAnsi="Arial" w:eastAsia="Yu Gothic"/>
          <w:b/>
          <w:sz w:val="22"/>
        </w:rPr>
        <w:t>第16条（反社会的勢力の排除）</w:t>
      </w:r>
    </w:p>
    <w:p>
      <w:pPr>
        <w:spacing w:after="60" w:line="252" w:lineRule="auto"/>
        <w:ind w:firstLine="227"/>
      </w:pPr>
      <w:r>
        <w:rPr>
          <w:rFonts w:ascii="Arial" w:hAnsi="Arial" w:eastAsia="Yu Gothic"/>
          <w:b w:val="0"/>
          <w:sz w:val="21"/>
        </w:rPr>
        <w:t>双方は、自らおよび役員等が反社会的勢力に該当せず、これらと関係を有しないことを保証し、違反した場合、相手方は本契約を直ちに解除できる。</w:t>
      </w:r>
    </w:p>
    <w:p>
      <w:pPr>
        <w:spacing w:after="40" w:line="252" w:lineRule="auto"/>
      </w:pPr>
      <w:r>
        <w:rPr>
          <w:rFonts w:ascii="Arial" w:hAnsi="Arial" w:eastAsia="Yu Gothic"/>
          <w:b/>
          <w:sz w:val="22"/>
        </w:rPr>
        <w:t>第17条（協議事項）</w:t>
      </w:r>
    </w:p>
    <w:p>
      <w:pPr>
        <w:spacing w:after="60" w:line="252" w:lineRule="auto"/>
        <w:ind w:firstLine="227"/>
      </w:pPr>
      <w:r>
        <w:rPr>
          <w:rFonts w:ascii="Arial" w:hAnsi="Arial" w:eastAsia="Yu Gothic"/>
          <w:b w:val="0"/>
          <w:sz w:val="21"/>
        </w:rPr>
        <w:t>本契約に定めのない事項または解釈上の疑義については、双方誠意をもって協議し解決する。</w:t>
      </w:r>
    </w:p>
    <w:p>
      <w:pPr>
        <w:spacing w:after="40" w:line="252" w:lineRule="auto"/>
      </w:pPr>
      <w:r>
        <w:rPr>
          <w:rFonts w:ascii="Arial" w:hAnsi="Arial" w:eastAsia="Yu Gothic"/>
          <w:b/>
          <w:sz w:val="22"/>
        </w:rPr>
        <w:t>第18条（管轄）</w:t>
      </w:r>
    </w:p>
    <w:p>
      <w:pPr>
        <w:spacing w:after="60" w:line="252" w:lineRule="auto"/>
        <w:ind w:firstLine="227"/>
      </w:pPr>
      <w:r>
        <w:rPr>
          <w:rFonts w:ascii="Arial" w:hAnsi="Arial" w:eastAsia="Yu Gothic"/>
          <w:b w:val="0"/>
          <w:sz w:val="21"/>
        </w:rPr>
        <w:t>本契約に関する紛争は、東京地方裁判所を第一審の専属的合意管轄裁判所とする。</w:t>
      </w:r>
    </w:p>
    <w:p>
      <w:pPr>
        <w:spacing w:after="60" w:line="252" w:lineRule="auto"/>
      </w:pPr>
      <w:r>
        <w:rPr>
          <w:rFonts w:ascii="Arial" w:hAnsi="Arial" w:eastAsia="Yu Gothic"/>
          <w:b/>
          <w:sz w:val="24"/>
        </w:rPr>
        <w:t>署名</w:t>
      </w:r>
    </w:p>
    <w:p>
      <w:pPr>
        <w:spacing w:after="60" w:line="252" w:lineRule="auto"/>
      </w:pPr>
      <w:r>
        <w:rPr>
          <w:rFonts w:ascii="Arial" w:hAnsi="Arial" w:eastAsia="Yu Gothic"/>
          <w:b w:val="0"/>
          <w:sz w:val="21"/>
        </w:rPr>
        <w:t>本契約締結の証として、本書2通を作成し、双方記名押印の上、各1通を保有する。電磁的記録により締結する場合、各当事者は当該電磁的記録を保管する。</w:t>
      </w:r>
    </w:p>
    <w:p>
      <w:pPr>
        <w:spacing w:after="160" w:line="252" w:lineRule="auto"/>
        <w:jc w:val="right"/>
      </w:pPr>
      <w:r>
        <w:rPr>
          <w:rFonts w:ascii="Yu Gothic" w:hAnsi="Yu Gothic" w:eastAsia="Yu Gothic"/>
          <w:sz w:val="21"/>
        </w:rPr>
        <w:t>2026年8月24日</w:t>
      </w:r>
    </w:p>
    <w:p>
      <w:pPr>
        <w:spacing w:after="60" w:line="252" w:lineRule="auto"/>
      </w:pPr>
      <w:r>
        <w:rPr>
          <w:rFonts w:ascii="Arial" w:hAnsi="Arial" w:eastAsia="Yu Gothic"/>
          <w:b/>
          <w:sz w:val="21"/>
        </w:rPr>
        <w:t>甲</w:t>
      </w:r>
    </w:p>
    <w:p>
      <w:pPr>
        <w:spacing w:after="60" w:line="252" w:lineRule="auto"/>
        <w:ind w:firstLine="227"/>
      </w:pPr>
      <w:r>
        <w:rPr>
          <w:rFonts w:ascii="Arial" w:hAnsi="Arial" w:eastAsia="Yu Gothic"/>
          <w:b w:val="0"/>
          <w:sz w:val="21"/>
        </w:rPr>
        <w:t>東京都港区南青山3丁目4番7号 第7SYビル201</w:t>
      </w:r>
    </w:p>
    <w:p>
      <w:pPr>
        <w:spacing w:after="60" w:line="252" w:lineRule="auto"/>
        <w:ind w:firstLine="227"/>
      </w:pPr>
      <w:r>
        <w:rPr>
          <w:rFonts w:ascii="Arial" w:hAnsi="Arial" w:eastAsia="Yu Gothic"/>
          <w:b w:val="0"/>
          <w:sz w:val="21"/>
        </w:rPr>
        <w:t>株式会社SAMURAI ARCHITECTS</w:t>
      </w:r>
    </w:p>
    <w:p>
      <w:pPr>
        <w:spacing w:after="180" w:line="252" w:lineRule="auto"/>
        <w:ind w:firstLine="227"/>
      </w:pPr>
      <w:r>
        <w:rPr>
          <w:rFonts w:ascii="Arial" w:hAnsi="Arial" w:eastAsia="Yu Gothic"/>
          <w:b w:val="0"/>
          <w:sz w:val="21"/>
        </w:rPr>
        <w:t>代表取締役　加藤利基　印</w:t>
      </w:r>
    </w:p>
    <w:p>
      <w:pPr>
        <w:spacing w:after="60" w:line="252" w:lineRule="auto"/>
      </w:pPr>
      <w:r>
        <w:rPr>
          <w:rFonts w:ascii="Arial" w:hAnsi="Arial" w:eastAsia="Yu Gothic"/>
          <w:b/>
          <w:sz w:val="21"/>
        </w:rPr>
        <w:t>乙</w:t>
      </w:r>
    </w:p>
    <w:p>
      <w:pPr>
        <w:spacing w:after="60" w:line="252" w:lineRule="auto"/>
        <w:ind w:firstLine="227"/>
      </w:pPr>
      <w:r>
        <w:rPr>
          <w:rFonts w:ascii="Arial" w:hAnsi="Arial" w:eastAsia="Yu Gothic"/>
          <w:b w:val="0"/>
          <w:sz w:val="21"/>
        </w:rPr>
        <w:t>東京都江東区大島1丁目23-22</w:t>
      </w:r>
    </w:p>
    <w:p>
      <w:pPr>
        <w:spacing w:after="60" w:line="252" w:lineRule="auto"/>
        <w:ind w:firstLine="227"/>
      </w:pPr>
      <w:r>
        <w:rPr>
          <w:rFonts w:ascii="Arial" w:hAnsi="Arial" w:eastAsia="Yu Gothic"/>
          <w:b w:val="0"/>
          <w:sz w:val="21"/>
        </w:rPr>
        <w:t>ラポール西大島ウエスト408</w:t>
      </w:r>
    </w:p>
    <w:p>
      <w:pPr>
        <w:spacing w:after="60" w:line="252" w:lineRule="auto"/>
        <w:ind w:firstLine="227"/>
      </w:pPr>
      <w:r>
        <w:rPr>
          <w:rFonts w:ascii="Arial" w:hAnsi="Arial" w:eastAsia="Yu Gothic"/>
          <w:b w:val="0"/>
          <w:sz w:val="21"/>
        </w:rPr>
        <w:t>川波　嵩　印</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Yu Gothic" w:hAnsi="Yu Gothic" w:eastAsia="Yu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Yu Gothic" w:hAnsi="Yu Gothic" w:eastAsia="Yu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業務委託契約書</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