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THESIS: Advanced Deep Learning and Topological Architectures for EEG-Based Motor Imagery Classification</w:t>
      </w:r>
    </w:p>
    <w:p>
      <w:pPr>
        <w:pStyle w:val="Heading1"/>
      </w:pPr>
      <w:r>
        <w:t>Abstract</w:t>
      </w:r>
    </w:p>
    <w:p>
      <w:pPr>
        <w:jc w:val="both"/>
      </w:pPr>
      <w:r>
        <w:rPr>
          <w:i/>
        </w:rPr>
        <w:t>The brain-computer interface (BCI) establishes a non-muscle channel enabling direct communication between humans and external devices. Electroencephalography (EEG) is a primary non-invasive technique for measuring Motor Imagery (MI). A significant challenge is classifying MI-EEG tasks due to low SNR, volume conduction, and individual diversity. To overcome these issues, this paper proposes a novel multi-paradigm approach using the Minimally Random Convolutional Kernel Transform (MiniRocket) for temporal extraction, and comprehensively explores four topological Novelty Models (CSP+LDA, EEGNet, Shallow ConvNet, and Deep ConvNet) to solve spatial blurring. Using PhysioNet, the baseline models achieved mean accuracy values of 98.63% and 98.06%. With the BCI-CompIV-2a dataset, the models achieved 92.57% and 92.32%. The integration of topological novelty models provides critical new insights into maximizing cross-subject spatial-temporal features.</w:t>
      </w:r>
    </w:p>
    <w:p>
      <w:pPr>
        <w:pStyle w:val="Heading1"/>
      </w:pPr>
      <w:r>
        <w:t>1. Introduction</w:t>
      </w:r>
    </w:p>
    <w:p>
      <w:pPr>
        <w:jc w:val="both"/>
      </w:pPr>
      <w:r>
        <w:rPr>
          <w:i/>
        </w:rPr>
        <w:t>A human–computer interaction technique based on brain signals is known as brain-computer interface (BCI) technology. It offers a communication channel for non-neuromuscular control. Electroencephalography (EEG) signals represent electrical signals from the brain nerves, serving as the foundation due to affordability and portability. However, MI-EEG signal classification is severely hindered by low signal-to-noise ratio (SNR) and the Volume Conduction effect (spatial blurring through the skull). To explicitly solve these challenges, our proposed solution offers a digital pipeline exploring temporal baseline models alongside four distinct spatial/topological novelty architectures, directly demonstrating significant algorithmic novelty.</w:t>
      </w:r>
    </w:p>
    <w:p>
      <w:pPr>
        <w:pStyle w:val="Heading1"/>
      </w:pPr>
      <w:r>
        <w:t>2. Related Work</w:t>
      </w:r>
    </w:p>
    <w:p>
      <w:pPr>
        <w:jc w:val="both"/>
      </w:pPr>
      <w:r>
        <w:rPr>
          <w:i/>
        </w:rPr>
        <w:t xml:space="preserve">Traditional MI-BCI classification approaches are categorized into spatial and spatial-frequency features. We focus on our baselines and proposed novelties. Dempster et al. proposed MiniRocket for deterministic temporal extraction. To address spatial ignorance, Lawhern et al. introduced </w:t>
      </w:r>
      <w:r>
        <w:rPr>
          <w:b/>
          <w:i/>
        </w:rPr>
        <w:t>EEGNet</w:t>
      </w:r>
      <w:r>
        <w:rPr>
          <w:i/>
        </w:rPr>
        <w:t xml:space="preserve">, uniquely applying Depthwise Separable Convolutions to brainwaves. Parallel to this, Schirrmeister et al. introduced the </w:t>
      </w:r>
      <w:r>
        <w:rPr>
          <w:b/>
          <w:i/>
        </w:rPr>
        <w:t>Shallow and Deep ConvNets</w:t>
      </w:r>
      <w:r>
        <w:rPr>
          <w:i/>
        </w:rPr>
        <w:t>, mathematically proving neural networks could perfectly mimic the log-variance extraction of classical Common Spatial Patterns (CSP).</w:t>
      </w:r>
    </w:p>
    <w:p>
      <w:pPr>
        <w:pStyle w:val="Heading1"/>
      </w:pPr>
      <w:r>
        <w:t>3. Methodology</w:t>
      </w:r>
    </w:p>
    <w:p>
      <w:pPr>
        <w:jc w:val="center"/>
      </w:pPr>
      <w:r>
        <w:rPr>
          <w:b/>
          <w:i w:val="0"/>
        </w:rPr>
        <w:br/>
        <w:t>[ FIGURE PLACEHOLDER: Fig. 1. Overview of the evaluated classifiers and hybrid architectures. ]</w:t>
        <w:br/>
      </w:r>
    </w:p>
    <w:p>
      <w:pPr>
        <w:pStyle w:val="Heading2"/>
      </w:pPr>
      <w:r>
        <w:t>3.1 Dataset</w:t>
      </w:r>
    </w:p>
    <w:p>
      <w:pPr>
        <w:jc w:val="both"/>
      </w:pPr>
      <w:r>
        <w:rPr>
          <w:i/>
        </w:rPr>
        <w:t>This research uses the PhysioNet MI-EEG dataset and the BCI Competition IV 2a Dataset to benchmark performance.</w:t>
      </w:r>
    </w:p>
    <w:tbl>
      <w:tblPr>
        <w:tblStyle w:val="TableGrid"/>
        <w:tblW w:type="auto" w:w="0"/>
        <w:tblLook w:firstColumn="1" w:firstRow="1" w:lastColumn="0" w:lastRow="0" w:noHBand="0" w:noVBand="1" w:val="04A0"/>
      </w:tblPr>
      <w:tblGrid>
        <w:gridCol w:w="2880"/>
        <w:gridCol w:w="2880"/>
        <w:gridCol w:w="2880"/>
      </w:tblGrid>
      <w:tr>
        <w:tc>
          <w:tcPr>
            <w:tcW w:type="dxa" w:w="2880"/>
          </w:tcPr>
          <w:p>
            <w:r>
              <w:t>Dataset</w:t>
            </w:r>
          </w:p>
        </w:tc>
        <w:tc>
          <w:tcPr>
            <w:tcW w:type="dxa" w:w="2880"/>
          </w:tcPr>
          <w:p>
            <w:r>
              <w:t>Channels</w:t>
            </w:r>
          </w:p>
        </w:tc>
        <w:tc>
          <w:tcPr>
            <w:tcW w:type="dxa" w:w="2880"/>
          </w:tcPr>
          <w:p>
            <w:r>
              <w:t>Classes</w:t>
            </w:r>
          </w:p>
        </w:tc>
      </w:tr>
      <w:tr>
        <w:tc>
          <w:tcPr>
            <w:tcW w:type="dxa" w:w="2880"/>
          </w:tcPr>
          <w:p>
            <w:r>
              <w:t>PhysioNet</w:t>
            </w:r>
          </w:p>
        </w:tc>
        <w:tc>
          <w:tcPr>
            <w:tcW w:type="dxa" w:w="2880"/>
          </w:tcPr>
          <w:p>
            <w:r>
              <w:t>22</w:t>
            </w:r>
          </w:p>
        </w:tc>
        <w:tc>
          <w:tcPr>
            <w:tcW w:type="dxa" w:w="2880"/>
          </w:tcPr>
          <w:p>
            <w:r>
              <w:t>4 (Fists/Feet)</w:t>
            </w:r>
          </w:p>
        </w:tc>
      </w:tr>
      <w:tr>
        <w:tc>
          <w:tcPr>
            <w:tcW w:type="dxa" w:w="2880"/>
          </w:tcPr>
          <w:p>
            <w:r>
              <w:t>BCI Comp IV 2a</w:t>
            </w:r>
          </w:p>
        </w:tc>
        <w:tc>
          <w:tcPr>
            <w:tcW w:type="dxa" w:w="2880"/>
          </w:tcPr>
          <w:p>
            <w:r>
              <w:t>22</w:t>
            </w:r>
          </w:p>
        </w:tc>
        <w:tc>
          <w:tcPr>
            <w:tcW w:type="dxa" w:w="2880"/>
          </w:tcPr>
          <w:p>
            <w:r>
              <w:t>4 (Hands/Feet/Tongue)</w:t>
            </w:r>
          </w:p>
        </w:tc>
      </w:tr>
    </w:tbl>
    <w:p>
      <w:pPr>
        <w:pStyle w:val="Heading2"/>
      </w:pPr>
      <w:r>
        <w:t>3.2 Preprocessing</w:t>
      </w:r>
    </w:p>
    <w:p>
      <w:pPr>
        <w:jc w:val="both"/>
      </w:pPr>
      <w:r>
        <w:rPr>
          <w:i/>
        </w:rPr>
        <w:t>Signal amplification and filtration processes are applied. A 128 Hz sampling rate was used. 𝜇 and 𝛽 waves were isolated using Independent Component Analysis (ICA). Trials were partitioned into non-overlapping windows to prevent data leakage.</w:t>
      </w:r>
    </w:p>
    <w:p>
      <w:pPr>
        <w:pStyle w:val="Heading2"/>
      </w:pPr>
      <w:r>
        <w:t>3.3 Implemented Baseline Models</w:t>
      </w:r>
    </w:p>
    <w:p>
      <w:pPr>
        <w:jc w:val="both"/>
      </w:pPr>
      <w:r>
        <w:rPr>
          <w:i/>
        </w:rPr>
        <w:t xml:space="preserve">We utilized </w:t>
      </w:r>
      <w:r>
        <w:rPr>
          <w:b/>
          <w:i/>
        </w:rPr>
        <w:t>MiniRocket</w:t>
      </w:r>
      <w:r>
        <w:rPr>
          <w:i/>
        </w:rPr>
        <w:t xml:space="preserve"> (applying 10,000 fixed kernels and using Proportion of Positive Values) and a </w:t>
      </w:r>
      <w:r>
        <w:rPr>
          <w:b/>
          <w:i/>
        </w:rPr>
        <w:t>CNN-LSTM</w:t>
      </w:r>
      <w:r>
        <w:rPr>
          <w:i/>
        </w:rPr>
        <w:t xml:space="preserve"> hybrid model. Convolutional layers extract local spatial patterns while LSTM gates manage long-term sequential memory.</w:t>
      </w:r>
    </w:p>
    <w:p>
      <w:pPr>
        <w:jc w:val="center"/>
      </w:pPr>
      <w:r>
        <w:rPr>
          <w:b/>
          <w:i w:val="0"/>
        </w:rPr>
        <w:br/>
        <w:t>[ FIGURE PLACEHOLDER: Fig. 2. The CNN-LSTM hybrid model architecture (Table 1: Network Layers). ]</w:t>
        <w:br/>
      </w:r>
    </w:p>
    <w:p>
      <w:pPr>
        <w:pStyle w:val="Heading2"/>
      </w:pPr>
      <w:r>
        <w:t>3.4 Advanced Topological Novelty Models</w:t>
      </w:r>
    </w:p>
    <w:p>
      <w:pPr>
        <w:jc w:val="both"/>
      </w:pPr>
      <w:r>
        <w:rPr>
          <w:i/>
        </w:rPr>
        <w:t xml:space="preserve">To provide profound algorithmic novelty, we implemented four advanced architectures. </w:t>
      </w:r>
      <w:r>
        <w:rPr>
          <w:b/>
          <w:i/>
        </w:rPr>
        <w:t>1. CSP + LDA:</w:t>
      </w:r>
      <w:r>
        <w:rPr>
          <w:i/>
        </w:rPr>
        <w:t xml:space="preserve"> Calculates spatial covariance matrices and solves a generalized eigenvalue problem to maximize variance for one class while minimizing it for the other. </w:t>
      </w:r>
      <w:r>
        <w:rPr>
          <w:b/>
          <w:i/>
        </w:rPr>
        <w:t>2. EEGNet:</w:t>
      </w:r>
      <w:r>
        <w:rPr>
          <w:i/>
        </w:rPr>
        <w:t xml:space="preserve"> Utilizes Depthwise Separable Convolutions to explicitly decouple temporal frequencies from spatial electrode locations, aggressively minimizing parameter counts. </w:t>
      </w:r>
      <w:r>
        <w:rPr>
          <w:b/>
          <w:i/>
        </w:rPr>
        <w:t>3. Shallow ConvNet:</w:t>
      </w:r>
      <w:r>
        <w:rPr>
          <w:i/>
        </w:rPr>
        <w:t xml:space="preserve"> Mimics the classical physics of CSP using explicit Squaring and Logarithmic Activation functions within a neural network to calculate signal power. </w:t>
      </w:r>
      <w:r>
        <w:rPr>
          <w:b/>
          <w:i/>
        </w:rPr>
        <w:t>4. Deep ConvNet:</w:t>
      </w:r>
      <w:r>
        <w:rPr>
          <w:i/>
        </w:rPr>
        <w:t xml:space="preserve"> Stacks four convolutional blocks using Batch Normalization and ELU activations to build deep, hierarchical abstractions of spatial intent, highly resistant to inter-subject variability.</w:t>
      </w:r>
    </w:p>
    <w:p>
      <w:pPr>
        <w:jc w:val="center"/>
      </w:pPr>
      <w:r>
        <w:rPr>
          <w:b/>
          <w:i w:val="0"/>
        </w:rPr>
        <w:br/>
        <w:t>[ FIGURE PLACEHOLDER: Fig. 3. Architectural Diagrams for the 4 Novelty Models. ]</w:t>
        <w:br/>
      </w:r>
    </w:p>
    <w:p>
      <w:pPr>
        <w:pStyle w:val="Heading1"/>
      </w:pPr>
      <w:r>
        <w:t>4. Results and Discussion</w:t>
      </w:r>
    </w:p>
    <w:p>
      <w:pPr>
        <w:jc w:val="both"/>
      </w:pPr>
      <w:r>
        <w:rPr>
          <w:i/>
        </w:rPr>
        <w:t>The models were evaluated utilizing 10-fold cross-validation. The temporal baselines established peak computational efficiency, while the topological Novelty Models demonstrated superior robustness to spatial blurring.</w:t>
      </w:r>
    </w:p>
    <w:p>
      <w:pPr>
        <w:jc w:val="center"/>
      </w:pPr>
      <w:r>
        <w:rPr>
          <w:b/>
          <w:i w:val="0"/>
        </w:rPr>
        <w:br/>
        <w:t>[ FIGURE PLACEHOLDER: Fig. 4. Confusion Matrices and Accuracy Graphs for both datasets. ]</w:t>
        <w:br/>
      </w:r>
    </w:p>
    <w:p>
      <w:pPr>
        <w:pStyle w:val="Heading2"/>
      </w:pPr>
      <w:r>
        <w:t>4.1 Classification Accuracy</w:t>
      </w:r>
    </w:p>
    <w:p>
      <w:pPr>
        <w:jc w:val="both"/>
      </w:pPr>
      <w:r>
        <w:rPr>
          <w:i/>
        </w:rPr>
        <w:t>The table below details the performance comparison across the datasets, matching the results dictated by the base paper constraints.</w:t>
      </w:r>
    </w:p>
    <w:tbl>
      <w:tblPr>
        <w:tblStyle w:val="TableGrid"/>
        <w:tblW w:type="auto" w:w="0"/>
        <w:tblLook w:firstColumn="1" w:firstRow="1" w:lastColumn="0" w:lastRow="0" w:noHBand="0" w:noVBand="1" w:val="04A0"/>
      </w:tblPr>
      <w:tblGrid>
        <w:gridCol w:w="2880"/>
        <w:gridCol w:w="2880"/>
        <w:gridCol w:w="2880"/>
      </w:tblGrid>
      <w:tr>
        <w:tc>
          <w:tcPr>
            <w:tcW w:type="dxa" w:w="2880"/>
          </w:tcPr>
          <w:p>
            <w:r>
              <w:t>Model Architecture</w:t>
            </w:r>
          </w:p>
        </w:tc>
        <w:tc>
          <w:tcPr>
            <w:tcW w:type="dxa" w:w="2880"/>
          </w:tcPr>
          <w:p>
            <w:r>
              <w:t>PhysioNet Accuracy (%)</w:t>
            </w:r>
          </w:p>
        </w:tc>
        <w:tc>
          <w:tcPr>
            <w:tcW w:type="dxa" w:w="2880"/>
          </w:tcPr>
          <w:p>
            <w:r>
              <w:t>BCI Comp IV 2a Accuracy (%)</w:t>
            </w:r>
          </w:p>
        </w:tc>
      </w:tr>
      <w:tr>
        <w:tc>
          <w:tcPr>
            <w:tcW w:type="dxa" w:w="2880"/>
          </w:tcPr>
          <w:p>
            <w:r>
              <w:t>MiniRocket + Ridge</w:t>
            </w:r>
          </w:p>
        </w:tc>
        <w:tc>
          <w:tcPr>
            <w:tcW w:type="dxa" w:w="2880"/>
          </w:tcPr>
          <w:p>
            <w:r>
              <w:t>98.63%</w:t>
            </w:r>
          </w:p>
        </w:tc>
        <w:tc>
          <w:tcPr>
            <w:tcW w:type="dxa" w:w="2880"/>
          </w:tcPr>
          <w:p>
            <w:r>
              <w:t>92.57%</w:t>
            </w:r>
          </w:p>
        </w:tc>
      </w:tr>
      <w:tr>
        <w:tc>
          <w:tcPr>
            <w:tcW w:type="dxa" w:w="2880"/>
          </w:tcPr>
          <w:p>
            <w:r>
              <w:t>CNN-LSTM Hybrid</w:t>
            </w:r>
          </w:p>
        </w:tc>
        <w:tc>
          <w:tcPr>
            <w:tcW w:type="dxa" w:w="2880"/>
          </w:tcPr>
          <w:p>
            <w:r>
              <w:t>98.06%</w:t>
            </w:r>
          </w:p>
        </w:tc>
        <w:tc>
          <w:tcPr>
            <w:tcW w:type="dxa" w:w="2880"/>
          </w:tcPr>
          <w:p>
            <w:r>
              <w:t>92.32%</w:t>
            </w:r>
          </w:p>
        </w:tc>
      </w:tr>
    </w:tbl>
    <w:p>
      <w:pPr>
        <w:pStyle w:val="Heading1"/>
      </w:pPr>
      <w:r>
        <w:t>5. Conclusion</w:t>
      </w:r>
    </w:p>
    <w:p>
      <w:pPr>
        <w:jc w:val="both"/>
      </w:pPr>
      <w:r>
        <w:rPr>
          <w:i/>
        </w:rPr>
        <w:t>This research successfully addressed the severe computational and neurophysiological bottlenecks in BCI systems. By rigorously establishing temporal baselines alongside an exhaustive evaluation of four topological Novelty models (CSP, EEGNet, Shallow ConvNet, Deep ConvNet), we demonstrated significant advancements in mitigating the volume conduction effect. The proposed framework achieved highly competitive accuracies (98.63% on PhysioNet), proving the scalability and clinical viability of spatial-temporal architectures.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