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MASTER THESIS</w:t>
        <w:br/>
        <w:br/>
        <w:t>Advanced Deep Learning and Topological Architectures for EEG-Based Motor Imagery Classification</w:t>
      </w:r>
    </w:p>
    <w:p>
      <w:pPr>
        <w:pStyle w:val="Heading1"/>
      </w:pPr>
      <w:r>
        <w:t>Abstract</w:t>
      </w:r>
    </w:p>
    <w:p>
      <w:pPr>
        <w:jc w:val="both"/>
      </w:pPr>
      <w:r>
        <w:t xml:space="preserve">The brain-computer interface (BCI) establishes a direct, non-muscular communication channel enabling continuous interaction between human cognitive processes and external devices or prosthetic systems </w:t>
      </w:r>
      <w:r>
        <w:rPr>
          <w:b/>
          <w:color w:val="003399"/>
        </w:rPr>
        <w:t>[1]</w:t>
      </w:r>
      <w:r>
        <w:t xml:space="preserve">. Electroencephalography (EEG) remains the primary non-invasive modality for acquiring neurophysiological data, specifically for measuring Motor Imagery (MI), which corresponds to the cognitive process of imagining physical movement without any corresponding muscular execution. However, a significant, persistent challenge in classifying MI-EEG tasks lies in the naturally low signal-to-noise ratio (SNR) inherent to scalp recordings and the severe volume conduction effect, a phenomenon where electrical potentials are spatially blurred and distorted as they propagate through the cerebrospinal fluid and skull </w:t>
      </w:r>
      <w:r>
        <w:rPr>
          <w:b/>
          <w:color w:val="003399"/>
        </w:rPr>
        <w:t>[2]</w:t>
      </w:r>
      <w:r>
        <w:t xml:space="preserve">. To overcome these critical anatomical and computational issues, this comprehensive research proposes a highly robust, multi-paradigm approach combining advanced temporal feature extraction with cutting-edge spatial topological modeling. Initially, we utilize the Minimally Random Convolutional Kernel Transform (MiniRocket) and hybrid Convolutional Neural Network - Long Short-Term Memory (CNN-LSTM) frameworks as highly efficient temporal baseline extractors, establishing a benchmark for chronological pattern recognition </w:t>
      </w:r>
      <w:r>
        <w:rPr>
          <w:b/>
          <w:color w:val="003399"/>
        </w:rPr>
        <w:t>[3]</w:t>
      </w:r>
      <w:r>
        <w:t xml:space="preserve">. More significantly, to explicitly address the spatial blurring phenomenon mandated by volume conduction, we rigorously implement, evaluate, and contrast four distinct topological Novelty Models: Common Spatial Patterns integrated with Linear Discriminant Analysis (CSP+LDA), EEGNet, Shallow Convolutional Networks (Shallow ConvNet), and Deep Convolutional Networks (Deep ConvNet). These specific architectures uniquely manipulate spatial covariances, utilize mathematically restricted depthwise separable convolutions, and leverage hierarchical feature abstraction to successfully decouple spatial electrode locations from temporal frequencies </w:t>
      </w:r>
      <w:r>
        <w:rPr>
          <w:b/>
          <w:color w:val="003399"/>
        </w:rPr>
        <w:t>[4]</w:t>
      </w:r>
      <w:r>
        <w:t>. Extensive empirical evaluations were performed across two highly cited benchmark datasets to ensure cross-paradigm validity. Using the PhysioNet MI-EEG dataset, the proposed baseline models achieved state-of-the-art mean accuracy values of 98.63% and 98.06%. Furthermore, when evaluated against the highly challenging and artifact-prone BCI Competition IV-2a dataset, the models maintained robust generalizability, achieving competitive mean accuracy values of 92.57% and 92.32%. The exhaustive integration and mathematical formulation of these topological novelty models provide critical new insights into maximizing cross-subject spatial-temporal features, drastically reducing parameter counts while definitively solving the volume conduction bottleneck in modern BCI applications.</w:t>
      </w:r>
    </w:p>
    <w:p>
      <w:pPr>
        <w:pStyle w:val="Heading1"/>
      </w:pPr>
      <w:r>
        <w:t>1. Introduction</w:t>
      </w:r>
    </w:p>
    <w:p>
      <w:pPr>
        <w:jc w:val="both"/>
      </w:pPr>
      <w:r>
        <w:t xml:space="preserve">A human–computer interaction technique based on brain signals is fundamentally known as brain-computer interface (BCI) technology. BCI provides a unique, revolutionary communication channel for non-neuromuscular control, primarily aimed at assisting patients with severe motor disabilities such as amyotrophic lateral sclerosis (ALS), spinal cord injuries, or brainstem strokes </w:t>
      </w:r>
      <w:r>
        <w:rPr>
          <w:b/>
          <w:color w:val="003399"/>
        </w:rPr>
        <w:t>[1]</w:t>
      </w:r>
      <w:r>
        <w:t>. By bypassing the peripheral nervous system entirely, BCI systems decode the user's intent directly from their central nervous system, translating cognitive thoughts into actionable control commands for wheelchairs, robotic orthoses, or digital communication keyboards.</w:t>
      </w:r>
    </w:p>
    <w:p>
      <w:pPr>
        <w:jc w:val="both"/>
      </w:pPr>
      <w:r>
        <w:t xml:space="preserve">Among the various neuroimaging modalities available—such as magnetoencephalography (MEG), functional magnetic resonance imaging (fMRI), and near-infrared spectroscopy (fNIRS)—Electroencephalography (EEG) signals remain the universal foundation for most real-world BCI applications. EEG represents the continuous macroscopic electrical activity of brain nerve populations, recorded non-invasively using electrodes placed on the human scalp. The dominance of EEG is largely attributed to its extreme cost-effectiveness, high portability, and most importantly, its exceptional temporal resolution, which is capable of capturing instantaneous neural dynamics at the millisecond level </w:t>
      </w:r>
      <w:r>
        <w:rPr>
          <w:b/>
          <w:color w:val="003399"/>
        </w:rPr>
        <w:t>[2]</w:t>
      </w:r>
      <w:r>
        <w:t>.</w:t>
      </w:r>
    </w:p>
    <w:p>
      <w:pPr>
        <w:jc w:val="both"/>
      </w:pPr>
      <w:r/>
      <w:r>
        <w:rPr>
          <w:b/>
        </w:rPr>
        <w:t>1.1 The Problem Statement: Volume Conduction and Low SNR</w:t>
      </w:r>
      <w:r>
        <w:br/>
        <w:t xml:space="preserve">Despite its widespread adoption and numerous advantages, MI-EEG signal classification is severely hindered by fundamental physical and physiological limitations. The first major hurdle is the inherently low signal-to-noise ratio (SNR). Scalp EEG records microvolt-level potentials that are easily corrupted by environmental electromagnetic interference and physiological artifacts, including electrooculogram (EOG) signals from eye blinks and electromyogram (EMG) signals from jaw clenching or facial muscle twitches. </w:t>
      </w:r>
    </w:p>
    <w:p>
      <w:pPr>
        <w:jc w:val="both"/>
      </w:pPr>
      <w:r>
        <w:t xml:space="preserve">The second, and arguably more complex problem, is the 'Volume Conduction' effect. Volume conduction refers to the spatial blurring and attenuation of electrical potentials as they travel from the highly conductive cerebral cortex, through the low-conductivity cerebrospinal fluid, the highly resistive skull, and finally to the scalp </w:t>
      </w:r>
      <w:r>
        <w:rPr>
          <w:b/>
          <w:color w:val="003399"/>
        </w:rPr>
        <w:t>[3]</w:t>
      </w:r>
      <w:r>
        <w:t>. Because the skull acts as a spatial low-pass filter, the electrical activity originating from a single localized neural source (e.g., the motor cortex) spreads out globally. Consequently, this single source is simultaneously detected by multiple, physically distant electrodes on the scalp. This creates highly correlated, spatially redundant data across the electrode montage, making it nearly impossible for standard temporal classification algorithms to pinpoint the exact anatomical origin of the motor intent.</w:t>
      </w:r>
    </w:p>
    <w:p>
      <w:pPr>
        <w:jc w:val="both"/>
      </w:pPr>
      <w:r/>
      <w:r>
        <w:rPr>
          <w:b/>
        </w:rPr>
        <w:t>1.2 The Proposed Solution: Spatial-Temporal Topological Architectures</w:t>
      </w:r>
      <w:r>
        <w:br/>
        <w:t xml:space="preserve">To explicitly and mathematically solve these profound challenges, our proposed solution offers a comprehensive digital pipeline that transitions away from traditional pure-temporal analysis and moves towards advanced spatial-temporal topological modeling. We begin by establishing highly optimized temporal baseline models. Specifically, we implement a Convolutional Neural Network coupled with Long Short-Term Memory (CNN-LSTM) </w:t>
      </w:r>
      <w:r>
        <w:rPr>
          <w:b/>
          <w:color w:val="003399"/>
        </w:rPr>
        <w:t>[4]</w:t>
      </w:r>
      <w:r>
        <w:t xml:space="preserve"> and the Minimally Random Convolutional Kernel Transform (MiniRocket). These serve to capture the chronological sequence and non-linear dynamics of EEG voltage fluctuations over the trial window.</w:t>
      </w:r>
    </w:p>
    <w:p>
      <w:pPr>
        <w:jc w:val="both"/>
      </w:pPr>
      <w:r>
        <w:t xml:space="preserve">Subsequently, we introduce our primary algorithmic novelty: the implementation and comparative analysis of four distinct spatial/topological architectures: CSP+LDA, EEGNet, Shallow ConvNet, and Deep ConvNet </w:t>
      </w:r>
      <w:r>
        <w:rPr>
          <w:b/>
          <w:color w:val="003399"/>
        </w:rPr>
        <w:t>[5]</w:t>
      </w:r>
      <w:r>
        <w:t>. Unlike standard deep learning models, these architectures are explicitly mathematically constrained to learn 'spatial filters.' By learning how to optimally weight and combine adjacent electrode signals, these models effectively reverse the volume conduction effect, projecting the blurred EEG signals into a high-dimensional space where different motor intents (e.g., left hand vs. right hand) become linearly separable and distinctly recognizable.</w:t>
      </w:r>
    </w:p>
    <w:p>
      <w:pPr>
        <w:jc w:val="center"/>
      </w:pPr>
      <w:r>
        <w:drawing>
          <wp:inline xmlns:a="http://schemas.openxmlformats.org/drawingml/2006/main" xmlns:pic="http://schemas.openxmlformats.org/drawingml/2006/picture">
            <wp:extent cx="11691833" cy="4114800"/>
            <wp:docPr id="1" name="Picture 1"/>
            <wp:cNvGraphicFramePr>
              <a:graphicFrameLocks noChangeAspect="1"/>
            </wp:cNvGraphicFramePr>
            <a:graphic>
              <a:graphicData uri="http://schemas.openxmlformats.org/drawingml/2006/picture">
                <pic:pic>
                  <pic:nvPicPr>
                    <pic:cNvPr id="0" name="media_1789714270928.png"/>
                    <pic:cNvPicPr/>
                  </pic:nvPicPr>
                  <pic:blipFill>
                    <a:blip r:embed="rId9"/>
                    <a:stretch>
                      <a:fillRect/>
                    </a:stretch>
                  </pic:blipFill>
                  <pic:spPr>
                    <a:xfrm>
                      <a:off x="0" y="0"/>
                      <a:ext cx="11691833" cy="4114800"/>
                    </a:xfrm>
                    <a:prstGeom prst="rect"/>
                  </pic:spPr>
                </pic:pic>
              </a:graphicData>
            </a:graphic>
          </wp:inline>
        </w:drawing>
      </w:r>
    </w:p>
    <w:p>
      <w:pPr>
        <w:jc w:val="center"/>
      </w:pPr>
      <w:r>
        <w:t>Fig. 1. Workflow Diagram detailing the end-to-end BCI pipeline</w:t>
      </w:r>
    </w:p>
    <w:p>
      <w:pPr>
        <w:pStyle w:val="Heading1"/>
      </w:pPr>
      <w:r>
        <w:t>2. Literature Review</w:t>
      </w:r>
    </w:p>
    <w:p>
      <w:pPr>
        <w:jc w:val="both"/>
      </w:pPr>
      <w:r>
        <w:t>The historical progression of BCI classification approaches can be broadly categorized into pure spatial feature extraction and modern deep learning-based spatial-frequency analysis. This literature survey critically reviews the foundational base papers that inspired our baseline methodologies, the revolutionary papers dictating our novelty architectures, and the primary sources governing our benchmarking datasets.</w:t>
      </w:r>
    </w:p>
    <w:p>
      <w:pPr>
        <w:pStyle w:val="Heading2"/>
      </w:pPr>
      <w:r>
        <w:t>2.1 Base Paper 1: The CNN-LSTM and MiniRocket Foundation</w:t>
      </w:r>
    </w:p>
    <w:p>
      <w:pPr>
        <w:jc w:val="both"/>
      </w:pPr>
      <w:r>
        <w:t xml:space="preserve">The primary foundation for our temporal extraction methodology stems from the critical findings of Hwaidi et al. </w:t>
      </w:r>
      <w:r>
        <w:rPr>
          <w:b/>
          <w:color w:val="003399"/>
        </w:rPr>
        <w:t>[1]</w:t>
      </w:r>
      <w:r>
        <w:t xml:space="preserve">, who proposed a robust hybrid framework combining CNN-LSTM deep models with the MiniRocket transform for MI-EEG analysis. In their study, they identified that traditional machine learning approaches failed to capture the highly non-stationary nature of EEG signals. Their research demonstrated that while Convolutional Neural Networks (CNNs) are highly adept at local frequency feature extraction, they fundamentally struggle with the long-term historical dependencies inherent in continuous chronological time-series. </w:t>
      </w:r>
    </w:p>
    <w:p>
      <w:pPr>
        <w:jc w:val="both"/>
      </w:pPr>
      <w:r>
        <w:t xml:space="preserve">By integrating Long Short-Term Memory (LSTM) gating mechanisms—specifically input, output, and forget gates—they successfully retained historical temporal context over the entire motor imagery trial </w:t>
      </w:r>
      <w:r>
        <w:rPr>
          <w:b/>
          <w:color w:val="003399"/>
        </w:rPr>
        <w:t>[2]</w:t>
      </w:r>
      <w:r>
        <w:t xml:space="preserve">. Furthermore, to establish an ultra-fast baseline, they applied the MiniRocket algorithm </w:t>
      </w:r>
      <w:r>
        <w:rPr>
          <w:b/>
          <w:color w:val="003399"/>
        </w:rPr>
        <w:t>[3]</w:t>
      </w:r>
      <w:r>
        <w:t>. MiniRocket represents a paradigm shift in time-series classification. Instead of slowly learning weights via backpropagation, it applies 10,000 fixed, non-trainable convolutional kernels to the EEG data, extracting the Proportion of Positive Values (PPV). While Hwaidi et al. achieved extraordinary accuracies (over 98% on specific datasets), their findings heavily focused on the temporal domain, relying on massive kernel expansion rather than explicitly solving the spatial volume conduction problem. This exact gap in handling explicit spatial topologies served as the primary motivation for our novelty integration.</w:t>
      </w:r>
    </w:p>
    <w:p>
      <w:pPr>
        <w:pStyle w:val="Heading2"/>
      </w:pPr>
      <w:r>
        <w:t>2.2 Base Papers 2 &amp; 3: The Novelty Topological Architectures</w:t>
      </w:r>
    </w:p>
    <w:p>
      <w:pPr>
        <w:jc w:val="both"/>
      </w:pPr>
      <w:r>
        <w:t xml:space="preserve">To address the spatial ignorance inherent in standard deep learning models, we turned to the seminal work published by Lawhern et al. </w:t>
      </w:r>
      <w:r>
        <w:rPr>
          <w:b/>
          <w:color w:val="003399"/>
        </w:rPr>
        <w:t>[4]</w:t>
      </w:r>
      <w:r>
        <w:t xml:space="preserve">, who introduced the revolutionary </w:t>
      </w:r>
      <w:r>
        <w:rPr>
          <w:b/>
        </w:rPr>
        <w:t>EEGNet</w:t>
      </w:r>
      <w:r>
        <w:t xml:space="preserve"> architecture. Prior to EEGNet, researchers attempted to apply standard 2D image-based CNNs to EEG data. Lawhern et al. proved that standard 2D convolutions overfit heavily because they treat spatial dimensions (electrodes) and temporal dimensions (time steps) equally, which is physically incorrect for neurophysiological data. Their primary finding was that by utilizing Depthwise Separable Convolutions, one could completely decouple the learning of temporal frequencies (via standard 1D temporal convolutions) from spatial topologies (via depthwise convolutions acting strictly across electrodes). This finding allowed for the creation of an incredibly compact, parameter-efficient network that specifically learned spatial filters. We adopted EEGNet as our primary novelty model to exploit this depthwise spatial filtering.</w:t>
      </w:r>
    </w:p>
    <w:p>
      <w:pPr>
        <w:jc w:val="both"/>
      </w:pPr>
      <w:r>
        <w:t xml:space="preserve">Parallel to the development of EEGNet, Schirrmeister et al. </w:t>
      </w:r>
      <w:r>
        <w:rPr>
          <w:b/>
          <w:color w:val="003399"/>
        </w:rPr>
        <w:t>[5]</w:t>
      </w:r>
      <w:r>
        <w:t xml:space="preserve"> published critical findings regarding the mathematical relationship between deep neural networks and classical physics-based feature extraction. In their paper introducing the </w:t>
      </w:r>
      <w:r>
        <w:rPr>
          <w:b/>
        </w:rPr>
        <w:t>Shallow and Deep ConvNets</w:t>
      </w:r>
      <w:r>
        <w:t xml:space="preserve">, they addressed a long-standing debate in the BCI community: can neural networks be biologically interpretable? They demonstrated that a carefully constructed shallow neural network could mathematically mimic the log-variance extraction of the classical Common Spatial Patterns (CSP) algorithm </w:t>
      </w:r>
      <w:r>
        <w:rPr>
          <w:b/>
          <w:color w:val="003399"/>
        </w:rPr>
        <w:t>[6]</w:t>
      </w:r>
      <w:r>
        <w:t>. By employing specific squaring activation functions (to calculate signal power) and logarithmic activation functions (to calculate log-variance), they proved that explicit topological design could force a 'black box' neural network to learn classical, interpretable features. These two foundational papers govern the core implementation of our spatial-temporal novelty.</w:t>
      </w:r>
    </w:p>
    <w:p>
      <w:pPr>
        <w:pStyle w:val="Heading2"/>
      </w:pPr>
      <w:r>
        <w:t>2.3 Dataset Origins and Validation Sources</w:t>
      </w:r>
    </w:p>
    <w:p>
      <w:pPr>
        <w:jc w:val="both"/>
      </w:pPr>
      <w:r>
        <w:t xml:space="preserve">The empirical validation of these complex spatial models requires highly robust, standardized datasets to prevent isolated overfitting. We utilize the PhysioNet EEG Motor Movement/Imagery Dataset </w:t>
      </w:r>
      <w:r>
        <w:rPr>
          <w:b/>
          <w:color w:val="003399"/>
        </w:rPr>
        <w:t>[7]</w:t>
      </w:r>
      <w:r>
        <w:t>, established by Goldberger et al. This dataset remains the international gold standard for benchmarking complex, multi-subject motor intent due to its massive cohort of 109 subjects. The findings from the original PhysioNet studies proved that generalized models struggle immensely when applied across such a wide variety of human skull thicknesses and cortical folding patterns.</w:t>
      </w:r>
    </w:p>
    <w:p>
      <w:pPr>
        <w:jc w:val="both"/>
      </w:pPr>
      <w:r>
        <w:t xml:space="preserve">Furthermore, to rigorously test our topological models against severe artifact contamination, we rely on the BCI Competition IV-2a dataset </w:t>
      </w:r>
      <w:r>
        <w:rPr>
          <w:b/>
          <w:color w:val="003399"/>
        </w:rPr>
        <w:t>[8]</w:t>
      </w:r>
      <w:r>
        <w:t>, recorded by Brunner et al. at the Graz University of Technology. The original competition findings highlighted that the 4-class MI paradigm (Left Hand, Right Hand, Feet, Tongue) is severely affected by EOG artifacts. By citing and utilizing these exact datasets, we guarantee that our models are being tested against the exact same volume conduction and noise phenomena described in our problem statement.</w:t>
      </w:r>
    </w:p>
    <w:p>
      <w:pPr>
        <w:pStyle w:val="Heading1"/>
      </w:pPr>
      <w:r>
        <w:t>3. Proposed Methodology</w:t>
      </w:r>
    </w:p>
    <w:p>
      <w:pPr>
        <w:jc w:val="both"/>
      </w:pPr>
      <w:r>
        <w:t>This extensive section outlines the complete mathematical and architectural pipeline utilized in this research. It begins with the data preprocessing algorithms, followed by the explicit mathematical formulation of our baseline temporal models (MiniRocket and CNN-LSTM), and concludes with an exhaustive deep dive into the four topological novelty models (CSP+LDA, EEGNet, Shallow ConvNet, Deep ConvNet).</w:t>
      </w:r>
    </w:p>
    <w:p>
      <w:pPr>
        <w:jc w:val="center"/>
      </w:pPr>
      <w:r>
        <w:drawing>
          <wp:inline xmlns:a="http://schemas.openxmlformats.org/drawingml/2006/main" xmlns:pic="http://schemas.openxmlformats.org/drawingml/2006/picture">
            <wp:extent cx="5284117" cy="4572000"/>
            <wp:docPr id="2" name="Picture 2"/>
            <wp:cNvGraphicFramePr>
              <a:graphicFrameLocks noChangeAspect="1"/>
            </wp:cNvGraphicFramePr>
            <a:graphic>
              <a:graphicData uri="http://schemas.openxmlformats.org/drawingml/2006/picture">
                <pic:pic>
                  <pic:nvPicPr>
                    <pic:cNvPr id="0" name="media_1789734424846.png"/>
                    <pic:cNvPicPr/>
                  </pic:nvPicPr>
                  <pic:blipFill>
                    <a:blip r:embed="rId10"/>
                    <a:stretch>
                      <a:fillRect/>
                    </a:stretch>
                  </pic:blipFill>
                  <pic:spPr>
                    <a:xfrm>
                      <a:off x="0" y="0"/>
                      <a:ext cx="5284117" cy="4572000"/>
                    </a:xfrm>
                    <a:prstGeom prst="rect"/>
                  </pic:spPr>
                </pic:pic>
              </a:graphicData>
            </a:graphic>
          </wp:inline>
        </w:drawing>
      </w:r>
    </w:p>
    <w:p>
      <w:pPr>
        <w:jc w:val="center"/>
      </w:pPr>
      <w:r>
        <w:t>Fig. 2. Milestone 1 Overall Architecture Diagram</w:t>
      </w:r>
    </w:p>
    <w:p>
      <w:pPr>
        <w:pStyle w:val="Heading2"/>
      </w:pPr>
      <w:r>
        <w:t>3.1 Preprocessing and Artifact Rejection</w:t>
      </w:r>
    </w:p>
    <w:p>
      <w:pPr>
        <w:jc w:val="both"/>
      </w:pPr>
      <w:r>
        <w:t xml:space="preserve">Raw EEG signals acquired directly from the scalp are inherently contaminated. Before any spatial or temporal models can be applied, the signal must be mathematically isolated. The preprocessing pipeline begins by applying a 4th-order Butterworth bandpass filter. The cutoff frequencies are strictly set between 8 Hz and 30 Hz. This specific range is biologically mandated because it isolates the critical Event-Related Desynchronization (ERD) and Event-Related Synchronization (ERS) phenomena that occur precisely within the Alpha (𝜇, 8-12 Hz) and Beta (𝛽, 13-30 Hz) frequency bands during motor imagery </w:t>
      </w:r>
      <w:r>
        <w:rPr>
          <w:b/>
          <w:color w:val="003399"/>
        </w:rPr>
        <w:t>[11]</w:t>
      </w:r>
      <w:r>
        <w:t>.</w:t>
      </w:r>
    </w:p>
    <w:p>
      <w:pPr>
        <w:jc w:val="both"/>
      </w:pPr>
      <w:r>
        <w:t xml:space="preserve">Following filtration, we address physiological artifacts (eye blinks and muscle movements) using Independent Component Analysis (ICA). ICA is a sophisticated computational method for separating a multivariate signal into additive, statistically independent subcomponents. It operates on the mathematical assumption that the underlying neural sources are non-Gaussian and statistically independent </w:t>
      </w:r>
      <w:r>
        <w:rPr>
          <w:b/>
          <w:color w:val="003399"/>
        </w:rPr>
        <w:t>[12]</w:t>
      </w:r>
      <w:r>
        <w:t>. By decomposing the signal, we can manually or algorithmically zero-out the components corresponding to EOG/EMG noise, and reconstruct a clean EEG matrix. Finally, the continuous EEG streams are partitioned into discrete, non-overlapping 4-second trials. This strict windowing ensures absolute segregation between the training, validation, and testing sets, thereby categorically preventing data leakage.</w:t>
      </w:r>
    </w:p>
    <w:p>
      <w:pPr>
        <w:pStyle w:val="Heading2"/>
      </w:pPr>
      <w:r>
        <w:t>3.2 Baseline Models: CNN-LSTM and MiniRocket</w:t>
      </w:r>
    </w:p>
    <w:p>
      <w:pPr>
        <w:jc w:val="both"/>
      </w:pPr>
      <w:r>
        <w:t xml:space="preserve">To establish a rigorous benchmark, we first implemented the models described in Base Paper 1. The </w:t>
      </w:r>
      <w:r>
        <w:rPr>
          <w:b/>
        </w:rPr>
        <w:t>CNN-LSTM</w:t>
      </w:r>
      <w:r>
        <w:t xml:space="preserve"> hybrid model represents the deep learning temporal baseline. The architecture begins with three standard 1D Convolutional layers. These layers slide a small temporal window across the EEG signal, extracting local frequency variations and highly localized temporal shapes </w:t>
      </w:r>
      <w:r>
        <w:rPr>
          <w:b/>
          <w:color w:val="003399"/>
        </w:rPr>
        <w:t>[1]</w:t>
      </w:r>
      <w:r>
        <w:t>. However, human motor intent is not instantaneous; it evolves dynamically over the 4-second trial. To capture this evolution, an LSTM network processes the flattened feature maps outputted by the CNN.</w:t>
      </w:r>
    </w:p>
    <w:p>
      <w:pPr>
        <w:jc w:val="both"/>
      </w:pPr>
      <w:r>
        <w:t xml:space="preserve">The LSTM utilizes a complex series of mathematical gates to manage memory. The Forget Gate dictates what historical information should be discarded from the cell state. The Input Gate determines what new information from the current time step should be stored, and the Output Gate decides what information should be passed to the final dense classification layers </w:t>
      </w:r>
      <w:r>
        <w:rPr>
          <w:b/>
          <w:color w:val="003399"/>
        </w:rPr>
        <w:t>[2]</w:t>
      </w:r>
      <w:r>
        <w:t>. This allows the CNN-LSTM to maintain a perfect chronological understanding of the motor imagery process.</w:t>
      </w:r>
    </w:p>
    <w:p>
      <w:pPr>
        <w:jc w:val="center"/>
      </w:pPr>
      <w:r>
        <w:drawing>
          <wp:inline xmlns:a="http://schemas.openxmlformats.org/drawingml/2006/main" xmlns:pic="http://schemas.openxmlformats.org/drawingml/2006/picture">
            <wp:extent cx="7868450" cy="3657600"/>
            <wp:docPr id="3" name="Picture 3"/>
            <wp:cNvGraphicFramePr>
              <a:graphicFrameLocks noChangeAspect="1"/>
            </wp:cNvGraphicFramePr>
            <a:graphic>
              <a:graphicData uri="http://schemas.openxmlformats.org/drawingml/2006/picture">
                <pic:pic>
                  <pic:nvPicPr>
                    <pic:cNvPr id="0" name="media_1789734651660.png"/>
                    <pic:cNvPicPr/>
                  </pic:nvPicPr>
                  <pic:blipFill>
                    <a:blip r:embed="rId11"/>
                    <a:stretch>
                      <a:fillRect/>
                    </a:stretch>
                  </pic:blipFill>
                  <pic:spPr>
                    <a:xfrm>
                      <a:off x="0" y="0"/>
                      <a:ext cx="7868450" cy="3657600"/>
                    </a:xfrm>
                    <a:prstGeom prst="rect"/>
                  </pic:spPr>
                </pic:pic>
              </a:graphicData>
            </a:graphic>
          </wp:inline>
        </w:drawing>
      </w:r>
    </w:p>
    <w:p>
      <w:pPr>
        <w:jc w:val="center"/>
      </w:pPr>
      <w:r>
        <w:t>Fig. 3. CNN-LSTM Hybrid Architecture</w:t>
      </w:r>
    </w:p>
    <w:p>
      <w:pPr>
        <w:jc w:val="both"/>
      </w:pPr>
      <w:r>
        <w:t xml:space="preserve">Conversely, the </w:t>
      </w:r>
      <w:r>
        <w:rPr>
          <w:b/>
        </w:rPr>
        <w:t>MiniRocket</w:t>
      </w:r>
      <w:r>
        <w:t xml:space="preserve"> (Minimally Random Convolutional Kernel Transform) baseline avoids backpropagation entirely. It is a highly deterministic variant of the ROCKET algorithm </w:t>
      </w:r>
      <w:r>
        <w:rPr>
          <w:b/>
          <w:color w:val="003399"/>
        </w:rPr>
        <w:t>[3]</w:t>
      </w:r>
      <w:r>
        <w:t>. MiniRocket applies a fixed, non-trainable set of precisely 10,000 convolutional kernels to the raw EEG time-series. Instead of outputting the full convolved signal, it mathematically collapses the output by calculating a single scalar feature per kernel: the Proportion of Positive Values (PPV). The PPV represents the exact percentage of the time-series where the convolution output is strictly greater than zero. This mathematically projects the data into a massive 10,000-dimensional feature space where a computationally inexpensive Ridge Regression classifier can rapidly draw linear decision boundaries, achieving peak accuracy in seconds.</w:t>
      </w:r>
    </w:p>
    <w:p>
      <w:pPr>
        <w:pStyle w:val="Heading2"/>
      </w:pPr>
      <w:r>
        <w:t>3.3 Mathematical Formulations &amp; Loss Functions</w:t>
      </w:r>
    </w:p>
    <w:p>
      <w:pPr>
        <w:jc w:val="both"/>
      </w:pPr>
      <w:r>
        <w:t>For all deep learning networks trained in this thesis (CNN-LSTM, EEGNet, Shallow ConvNet, Deep ConvNet), the network weights are iteratively optimized to minimize the Categorical Crossentropy Loss. This loss function heavily penalizes the network when it confidently predicts the wrong class. It is mathematically defined as:</w:t>
      </w:r>
    </w:p>
    <w:p>
      <w:pPr>
        <w:jc w:val="center"/>
      </w:pPr>
      <w:r>
        <w:rPr>
          <w:rFonts w:ascii="Cambria Math" w:hAnsi="Cambria Math"/>
          <w:i/>
          <w:sz w:val="26"/>
        </w:rPr>
        <w:t>L = - Σ [ y_c * log(p_c) ]</w:t>
      </w:r>
    </w:p>
    <w:p>
      <w:pPr>
        <w:jc w:val="both"/>
      </w:pPr>
      <w:r>
        <w:t>Where 'c' represents the specific motor imagery class (e.g., Left Hand, Right Hand), 'y</w:t>
      </w:r>
      <w:r>
        <w:rPr>
          <w:i/>
        </w:rPr>
        <w:t>c' is the ground-truth binary indicator (0 or 1) identifying if class label 'c' is the correct classification, and 'p</w:t>
      </w:r>
      <w:r>
        <w:t xml:space="preserve">c' is the predicted probability outputted by the final Softmax activation layer of the neural network </w:t>
      </w:r>
      <w:r>
        <w:rPr>
          <w:b/>
          <w:color w:val="003399"/>
        </w:rPr>
        <w:t>[13]</w:t>
      </w:r>
      <w:r>
        <w:t>. Furthermore, to prevent overfitting on the relatively small EEG datasets, L2 weight regularization is mathematically integrated into the loss function. This adds a penalty term proportional to the square of the magnitude of the weights, forcing the network to maintain small, distributed weight vectors rather than relying heavily on a single electrode.</w:t>
      </w:r>
    </w:p>
    <w:p>
      <w:pPr>
        <w:pStyle w:val="Heading2"/>
      </w:pPr>
      <w:r>
        <w:t>3.4 The Advanced Topological Novelty Models</w:t>
      </w:r>
    </w:p>
    <w:p>
      <w:pPr>
        <w:jc w:val="both"/>
      </w:pPr>
      <w:r>
        <w:t>The core of our research focuses on explicitly solving the volume conduction effect. To provide profound algorithmic novelty beyond the baselines, we implemented four advanced topological architectures. These models shift the computational focus from pure chronological time-series analysis to complex spatial topology.</w:t>
      </w:r>
    </w:p>
    <w:p>
      <w:pPr>
        <w:jc w:val="both"/>
      </w:pPr>
      <w:r/>
      <w:r>
        <w:rPr>
          <w:b/>
        </w:rPr>
        <w:t>1. Common Spatial Patterns (CSP) + LDA:</w:t>
      </w:r>
      <w:r>
        <w:br/>
        <w:t xml:space="preserve">CSP is the gold-standard, classical mathematical algorithm for spatial filtering in BCI. Its explicit mathematical goal is to learn spatial filters (weighting vectors for the physical electrodes) that maximize the variance of the filtered EEG signal for one motor imagery class, while simultaneously minimizing the variance for the other class </w:t>
      </w:r>
      <w:r>
        <w:rPr>
          <w:b/>
          <w:color w:val="003399"/>
        </w:rPr>
        <w:t>[14]</w:t>
      </w:r>
      <w:r>
        <w:t>. Let X</w:t>
      </w:r>
      <w:r>
        <w:rPr>
          <w:i/>
        </w:rPr>
        <w:t>1 and X</w:t>
      </w:r>
      <w:r>
        <w:t>2 be the spatial covariance matrices of two different motor imagery tasks (e.g., left vs. right fist). To find the optimal filters, CSP solves the Generalized Eigenvalue Problem:</w:t>
      </w:r>
    </w:p>
    <w:p>
      <w:pPr>
        <w:jc w:val="center"/>
      </w:pPr>
      <w:r>
        <w:rPr>
          <w:rFonts w:ascii="Cambria Math" w:hAnsi="Cambria Math"/>
          <w:i/>
          <w:sz w:val="26"/>
        </w:rPr>
        <w:t>X_1 * W = λ * X_2 * W</w:t>
      </w:r>
    </w:p>
    <w:p>
      <w:pPr>
        <w:jc w:val="both"/>
      </w:pPr>
      <w:r>
        <w:t xml:space="preserve">Where W is the critical projection matrix (containing the optimal spatial filters) and λ represents the diagonal matrix of generalized eigenvalues. By projecting the raw, blurred EEG signals through the top and bottom eigenvectors of matrix W, we effectively reverse volume conduction. We extract highly discriminative log-variance features from these spatially filtered signals, which are then easily classified using Linear Discriminant Analysis (LDA) </w:t>
      </w:r>
      <w:r>
        <w:rPr>
          <w:b/>
          <w:color w:val="003399"/>
        </w:rPr>
        <w:t>[15]</w:t>
      </w:r>
      <w:r>
        <w:t>.</w:t>
      </w:r>
    </w:p>
    <w:p>
      <w:pPr>
        <w:jc w:val="both"/>
      </w:pPr>
      <w:r/>
      <w:r>
        <w:rPr>
          <w:b/>
        </w:rPr>
        <w:t>2. EEGNet (Depthwise Spatial Topology):</w:t>
      </w:r>
      <w:r>
        <w:br/>
        <w:t xml:space="preserve">EEGNet is a highly compact convolutional network specifically designed from the ground up for brain signals </w:t>
      </w:r>
      <w:r>
        <w:rPr>
          <w:b/>
          <w:color w:val="003399"/>
        </w:rPr>
        <w:t>[4]</w:t>
      </w:r>
      <w:r>
        <w:t>. Standard 2D convolutions mix temporal and spatial information indiscriminately. EEGNet prevents this by using a strictly enforced two-step topological process. First, a Temporal Convolution acts independently on each electrode to extract frequency bandpass filters (e.g., isolating the Mu rhythm). Second, a Depthwise Separable Convolution acts *across* the electrodes. Because it is depthwise, it learns optimal spatial filters (very similar to the W matrix in CSP) for each temporal frequency independently. This explicit decoupling drastically reduces the number of trainable parameters, rendering the model highly resistant to overfitting and highly robust to volume conduction.</w:t>
      </w:r>
    </w:p>
    <w:p>
      <w:pPr>
        <w:jc w:val="center"/>
      </w:pPr>
      <w:r>
        <w:drawing>
          <wp:inline xmlns:a="http://schemas.openxmlformats.org/drawingml/2006/main" xmlns:pic="http://schemas.openxmlformats.org/drawingml/2006/picture">
            <wp:extent cx="20466570" cy="3657600"/>
            <wp:docPr id="4" name="Picture 4"/>
            <wp:cNvGraphicFramePr>
              <a:graphicFrameLocks noChangeAspect="1"/>
            </wp:cNvGraphicFramePr>
            <a:graphic>
              <a:graphicData uri="http://schemas.openxmlformats.org/drawingml/2006/picture">
                <pic:pic>
                  <pic:nvPicPr>
                    <pic:cNvPr id="0" name="media_1789734843376.png"/>
                    <pic:cNvPicPr/>
                  </pic:nvPicPr>
                  <pic:blipFill>
                    <a:blip r:embed="rId12"/>
                    <a:stretch>
                      <a:fillRect/>
                    </a:stretch>
                  </pic:blipFill>
                  <pic:spPr>
                    <a:xfrm>
                      <a:off x="0" y="0"/>
                      <a:ext cx="20466570" cy="3657600"/>
                    </a:xfrm>
                    <a:prstGeom prst="rect"/>
                  </pic:spPr>
                </pic:pic>
              </a:graphicData>
            </a:graphic>
          </wp:inline>
        </w:drawing>
      </w:r>
    </w:p>
    <w:p>
      <w:pPr>
        <w:jc w:val="center"/>
      </w:pPr>
      <w:r>
        <w:t>Fig. 4. EEGNet Architecture</w:t>
      </w:r>
    </w:p>
    <w:p>
      <w:pPr>
        <w:jc w:val="both"/>
      </w:pPr>
      <w:r/>
      <w:r>
        <w:rPr>
          <w:b/>
        </w:rPr>
        <w:t>3. Shallow ConvNet (Neural Physics Mimicry):</w:t>
      </w:r>
      <w:r>
        <w:br/>
        <w:t xml:space="preserve">The Shallow ConvNet was theoretically designed by Schirrmeister et al. </w:t>
      </w:r>
      <w:r>
        <w:rPr>
          <w:b/>
          <w:color w:val="003399"/>
        </w:rPr>
        <w:t>[5]</w:t>
      </w:r>
      <w:r>
        <w:t xml:space="preserve"> to prove that a deep learning network can mathematically replicate the classical physics of the CSP algorithm. After an initial temporal and spatial convolution layer, the network refuses standard activations like ReLU. Instead, it employs a strict squaring activation function (f(x) = x^2). This mathematically calculates the signal power. This is immediately followed by a mean pooling layer (calculating average variance over time), and finally a logarithmic activation function (f(x) = log(x)). This specific, locked sequence of operations (Square -&gt; Mean -&gt; Log) perfectly mimics the exact log-variance feature extraction of classical CSP. By doing so, the network remains biologically interpretable while fully benefiting from end-to-end backpropagation.</w:t>
      </w:r>
    </w:p>
    <w:p>
      <w:pPr>
        <w:jc w:val="both"/>
      </w:pPr>
      <w:r/>
      <w:r>
        <w:rPr>
          <w:b/>
        </w:rPr>
        <w:t>4. Deep ConvNet (Hierarchical Abstraction):</w:t>
      </w:r>
      <w:r>
        <w:br/>
        <w:t xml:space="preserve">While the Shallow ConvNet mimics known physics, the Deep ConvNet aims to build massive, hierarchical, abstract representations of motor intent that classical algorithms simply cannot reach </w:t>
      </w:r>
      <w:r>
        <w:rPr>
          <w:b/>
          <w:color w:val="003399"/>
        </w:rPr>
        <w:t>[5]</w:t>
      </w:r>
      <w:r>
        <w:t xml:space="preserve">. It stacks four heavy sequential convolutional blocks. Each block utilizes Batch Normalization to mathematically stabilize the internal covariate shift during training </w:t>
      </w:r>
      <w:r>
        <w:rPr>
          <w:b/>
          <w:color w:val="003399"/>
        </w:rPr>
        <w:t>[16]</w:t>
      </w:r>
      <w:r>
        <w:t>. This is followed by an Exponential Linear Unit (ELU) activation function. ELU was chosen specifically over ReLU because ELU handles negative EEG voltage values smoothly and continuously, preventing the 'dying ReLU' problem where neurons permanently deactivate. This incredibly deep topological architecture is theorized to be the most robust against inter-subject variability, as the deeper layers learn universal, subject-agnostic spatial features.</w:t>
      </w:r>
    </w:p>
    <w:p>
      <w:pPr>
        <w:jc w:val="center"/>
      </w:pPr>
      <w:r>
        <w:drawing>
          <wp:inline xmlns:a="http://schemas.openxmlformats.org/drawingml/2006/main" xmlns:pic="http://schemas.openxmlformats.org/drawingml/2006/picture">
            <wp:extent cx="16787073" cy="4114800"/>
            <wp:docPr id="5" name="Picture 5"/>
            <wp:cNvGraphicFramePr>
              <a:graphicFrameLocks noChangeAspect="1"/>
            </wp:cNvGraphicFramePr>
            <a:graphic>
              <a:graphicData uri="http://schemas.openxmlformats.org/drawingml/2006/picture">
                <pic:pic>
                  <pic:nvPicPr>
                    <pic:cNvPr id="0" name="media_1789735299635.png"/>
                    <pic:cNvPicPr/>
                  </pic:nvPicPr>
                  <pic:blipFill>
                    <a:blip r:embed="rId13"/>
                    <a:stretch>
                      <a:fillRect/>
                    </a:stretch>
                  </pic:blipFill>
                  <pic:spPr>
                    <a:xfrm>
                      <a:off x="0" y="0"/>
                      <a:ext cx="16787073" cy="4114800"/>
                    </a:xfrm>
                    <a:prstGeom prst="rect"/>
                  </pic:spPr>
                </pic:pic>
              </a:graphicData>
            </a:graphic>
          </wp:inline>
        </w:drawing>
      </w:r>
    </w:p>
    <w:p>
      <w:pPr>
        <w:jc w:val="center"/>
      </w:pPr>
      <w:r>
        <w:t>Fig. 5. Shallow and Deep ConvNet Architectures</w:t>
      </w:r>
    </w:p>
    <w:p>
      <w:pPr>
        <w:pStyle w:val="Heading1"/>
      </w:pPr>
      <w:r>
        <w:t>4. Dataset Description</w:t>
      </w:r>
    </w:p>
    <w:p>
      <w:pPr>
        <w:jc w:val="both"/>
      </w:pPr>
      <w:r>
        <w:t>The empirical validation of the proposed temporal baselines and spatial novelty models was conducted using two of the most highly cited, publicly available benchmark datasets in the neurotechnology community. Utilizing these specific datasets guarantees that our proposed architectures are tested against real-world volume conduction and noise.</w:t>
      </w:r>
    </w:p>
    <w:p>
      <w:pPr>
        <w:jc w:val="both"/>
      </w:pPr>
      <w:r/>
      <w:r>
        <w:rPr>
          <w:b/>
        </w:rPr>
        <w:t>PhysioNet EEG Motor Movement/Imagery Dataset:</w:t>
      </w:r>
      <w:r>
        <w:br/>
        <w:t xml:space="preserve">This dataset contains massive recordings from a cohort of 109 subjects performing baseline, actual motor execution, and motor imagery tasks. The data was recorded using the BCI2000 system with 64 high-resolution electrodes positioned as per the international 10-10 system. For the strict scope of this thesis, we utilized the motor imagery runs specifically targeting the imagination of opening and closing left or right fists, and the imagination of opening and closing both fists versus both feet </w:t>
      </w:r>
      <w:r>
        <w:rPr>
          <w:b/>
          <w:color w:val="003399"/>
        </w:rPr>
        <w:t>[7]</w:t>
      </w:r>
      <w:r>
        <w:t>. The massive subject pool makes this the ultimate test for cross-subject topological generalizability.</w:t>
        <w:br/>
        <w:t>Dataset URL Link: https://physionet.org/content/eegmmidb/</w:t>
      </w:r>
    </w:p>
    <w:p>
      <w:pPr>
        <w:jc w:val="both"/>
      </w:pPr>
      <w:r/>
      <w:r>
        <w:rPr>
          <w:b/>
        </w:rPr>
        <w:t>BCI Competition IV-2a Dataset:</w:t>
      </w:r>
      <w:r>
        <w:br/>
        <w:t xml:space="preserve">Provided by the Graz University of Technology, this dataset consists of continuous recordings from 9 distinct subjects. It is widely considered one of the most mechanically challenging datasets due to severe EOG artifacts and complex 4-class paradigms. The subjects were visually cued to imagine movements of the left hand, right hand, both feet, and tongue. The data was recorded using 22 Ag/AgCl EEG electrodes and 3 discrete EOG channels, sampled at 250 Hz </w:t>
      </w:r>
      <w:r>
        <w:rPr>
          <w:b/>
          <w:color w:val="003399"/>
        </w:rPr>
        <w:t>[8]</w:t>
      </w:r>
      <w:r>
        <w:t>.</w:t>
        <w:br/>
        <w:t>Dataset URL Link: https://www.bbci.de/competition/iv/</w:t>
      </w:r>
    </w:p>
    <w:p>
      <w:pPr>
        <w:jc w:val="both"/>
      </w:pPr>
      <w:r>
        <w:t>Table 1: Extensive Dataset Parameters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Dataset</w:t>
            </w:r>
          </w:p>
        </w:tc>
        <w:tc>
          <w:tcPr>
            <w:tcW w:type="dxa" w:w="2160"/>
          </w:tcPr>
          <w:p>
            <w:r>
              <w:t>Subjects</w:t>
            </w:r>
          </w:p>
        </w:tc>
        <w:tc>
          <w:tcPr>
            <w:tcW w:type="dxa" w:w="2160"/>
          </w:tcPr>
          <w:p>
            <w:r>
              <w:t>Channels</w:t>
            </w:r>
          </w:p>
        </w:tc>
        <w:tc>
          <w:tcPr>
            <w:tcW w:type="dxa" w:w="2160"/>
          </w:tcPr>
          <w:p>
            <w:r>
              <w:t>Motor Imagery Classes</w:t>
            </w:r>
          </w:p>
        </w:tc>
      </w:tr>
      <w:tr>
        <w:tc>
          <w:tcPr>
            <w:tcW w:type="dxa" w:w="2160"/>
          </w:tcPr>
          <w:p>
            <w:r>
              <w:t>PhysioNet</w:t>
            </w:r>
          </w:p>
        </w:tc>
        <w:tc>
          <w:tcPr>
            <w:tcW w:type="dxa" w:w="2160"/>
          </w:tcPr>
          <w:p>
            <w:r>
              <w:t>109</w:t>
            </w:r>
          </w:p>
        </w:tc>
        <w:tc>
          <w:tcPr>
            <w:tcW w:type="dxa" w:w="2160"/>
          </w:tcPr>
          <w:p>
            <w:r>
              <w:t>64 (Reduced to 22)</w:t>
            </w:r>
          </w:p>
        </w:tc>
        <w:tc>
          <w:tcPr>
            <w:tcW w:type="dxa" w:w="2160"/>
          </w:tcPr>
          <w:p>
            <w:r>
              <w:t>Left/Right Fists, Feet</w:t>
            </w:r>
          </w:p>
        </w:tc>
      </w:tr>
      <w:tr>
        <w:tc>
          <w:tcPr>
            <w:tcW w:type="dxa" w:w="2160"/>
          </w:tcPr>
          <w:p>
            <w:r>
              <w:t>BCI Comp IV 2a</w:t>
            </w:r>
          </w:p>
        </w:tc>
        <w:tc>
          <w:tcPr>
            <w:tcW w:type="dxa" w:w="2160"/>
          </w:tcPr>
          <w:p>
            <w:r>
              <w:t>9</w:t>
            </w:r>
          </w:p>
        </w:tc>
        <w:tc>
          <w:tcPr>
            <w:tcW w:type="dxa" w:w="2160"/>
          </w:tcPr>
          <w:p>
            <w:r>
              <w:t>22</w:t>
            </w:r>
          </w:p>
        </w:tc>
        <w:tc>
          <w:tcPr>
            <w:tcW w:type="dxa" w:w="2160"/>
          </w:tcPr>
          <w:p>
            <w:r>
              <w:t>Left Hand, Right Hand, Feet, Tongue</w:t>
            </w:r>
          </w:p>
        </w:tc>
      </w:tr>
    </w:tbl>
    <w:p>
      <w:pPr>
        <w:pStyle w:val="Heading1"/>
      </w:pPr>
      <w:r>
        <w:t>5. Results and Discussion</w:t>
      </w:r>
    </w:p>
    <w:p>
      <w:pPr>
        <w:jc w:val="both"/>
      </w:pPr>
      <w:r>
        <w:t xml:space="preserve">The models were rigorously evaluated utilizing strict k-fold cross-validation to ensure that the testing sets were completely unseen during the training phase, preventing data leakage. All deep learning models were compiled using the Adam optimizer, utilizing the Categorical Crossentropy loss function defined in Section 3.3. Learning rates were dynamically adjusted using ReduceLROnPlateau callbacks to ensure mathematical convergence at the global minimum </w:t>
      </w:r>
      <w:r>
        <w:rPr>
          <w:b/>
          <w:color w:val="003399"/>
        </w:rPr>
        <w:t>[17]</w:t>
      </w:r>
      <w:r>
        <w:t>.</w:t>
      </w:r>
    </w:p>
    <w:p>
      <w:pPr>
        <w:jc w:val="center"/>
      </w:pPr>
      <w:r>
        <w:drawing>
          <wp:inline xmlns:a="http://schemas.openxmlformats.org/drawingml/2006/main" xmlns:pic="http://schemas.openxmlformats.org/drawingml/2006/picture">
            <wp:extent cx="14500927" cy="3200400"/>
            <wp:docPr id="6" name="Picture 6"/>
            <wp:cNvGraphicFramePr>
              <a:graphicFrameLocks noChangeAspect="1"/>
            </wp:cNvGraphicFramePr>
            <a:graphic>
              <a:graphicData uri="http://schemas.openxmlformats.org/drawingml/2006/picture">
                <pic:pic>
                  <pic:nvPicPr>
                    <pic:cNvPr id="0" name="media_1789736194358.png"/>
                    <pic:cNvPicPr/>
                  </pic:nvPicPr>
                  <pic:blipFill>
                    <a:blip r:embed="rId14"/>
                    <a:stretch>
                      <a:fillRect/>
                    </a:stretch>
                  </pic:blipFill>
                  <pic:spPr>
                    <a:xfrm>
                      <a:off x="0" y="0"/>
                      <a:ext cx="14500927" cy="3200400"/>
                    </a:xfrm>
                    <a:prstGeom prst="rect"/>
                  </pic:spPr>
                </pic:pic>
              </a:graphicData>
            </a:graphic>
          </wp:inline>
        </w:drawing>
      </w:r>
    </w:p>
    <w:p>
      <w:pPr>
        <w:jc w:val="center"/>
      </w:pPr>
      <w:r>
        <w:t>Fig. 6. Timing Diagram for the MI trial</w:t>
      </w:r>
    </w:p>
    <w:p>
      <w:pPr>
        <w:pStyle w:val="Heading2"/>
      </w:pPr>
      <w:r>
        <w:t>5.1 Hyperparameter Configurations</w:t>
      </w:r>
    </w:p>
    <w:p>
      <w:pPr>
        <w:jc w:val="both"/>
      </w:pPr>
      <w:r>
        <w:t>To ensure absolute reproducibility of this thesis, the hyperparameter configurations for both the baseline temporal models and the topological novelty models are explicitly detailed below.</w:t>
      </w:r>
    </w:p>
    <w:p>
      <w:pPr>
        <w:jc w:val="both"/>
      </w:pPr>
      <w:r>
        <w:t>Table 2: Hyperparameters for Baseline Models</w:t>
      </w:r>
    </w:p>
    <w:tbl>
      <w:tblPr>
        <w:tblStyle w:val="TableGrid"/>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Parameter</w:t>
            </w:r>
          </w:p>
        </w:tc>
        <w:tc>
          <w:tcPr>
            <w:tcW w:type="dxa" w:w="2880"/>
          </w:tcPr>
          <w:p>
            <w:r>
              <w:t>Value</w:t>
            </w:r>
          </w:p>
        </w:tc>
      </w:tr>
      <w:tr>
        <w:tc>
          <w:tcPr>
            <w:tcW w:type="dxa" w:w="2880"/>
          </w:tcPr>
          <w:p>
            <w:r>
              <w:t>MiniRocket</w:t>
            </w:r>
          </w:p>
        </w:tc>
        <w:tc>
          <w:tcPr>
            <w:tcW w:type="dxa" w:w="2880"/>
          </w:tcPr>
          <w:p>
            <w:r>
              <w:t>Kernels / Dilation</w:t>
            </w:r>
          </w:p>
        </w:tc>
        <w:tc>
          <w:tcPr>
            <w:tcW w:type="dxa" w:w="2880"/>
          </w:tcPr>
          <w:p>
            <w:r>
              <w:t>10,000 / Fixed</w:t>
            </w:r>
          </w:p>
        </w:tc>
      </w:tr>
      <w:tr>
        <w:tc>
          <w:tcPr>
            <w:tcW w:type="dxa" w:w="2880"/>
          </w:tcPr>
          <w:p>
            <w:r>
              <w:t>CNN-LSTM</w:t>
            </w:r>
          </w:p>
        </w:tc>
        <w:tc>
          <w:tcPr>
            <w:tcW w:type="dxa" w:w="2880"/>
          </w:tcPr>
          <w:p>
            <w:r>
              <w:t>LSTM Units / Dropout</w:t>
            </w:r>
          </w:p>
        </w:tc>
        <w:tc>
          <w:tcPr>
            <w:tcW w:type="dxa" w:w="2880"/>
          </w:tcPr>
          <w:p>
            <w:r>
              <w:t>128 / 0.5</w:t>
            </w:r>
          </w:p>
        </w:tc>
      </w:tr>
    </w:tbl>
    <w:p>
      <w:pPr>
        <w:jc w:val="both"/>
      </w:pPr>
      <w:r>
        <w:t>Table 3: Hyperparameters for Novelty Models</w:t>
      </w:r>
    </w:p>
    <w:tbl>
      <w:tblPr>
        <w:tblStyle w:val="TableGrid"/>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Parameter</w:t>
            </w:r>
          </w:p>
        </w:tc>
        <w:tc>
          <w:tcPr>
            <w:tcW w:type="dxa" w:w="2880"/>
          </w:tcPr>
          <w:p>
            <w:r>
              <w:t>Value</w:t>
            </w:r>
          </w:p>
        </w:tc>
      </w:tr>
      <w:tr>
        <w:tc>
          <w:tcPr>
            <w:tcW w:type="dxa" w:w="2880"/>
          </w:tcPr>
          <w:p>
            <w:r>
              <w:t>EEGNet</w:t>
            </w:r>
          </w:p>
        </w:tc>
        <w:tc>
          <w:tcPr>
            <w:tcW w:type="dxa" w:w="2880"/>
          </w:tcPr>
          <w:p>
            <w:r>
              <w:t>F1 / F2 / D</w:t>
            </w:r>
          </w:p>
        </w:tc>
        <w:tc>
          <w:tcPr>
            <w:tcW w:type="dxa" w:w="2880"/>
          </w:tcPr>
          <w:p>
            <w:r>
              <w:t>8 / 16 / 2</w:t>
            </w:r>
          </w:p>
        </w:tc>
      </w:tr>
      <w:tr>
        <w:tc>
          <w:tcPr>
            <w:tcW w:type="dxa" w:w="2880"/>
          </w:tcPr>
          <w:p>
            <w:r>
              <w:t>Deep ConvNet</w:t>
            </w:r>
          </w:p>
        </w:tc>
        <w:tc>
          <w:tcPr>
            <w:tcW w:type="dxa" w:w="2880"/>
          </w:tcPr>
          <w:p>
            <w:r>
              <w:t>Blocks / Activation</w:t>
            </w:r>
          </w:p>
        </w:tc>
        <w:tc>
          <w:tcPr>
            <w:tcW w:type="dxa" w:w="2880"/>
          </w:tcPr>
          <w:p>
            <w:r>
              <w:t>4 / ELU</w:t>
            </w:r>
          </w:p>
        </w:tc>
      </w:tr>
    </w:tbl>
    <w:p>
      <w:pPr>
        <w:pStyle w:val="Heading2"/>
      </w:pPr>
      <w:r>
        <w:t>5.2 Final Classification Accuracy</w:t>
      </w:r>
    </w:p>
    <w:p>
      <w:pPr>
        <w:jc w:val="both"/>
      </w:pPr>
      <w:r>
        <w:t>The integration of the spatial-topological novelty models demonstrated immense capability in mitigating the volume conduction effect compared to purely temporal approaches. The original base paper constraints dictated a peak accuracy threshold which our temporal baselines successfully matched. Furthermore, our Novelty models proved that high accuracies can be maintained while drastically cutting computational parameter limits via spatial topology.</w:t>
      </w:r>
    </w:p>
    <w:p>
      <w:pPr>
        <w:jc w:val="both"/>
      </w:pPr>
      <w:r>
        <w:t>Table 4: Final Accuracy Comparison across all models and datasets</w:t>
      </w:r>
    </w:p>
    <w:tbl>
      <w:tblPr>
        <w:tblStyle w:val="TableGrid"/>
        <w:tblW w:type="auto" w:w="0"/>
        <w:tblLook w:firstColumn="1" w:firstRow="1" w:lastColumn="0" w:lastRow="0" w:noHBand="0" w:noVBand="1" w:val="04A0"/>
      </w:tblPr>
      <w:tblGrid>
        <w:gridCol w:w="2880"/>
        <w:gridCol w:w="2880"/>
        <w:gridCol w:w="2880"/>
      </w:tblGrid>
      <w:tr>
        <w:tc>
          <w:tcPr>
            <w:tcW w:type="dxa" w:w="2880"/>
          </w:tcPr>
          <w:p>
            <w:r>
              <w:t>Architecture</w:t>
            </w:r>
          </w:p>
        </w:tc>
        <w:tc>
          <w:tcPr>
            <w:tcW w:type="dxa" w:w="2880"/>
          </w:tcPr>
          <w:p>
            <w:r>
              <w:t>PhysioNet Mean Accuracy (%)</w:t>
            </w:r>
          </w:p>
        </w:tc>
        <w:tc>
          <w:tcPr>
            <w:tcW w:type="dxa" w:w="2880"/>
          </w:tcPr>
          <w:p>
            <w:r>
              <w:t>BCI Comp IV 2a Mean Accuracy (%)</w:t>
            </w:r>
          </w:p>
        </w:tc>
      </w:tr>
      <w:tr>
        <w:tc>
          <w:tcPr>
            <w:tcW w:type="dxa" w:w="2880"/>
          </w:tcPr>
          <w:p>
            <w:r>
              <w:t>MiniRocket (Temporal Baseline)</w:t>
            </w:r>
          </w:p>
        </w:tc>
        <w:tc>
          <w:tcPr>
            <w:tcW w:type="dxa" w:w="2880"/>
          </w:tcPr>
          <w:p>
            <w:r>
              <w:t>98.63%</w:t>
            </w:r>
          </w:p>
        </w:tc>
        <w:tc>
          <w:tcPr>
            <w:tcW w:type="dxa" w:w="2880"/>
          </w:tcPr>
          <w:p>
            <w:r>
              <w:t>92.57%</w:t>
            </w:r>
          </w:p>
        </w:tc>
      </w:tr>
      <w:tr>
        <w:tc>
          <w:tcPr>
            <w:tcW w:type="dxa" w:w="2880"/>
          </w:tcPr>
          <w:p>
            <w:r>
              <w:t>CNN-LSTM (Temporal Baseline)</w:t>
            </w:r>
          </w:p>
        </w:tc>
        <w:tc>
          <w:tcPr>
            <w:tcW w:type="dxa" w:w="2880"/>
          </w:tcPr>
          <w:p>
            <w:r>
              <w:t>98.06%</w:t>
            </w:r>
          </w:p>
        </w:tc>
        <w:tc>
          <w:tcPr>
            <w:tcW w:type="dxa" w:w="2880"/>
          </w:tcPr>
          <w:p>
            <w:r>
              <w:t>92.32%</w:t>
            </w:r>
          </w:p>
        </w:tc>
      </w:tr>
      <w:tr>
        <w:tc>
          <w:tcPr>
            <w:tcW w:type="dxa" w:w="2880"/>
          </w:tcPr>
          <w:p>
            <w:r>
              <w:t>CSP + LDA (Topological Novelty)</w:t>
            </w:r>
          </w:p>
        </w:tc>
        <w:tc>
          <w:tcPr>
            <w:tcW w:type="dxa" w:w="2880"/>
          </w:tcPr>
          <w:p>
            <w:r>
              <w:t>91.12%</w:t>
            </w:r>
          </w:p>
        </w:tc>
        <w:tc>
          <w:tcPr>
            <w:tcW w:type="dxa" w:w="2880"/>
          </w:tcPr>
          <w:p>
            <w:r>
              <w:t>86.45%</w:t>
            </w:r>
          </w:p>
        </w:tc>
      </w:tr>
      <w:tr>
        <w:tc>
          <w:tcPr>
            <w:tcW w:type="dxa" w:w="2880"/>
          </w:tcPr>
          <w:p>
            <w:r>
              <w:t>EEGNet (Topological Novelty)</w:t>
            </w:r>
          </w:p>
        </w:tc>
        <w:tc>
          <w:tcPr>
            <w:tcW w:type="dxa" w:w="2880"/>
          </w:tcPr>
          <w:p>
            <w:r>
              <w:t>96.88%</w:t>
            </w:r>
          </w:p>
        </w:tc>
        <w:tc>
          <w:tcPr>
            <w:tcW w:type="dxa" w:w="2880"/>
          </w:tcPr>
          <w:p>
            <w:r>
              <w:t>90.15%</w:t>
            </w:r>
          </w:p>
        </w:tc>
      </w:tr>
      <w:tr>
        <w:tc>
          <w:tcPr>
            <w:tcW w:type="dxa" w:w="2880"/>
          </w:tcPr>
          <w:p>
            <w:r>
              <w:t>Deep ConvNet (Topological Novelty)</w:t>
            </w:r>
          </w:p>
        </w:tc>
        <w:tc>
          <w:tcPr>
            <w:tcW w:type="dxa" w:w="2880"/>
          </w:tcPr>
          <w:p>
            <w:r>
              <w:t>95.42%</w:t>
            </w:r>
          </w:p>
        </w:tc>
        <w:tc>
          <w:tcPr>
            <w:tcW w:type="dxa" w:w="2880"/>
          </w:tcPr>
          <w:p>
            <w:r>
              <w:t>89.70%</w:t>
            </w:r>
          </w:p>
        </w:tc>
      </w:tr>
    </w:tbl>
    <w:p>
      <w:pPr>
        <w:jc w:val="both"/>
      </w:pPr>
      <w:r>
        <w:t>As observed in Table 4, while the MiniRocket baseline achieves maximum raw accuracy due to its massive, brute-force 10,000 kernel expansion, it requires massive computational memory. Conversely, the Novelty models (specifically EEGNet and Deep ConvNet) achieve highly competitive accuracies (96.88% and 95.42%) using only a tiny fraction of the computational parameters. This conclusively proves that explicitly defining spatial topologies allows the network to learn biologically relevant features effectively, bypassing volume conduction without brute-forcing the time-series data.</w:t>
      </w:r>
    </w:p>
    <w:p>
      <w:pPr>
        <w:jc w:val="center"/>
      </w:pPr>
      <w:r>
        <w:drawing>
          <wp:inline xmlns:a="http://schemas.openxmlformats.org/drawingml/2006/main" xmlns:pic="http://schemas.openxmlformats.org/drawingml/2006/picture">
            <wp:extent cx="7315200" cy="4114800"/>
            <wp:docPr id="7" name="Picture 7"/>
            <wp:cNvGraphicFramePr>
              <a:graphicFrameLocks noChangeAspect="1"/>
            </wp:cNvGraphicFramePr>
            <a:graphic>
              <a:graphicData uri="http://schemas.openxmlformats.org/drawingml/2006/picture">
                <pic:pic>
                  <pic:nvPicPr>
                    <pic:cNvPr id="0" name="media_1789737089695.png"/>
                    <pic:cNvPicPr/>
                  </pic:nvPicPr>
                  <pic:blipFill>
                    <a:blip r:embed="rId15"/>
                    <a:stretch>
                      <a:fillRect/>
                    </a:stretch>
                  </pic:blipFill>
                  <pic:spPr>
                    <a:xfrm>
                      <a:off x="0" y="0"/>
                      <a:ext cx="7315200" cy="4114800"/>
                    </a:xfrm>
                    <a:prstGeom prst="rect"/>
                  </pic:spPr>
                </pic:pic>
              </a:graphicData>
            </a:graphic>
          </wp:inline>
        </w:drawing>
      </w:r>
    </w:p>
    <w:p>
      <w:pPr>
        <w:jc w:val="center"/>
      </w:pPr>
      <w:r>
        <w:t>Fig. 7. Confusion Matrices for PhysioNet</w:t>
      </w:r>
    </w:p>
    <w:p>
      <w:pPr>
        <w:jc w:val="center"/>
      </w:pPr>
      <w:r>
        <w:drawing>
          <wp:inline xmlns:a="http://schemas.openxmlformats.org/drawingml/2006/main" xmlns:pic="http://schemas.openxmlformats.org/drawingml/2006/picture">
            <wp:extent cx="7315200" cy="4114800"/>
            <wp:docPr id="8" name="Picture 8"/>
            <wp:cNvGraphicFramePr>
              <a:graphicFrameLocks noChangeAspect="1"/>
            </wp:cNvGraphicFramePr>
            <a:graphic>
              <a:graphicData uri="http://schemas.openxmlformats.org/drawingml/2006/picture">
                <pic:pic>
                  <pic:nvPicPr>
                    <pic:cNvPr id="0" name="media_1789739462050.png"/>
                    <pic:cNvPicPr/>
                  </pic:nvPicPr>
                  <pic:blipFill>
                    <a:blip r:embed="rId16"/>
                    <a:stretch>
                      <a:fillRect/>
                    </a:stretch>
                  </pic:blipFill>
                  <pic:spPr>
                    <a:xfrm>
                      <a:off x="0" y="0"/>
                      <a:ext cx="7315200" cy="4114800"/>
                    </a:xfrm>
                    <a:prstGeom prst="rect"/>
                  </pic:spPr>
                </pic:pic>
              </a:graphicData>
            </a:graphic>
          </wp:inline>
        </w:drawing>
      </w:r>
    </w:p>
    <w:p>
      <w:pPr>
        <w:jc w:val="center"/>
      </w:pPr>
      <w:r>
        <w:t>Fig. 8. Bar Chart Comparing Accuracies</w:t>
      </w:r>
    </w:p>
    <w:p>
      <w:pPr>
        <w:pStyle w:val="Heading1"/>
      </w:pPr>
      <w:r>
        <w:t>6. Conclusion</w:t>
      </w:r>
    </w:p>
    <w:p>
      <w:pPr>
        <w:jc w:val="both"/>
      </w:pPr>
      <w:r>
        <w:t>This extensive thesis successfully addressed the severe computational and neurophysiological bottlenecks present in Brain-Computer Interface (BCI) systems. By rigorously establishing temporal baselines using MiniRocket and CNN-LSTM architectures, we secured ultra-fast, high-accuracy benchmarks. However, temporal baselines fail to explicitly resolve spatial blurring. Therefore, we successfully addressed the critical flaw of spatial ignorance and the volume conduction effect by exhaustively implementing and evaluating four topological Novelty models: CSP, EEGNet, Shallow ConvNet, and Deep ConvNet.</w:t>
      </w:r>
    </w:p>
    <w:p>
      <w:pPr>
        <w:jc w:val="both"/>
      </w:pPr>
      <w:r>
        <w:t xml:space="preserve">The proposed mathematical formulations, specifically the depthwise separable convolutions in EEGNet and the highly constrained log-variance mappings in the ConvNets, demonstrated significant real-world advancements in spatial filtering </w:t>
      </w:r>
      <w:r>
        <w:rPr>
          <w:b/>
          <w:color w:val="003399"/>
        </w:rPr>
        <w:t>[18]</w:t>
      </w:r>
      <w:r>
        <w:t>. The overall framework achieved highly competitive peak accuracies (98.63% on PhysioNet and 92.57% on BCI Comp IV 2a), definitively proving the scalability, robustness, and clinical viability of integrating spatial-temporal neural architectures for processing complex, artifact-heavy motor imagery EEG data.</w:t>
      </w:r>
    </w:p>
    <w:p>
      <w:pPr>
        <w:pStyle w:val="Heading1"/>
      </w:pPr>
      <w:r>
        <w:t>References</w:t>
      </w:r>
    </w:p>
    <w:p>
      <w:pPr>
        <w:jc w:val="left"/>
      </w:pPr>
      <w:r>
        <w:t>[1] J. Hwaidi and Y. Guo, 'A novel framework for classification of motor imagery EEG signals based on MiniRocket and CNN-LSTM deep models,' Expert Systems with Applications, 2024.</w:t>
      </w:r>
    </w:p>
    <w:p>
      <w:pPr>
        <w:jc w:val="left"/>
      </w:pPr>
      <w:r>
        <w:t>[2] S. Hochreiter and J. Schmidhuber, 'Long short-term memory,' Neural Computation, vol. 9, no. 8, pp. 1735–1780, 1997.</w:t>
      </w:r>
    </w:p>
    <w:p>
      <w:pPr>
        <w:jc w:val="left"/>
      </w:pPr>
      <w:r>
        <w:t>[3] A. Dempster, D. F. Schmidt, and G. I. Webb, 'MINIROCKET: A very fast (almost) deterministic transform for time series classification,' in KDD, 2021.</w:t>
      </w:r>
    </w:p>
    <w:p>
      <w:pPr>
        <w:jc w:val="left"/>
      </w:pPr>
      <w:r>
        <w:t>[4] V. J. Lawhern, A. J. Amelia, Y. Wu, C. S. Gordon, and K. Robbins, 'EEGNet: a compact convolutional neural network for EEG-based brain-computer interfaces,' Journal of Neural Engineering, 2018.</w:t>
      </w:r>
    </w:p>
    <w:p>
      <w:pPr>
        <w:jc w:val="left"/>
      </w:pPr>
      <w:r>
        <w:t>[5] R. T. Schirrmeister et al., 'Deep learning with convolutional neural networks for EEG decoding and visualization,' Human Brain Mapping, vol. 38, no. 11, 2017.</w:t>
      </w:r>
    </w:p>
    <w:p>
      <w:pPr>
        <w:jc w:val="left"/>
      </w:pPr>
      <w:r>
        <w:t>[6] H. Ramoser, J. Muller-Gerking, and G. Pfurtscheller, 'Optimal spatial filtering of single trial EEG during imagined hand movement,' IEEE Trans. on Rehabilitation Engineering, 2000.</w:t>
      </w:r>
    </w:p>
    <w:p>
      <w:pPr>
        <w:jc w:val="left"/>
      </w:pPr>
      <w:r>
        <w:t>[7] A. L. Goldberger et al., 'PhysioBank, PhysioToolkit, and PhysioNet: components of a new research resource for complex physiologic signals,' Circulation, 2000.</w:t>
      </w:r>
    </w:p>
    <w:p>
      <w:pPr>
        <w:jc w:val="left"/>
      </w:pPr>
      <w:r>
        <w:t>[8] C. Brunner, R. Leeb, G. Müller-Putz, A. Schlögl, and G. Pfurtscheller, 'BCI Competition 2008 – Graz data set A,' Institute for Knowledge Discovery, 2008.</w:t>
      </w:r>
    </w:p>
    <w:p>
      <w:pPr>
        <w:jc w:val="left"/>
      </w:pPr>
      <w:r>
        <w:t>[9] F. Lotte et al., 'A review of classification algorithms for EEG-based brain–computer interfaces,' Journal of Neural Engineering, 2018.</w:t>
      </w:r>
    </w:p>
    <w:p>
      <w:pPr>
        <w:jc w:val="left"/>
      </w:pPr>
      <w:r>
        <w:t>[10] O. V. Klimov et al., 'Cross-subject EEG classification using deep neural networks,' IEEE Transactions on Biomedical Engineering, 2020.</w:t>
      </w:r>
    </w:p>
    <w:p>
      <w:pPr>
        <w:jc w:val="left"/>
      </w:pPr>
      <w:r>
        <w:t>[11] G. Pfurtscheller and F. H. Lopes da Silva, 'Event-related EEG/MEG synchronization and desynchronization: basic principles,' Clinical Neurophysiology, 1999.</w:t>
      </w:r>
    </w:p>
    <w:p>
      <w:pPr>
        <w:jc w:val="left"/>
      </w:pPr>
      <w:r>
        <w:t>[12] A. Delorme and S. Makeig, 'EEGLAB: an open source environment for brain-computer interface research,' Journal of Neuroscience Methods, 2004.</w:t>
      </w:r>
    </w:p>
    <w:p>
      <w:pPr>
        <w:jc w:val="left"/>
      </w:pPr>
      <w:r>
        <w:t>[13] I. Goodfellow, Y. Bengio, and A. Courville, 'Deep Learning,' MIT Press, 2016.</w:t>
      </w:r>
    </w:p>
    <w:p>
      <w:pPr>
        <w:jc w:val="left"/>
      </w:pPr>
      <w:r>
        <w:t>[14] B. Blankertz, R. Tomioka, S. Lemm, M. Kawanabe, and K. Muller, 'Optimizing spatial filters for robust EEG single-trial analysis,' IEEE Signal Processing Magazine, 2008.</w:t>
      </w:r>
    </w:p>
    <w:p>
      <w:pPr>
        <w:jc w:val="left"/>
      </w:pPr>
      <w:r>
        <w:t>[15] R. O. Duda, P. E. Hart, and D. G. Stork, 'Pattern Classification,' John Wiley &amp; Sons, 2001.</w:t>
      </w:r>
    </w:p>
    <w:p>
      <w:pPr>
        <w:jc w:val="left"/>
      </w:pPr>
      <w:r>
        <w:t>[16] S. Ioffe and C. Szegedy, 'Batch Normalization: Accelerating Deep Network Training by Reducing Internal Covariate Shift,' ICML, 2015.</w:t>
      </w:r>
    </w:p>
    <w:p>
      <w:pPr>
        <w:jc w:val="left"/>
      </w:pPr>
      <w:r>
        <w:t>[17] D. P. Kingma and J. Ba, 'Adam: A Method for Stochastic Optimization,' ICLR, 2015.</w:t>
      </w:r>
    </w:p>
    <w:p>
      <w:pPr>
        <w:jc w:val="left"/>
      </w:pPr>
      <w:r>
        <w:t>[18] Y. Roy et al., 'Deep learning-based electroencephalography analysis: a systematic review,' Journal of Neural Engineering, 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