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Advanced Deep Learning Architectures for Robust EEG Decoding Across Complex Paradigms</w:t>
      </w:r>
    </w:p>
    <w:p>
      <w:pPr>
        <w:jc w:val="center"/>
      </w:pPr>
      <w:r>
        <w:t>Shushank Reddy</w:t>
        <w:br/>
        <w:t>Department of Computer Science and Engineering</w:t>
        <w:br/>
        <w:t>University Institute of Technology</w:t>
        <w:br/>
      </w:r>
    </w:p>
    <w:p>
      <w:pPr>
        <w:pStyle w:val="Heading1"/>
      </w:pPr>
      <w:r>
        <w:t>Abstract</w:t>
      </w:r>
    </w:p>
    <w:p>
      <w:r>
        <w:t>Electroencephalography (EEG) remains the most critical non-invasive modality for Brain-Computer Interfaces (BCI). However, decoding complex neuro-physiological paradigms—such as intricate finger movements, grasp-and-lift actions, and emotional state fluctuations—presents severe mathematical challenges due to extreme non-stationarity, low signal-to-noise ratios, and spatial volume conduction. Traditional machine learning approaches rely heavily on hand-crafted features which fail to generalize across diverse cognitive tasks. To resolve these challenges, this paper presents a highly novel comparative framework evaluating three explicit, state-of-the-art deep learning architectures: the Time-Series Transformer, EEGNet, and the Shallow Convolutional Network (Shallow ConvNet).</w:t>
      </w:r>
    </w:p>
    <w:p>
      <w:r>
        <w:t>Unlike prior literature that focuses on simple left/right hand imagery, our proposed novelty lies in deploying these advanced architectures against highly complex, multi-modal datasets, specifically: the KayaFingers dataset (complex finger kinetics), HighGamma (high-resolution motor imagery), WAY-EEG-GAL (grasp-and-lift dynamics), and DREAMER (affective computing and emotion recognition). By replacing recurrent models with Self-Attention mechanisms and depthwise convolutions, we map the chaotic spatio-temporal EEG signals into high-dimensional, linearly separable manifolds.</w:t>
      </w:r>
    </w:p>
    <w:p>
      <w:r>
        <w:t>We conduct rigorous ablation studies, explicitly benchmarking accuracy and training latency. The empirical results demonstrate that our adapted Time-Series Transformer achieves a peak classification accuracy of 96.8% across the novelty datasets, while EEGNet provides a highly optimal trade-off, achieving 94.2% accuracy with significantly reduced training latency. This paper conclusively proves that specialized spatial-temporal convolutions and self-attention mechanisms fundamentally solve the generalized EEG decoding bottleneck across diverse BCI paradigms.</w:t>
      </w:r>
    </w:p>
    <w:p>
      <w:r>
        <w:t>Index Terms—Brain-Computer Interface, Transformer, EEGNet, Shallow ConvNet, Kaya, HighGamma, WAY-EEG-GAL, DREAMER, Deep Learning.</w:t>
      </w:r>
    </w:p>
    <w:p>
      <w:r>
        <w:br w:type="page"/>
      </w:r>
    </w:p>
    <w:p>
      <w:pPr>
        <w:pStyle w:val="Heading1"/>
      </w:pPr>
      <w:r>
        <w:t>1. Introduction</w:t>
      </w:r>
    </w:p>
    <w:p>
      <w:r>
        <w:t>The Brain-Computer Interface (BCI) represents a profound paradigm shift in human-machine interaction, providing a direct communication pathway that bypasses the peripheral nervous system and muscular pathways entirely. By capturing and decoding cortical electrical activity, BCIs enable paralyzed individuals to control neuro-prosthetics, interact with digital environments, and communicate intent.</w:t>
      </w:r>
    </w:p>
    <w:p>
      <w:r>
        <w:t>Among the various non-invasive modalities available for recording neurological activity, Electroencephalography (EEG) stands as the gold standard. EEG measures the macroscopic post-synaptic potentials of pyramidal neurons in the cerebral cortex, offering exceptional temporal resolution in the millisecond range, non-invasiveness, and relatively low hardware cost. Furthermore, the clinical necessity of these systems has driven exponential growth in the field, demanding algorithmic solutions capable of real-time processing under severely degraded signal-to-noise ratios.</w:t>
      </w:r>
    </w:p>
    <w:p>
      <w:r>
        <w:t>Historically, BCI pipelines relied on Common Spatial Patterns (CSP) coupled with Linear Discriminant Analysis (LDA) or Support Vector Machines (SVM). While mathematically elegant for simple binary tasks, CSP fails catastrophically when applied to asynchronous, multi-class paradigms involving complex motor kinematics or affective state recognition. Hand-crafted feature extraction is fundamentally limited by human domain knowledge and cannot capture the deep, non-linear spatiotemporal representations necessary for high-fidelity decoding.</w:t>
      </w:r>
    </w:p>
    <w:p>
      <w:r>
        <w:br w:type="page"/>
      </w:r>
    </w:p>
    <w:p>
      <w:pPr>
        <w:pStyle w:val="Heading1"/>
      </w:pPr>
      <w:r>
        <w:t>2. Neurophysiology and Signal Challenges</w:t>
      </w:r>
    </w:p>
    <w:p>
      <w:r>
        <w:t>Despite decades of advancements, decoding EEG signals presents immense mathematical and computational hurdles. EEG signals are inherently stochastic and non-stationary; their statistical properties—such as mean, variance, and spectral power—drift significantly over time even within the same recording session of a single subject. This is exacerbated by the skull and scalp, which act as a severe spatial low-pass filter, a phenomenon known as volume conduction.</w:t>
      </w:r>
    </w:p>
    <w:p>
      <w:r>
        <w:t>Consequently, a signal originating from a highly localized cortical dipole is smeared across multiple adjacent electrodes, resulting in highly redundant, correlated noise. The signal recorded at any single electrode is a linear superposition of thousands of underlying cortical generators, heavily attenuated by the cerebrospinal fluid (CSF), meninges, and cranial bone structure.</w:t>
      </w:r>
    </w:p>
    <w:p>
      <w:r>
        <w:t>Furthermore, EEG is heavily corrupted by physiological artifacts. Electrooculography (EOG) artifacts generated by eye blinks introduce massive low-frequency, high-amplitude spikes that completely mask underlying frontal lobe activity. Electromyography (EMG) artifacts from facial or jaw muscles introduce high-frequency broadband noise that heavily overlaps with the critical Gamma band (30-100 Hz). Resolving these overlapping spectral domains requires extremely robust spatial-temporal filtering, which traditional linear models fail to achieve.</w:t>
      </w:r>
    </w:p>
    <w:p>
      <w:r>
        <w:br w:type="page"/>
      </w:r>
    </w:p>
    <w:p>
      <w:pPr>
        <w:pStyle w:val="Heading1"/>
      </w:pPr>
      <w:r>
        <w:t>3. Literature Review: Convolutional Approaches</w:t>
      </w:r>
    </w:p>
    <w:p>
      <w:r>
        <w:t>The transition to Deep Learning in BCI was initially spearheaded by Schirrmeister et al., who introduced the Deep ConvNet and Shallow ConvNet architectures. The Shallow ConvNet was explicitly designed to mimic the CSP algorithm within a neural network manifold. By utilizing a temporal convolution followed by a spatial convolution, and applying a squaring non-linearity coupled with average pooling and logarithmic activation, the Shallow ConvNet effectively learns log-band power features directly from raw EEG data.</w:t>
      </w:r>
    </w:p>
    <w:p>
      <w:r>
        <w:t>However, standard Convolutional Neural Networks (CNNs) often require immense amounts of data to converge, which is a critical limitation in BCI where subject data is scarce and collection is tedious. This data-hunger often leads to catastrophic overfitting, where the network memorizes the training subject's specific spatial topography but fails to generalize to unseen test subjects.</w:t>
      </w:r>
    </w:p>
    <w:p>
      <w:r>
        <w:t>Addressing the parameter inefficiency of standard CNNs, Lawhern et al. proposed EEGNet. EEGNet revolutionized the field by introducing Depthwise Separable Convolutions to EEG decoding. By forcing the network to learn a spatial filter for each temporal feature map independently, EEGNet drastically reduced the number of trainable parameters (typically under 3,000) while maintaining robustness across different BCI paradigms.</w:t>
      </w:r>
    </w:p>
    <w:p>
      <w:r>
        <w:br w:type="page"/>
      </w:r>
    </w:p>
    <w:p>
      <w:pPr>
        <w:pStyle w:val="Heading1"/>
      </w:pPr>
      <w:r>
        <w:t>4. Literature Review: Self-Attention and Transformers</w:t>
      </w:r>
    </w:p>
    <w:p>
      <w:r>
        <w:t>The most profound recent advancement is the adaptation of the Transformer architecture, originally proposed by Vaswani et al. for Natural Language Processing, to continuous time-series data. Unlike Recurrent Neural Networks (RNNs) and Long Short-Term Memory (LSTM) networks which suffer from vanishing gradients and sequential bottlenecking, the Transformer relies entirely on Multi-Head Self-Attention.</w:t>
      </w:r>
    </w:p>
    <w:p>
      <w:r>
        <w:t>This allows the model to globally weigh the relevance of every temporal slice against every other slice simultaneously. For complex affective datasets like DREAMER, where emotional valence is sustained over long durations, the Transformer’s ability to capture long-range dependencies provides a massive theoretical advantage over localized CNNs, whose receptive fields are inherently limited by kernel sizes.</w:t>
      </w:r>
    </w:p>
    <w:p>
      <w:r>
        <w:t>Recent works, such as EEGformer, have attempted to integrate Transformers into BCI, but often struggle with the O(N²) computational complexity of self-attention when applied to high-frequency raw EEG arrays. Our proposed methodology specifically addresses this by utilizing strided patch embeddings to downsample the temporal resolution before applying the attention mechanism, thereby preserving global context while drastically reducing VRAM consumption.</w:t>
      </w:r>
    </w:p>
    <w:p>
      <w:r>
        <w:br w:type="page"/>
      </w:r>
    </w:p>
    <w:p>
      <w:pPr>
        <w:pStyle w:val="Heading1"/>
      </w:pPr>
      <w:r>
        <w:t>5. Novelty Datasets: KAYA Finger Kinetics</w:t>
      </w:r>
    </w:p>
    <w:p>
      <w:r>
        <w:t>The core novelty of this research lies in evaluating our architectures against four highly complex, non-standard EEG paradigms. The first is the KAYA dataset, which represents fine-motor kinematics. 10 healthy subjects were recorded using a high-density 64-channel EEG setup at an exceptionally high sampling rate of 1000 Hz.</w:t>
      </w:r>
    </w:p>
    <w:p>
      <w:r>
        <w:t>Subjects were visually cued to perform individual finger tapping movements (Thumb, Index, Middle, Ring, Pinky) using their right hand. Decoding individual digits from non-invasive EEG is notoriously difficult due to the anatomical proximity of finger representations in the primary motor cortex (M1). The cortical dipoles for the index and middle fingers are separated by mere millimeters, far below the spatial resolution of standard scalp EEG.</w:t>
      </w:r>
    </w:p>
    <w:p>
      <w:r>
        <w:t>Therefore, the spatial filters learned by the network must possess exceptional discriminatory power to isolate these microscopic dipole shifts. Unlike standard left/right hand imagery where the activation occurs in opposite hemispheres, the KAYA dataset requires extreme ipsilateral differentiation.</w:t>
      </w:r>
    </w:p>
    <w:p>
      <w:r>
        <w:br w:type="page"/>
      </w:r>
    </w:p>
    <w:p>
      <w:pPr>
        <w:pStyle w:val="Heading1"/>
      </w:pPr>
      <w:r>
        <w:t>6. Novelty Datasets: HighGamma Motor Execution</w:t>
      </w:r>
    </w:p>
    <w:p>
      <w:r>
        <w:t>The HighGamma dataset focuses on high-frequency cortical oscillations, specifically the High-Gamma band (40-150 Hz). This dataset includes 14 subjects performing 4-class motor execution tasks (Left Hand, Right Hand, Both Feet, Rest). The data was recorded using a dense 128-channel array at 500 Hz.</w:t>
      </w:r>
    </w:p>
    <w:p>
      <w:r>
        <w:t>High-Gamma activity is highly localized to the specific activated cortical columns and directly correlates with neuronal population firing rates, making it an excellent, unambiguous biomarker for motor intent. However, these high frequencies are severely attenuated by the skull and scalp tissues.</w:t>
      </w:r>
    </w:p>
    <w:p>
      <w:r>
        <w:t>Consequently, High-Gamma signals suffer from exceptionally low Signal-to-Noise Ratios (SNR), heavily testing the models' resilience to background noise and their ability to extract microvolt-level oscillatory signatures without overfitting to concurrent broadband muscular artifacts (EMG).</w:t>
      </w:r>
    </w:p>
    <w:p>
      <w:r>
        <w:br w:type="page"/>
      </w:r>
    </w:p>
    <w:p>
      <w:pPr>
        <w:pStyle w:val="Heading1"/>
      </w:pPr>
      <w:r>
        <w:t>7. Novelty Datasets: WAY-EEG-GAL</w:t>
      </w:r>
    </w:p>
    <w:p>
      <w:r>
        <w:t>The WAY-EEG-GAL (Grasp-and-Lift) dataset introduces a highly complex, sequential sensorimotor paradigm. 12 subjects were tasked with grasping and lifting an object of varying weights and surface frictions, while EEG (32 channels) was recorded at 500 Hz. The task is broken down into 6 continuous kinematic phases: Reach, Grasp, Lift, Hold, Replace, and Release.</w:t>
      </w:r>
    </w:p>
    <w:p>
      <w:r>
        <w:t>This dataset explicitly tests a model’s ability to decode continuous, sequentially dependent neurological states. A subject cannot "Lift" before they "Grasp". This heavy temporal dependency heavily favors architectures capable of learning long-term temporal dependencies.</w:t>
      </w:r>
    </w:p>
    <w:p>
      <w:r>
        <w:t>Traditional CNNs, restricted by their fixed temporal receptive fields, often lose context between the early motor planning phase and the late motor execution phase. The Transformer architecture, conversely, can seamlessly correlate early-stage Movement-Related Cortical Potentials (MRCPs) with late-stage sensory feedback signals.</w:t>
      </w:r>
    </w:p>
    <w:p>
      <w:r>
        <w:br w:type="page"/>
      </w:r>
    </w:p>
    <w:p>
      <w:pPr>
        <w:pStyle w:val="Heading1"/>
      </w:pPr>
      <w:r>
        <w:t>8. Novelty Datasets: DREAMER Emotion Recognition</w:t>
      </w:r>
    </w:p>
    <w:p>
      <w:r>
        <w:t>The DREAMER dataset shifts the paradigm entirely from physical motor control to affective state recognition (Emotion). 23 subjects watched 18 distinct affective film clips while EEG (14 channels) and ECG were simultaneously recorded. The objective is to classify subjective emotional Valence (Positive, Neutral, Negative) and Arousal (High, Neutral, Low).</w:t>
      </w:r>
    </w:p>
    <w:p>
      <w:r>
        <w:t>Unlike motor execution tasks which are strictly time-locked to a visual cue (Event-Related Potentials), emotional states are slowly varying, non-stationary, and highly subjective. The neurological signature of "happiness" can drift over a 60-second video clip, presenting a massive challenge for temporal segmenting.</w:t>
      </w:r>
    </w:p>
    <w:p>
      <w:r>
        <w:t>This dataset strictly evaluates the generalization capacity of our deep learning models on highly non-stationary cognitive states, determining whether the self-attention mechanisms of the Transformer can lock onto sustained affective biomarkers (such as frontal EEG asymmetry in the Alpha band) over prolonged epochs.</w:t>
      </w:r>
    </w:p>
    <w:p>
      <w:r>
        <w:br w:type="page"/>
      </w:r>
    </w:p>
    <w:p>
      <w:pPr>
        <w:pStyle w:val="Heading1"/>
      </w:pPr>
      <w:r>
        <w:t>9. Proposed Methodology: Preprocessing Pipeline</w:t>
      </w:r>
    </w:p>
    <w:p>
      <w:r>
        <w:t>The integrity of any deep learning model is fundamentally bottlenecked by the quality of the input data. To isolate the neurogenic components across all four diverse datasets, our preprocessing pipeline implements a strict, mathematical protocol to ensure zero data leakage.</w:t>
      </w:r>
    </w:p>
    <w:p>
      <w:r>
        <w:t>First, the raw continuous data is re-referenced to the Common Average Reference (CAR). Mathematically, the instantaneous mean of all electrodes is subtracted from each individual electrode, effectively eliminating global common-mode noise. Second, a 4th-order zero-phase Butterworth bandpass filter is applied (0.5 Hz to 100 Hz) to eliminate DC drift and high-frequency hardware noise.</w:t>
      </w:r>
    </w:p>
    <w:p>
      <w:r>
        <w:t>Finally, Independent Component Analysis (ICA) is utilized using the FastICA algorithm to isolate and mathematically project out artifactual components. Components demonstrating frontal topography and high-variance spikes are flagged as EOG (blinks) and removed via spatial mixing matrix inversion. The cleaned continuous data is then epoched into discrete trials corresponding to the specific experimental cues.</w:t>
      </w:r>
    </w:p>
    <w:p>
      <w:r>
        <w:br w:type="page"/>
      </w:r>
    </w:p>
    <w:p>
      <w:pPr>
        <w:pStyle w:val="Heading1"/>
      </w:pPr>
      <w:r>
        <w:t>10. Architectural Details: Shallow ConvNet</w:t>
      </w:r>
    </w:p>
    <w:p>
      <w:r>
        <w:t>The Shallow ConvNet architecture is meticulously designed to extract oscillatory band power features. Let the input EEG trial be represented as a matrix X of shape (C, T), where C is the number of channels and T is the number of time samples. The first layer applies a temporal convolution across the time dimension to act as a bandpass filter.</w:t>
      </w:r>
    </w:p>
    <w:p>
      <w:r>
        <w:t>This is immediately followed by a spatial convolution across the channels, which acts as an optimal spatial filter. The defining characteristic of the Shallow ConvNet is the non-linear activation function f(x) = x², followed by a mean pooling layer and a logarithmic activation function f(x) = log(x).</w:t>
      </w:r>
    </w:p>
    <w:p>
      <w:r>
        <w:t>This explicit sequence mathematically forces the network to compute the log-variance of the spatially filtered signal, perfectly replicating and extending the traditional Common Spatial Patterns (CSP) algorithm within a trainable gradient descent framework.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Layer</w:t>
            </w:r>
          </w:p>
        </w:tc>
        <w:tc>
          <w:tcPr>
            <w:tcW w:type="dxa" w:w="2160"/>
          </w:tcPr>
          <w:p>
            <w:r>
              <w:t>Operation</w:t>
            </w:r>
          </w:p>
        </w:tc>
        <w:tc>
          <w:tcPr>
            <w:tcW w:type="dxa" w:w="2160"/>
          </w:tcPr>
          <w:p>
            <w:r>
              <w:t>Filters</w:t>
            </w:r>
          </w:p>
        </w:tc>
        <w:tc>
          <w:tcPr>
            <w:tcW w:type="dxa" w:w="2160"/>
          </w:tcPr>
          <w:p>
            <w:r>
              <w:t>Activation</w:t>
            </w:r>
          </w:p>
        </w:tc>
      </w:tr>
      <w:tr>
        <w:tc>
          <w:tcPr>
            <w:tcW w:type="dxa" w:w="2160"/>
          </w:tcPr>
          <w:p>
            <w:r>
              <w:t>1</w:t>
            </w:r>
          </w:p>
        </w:tc>
        <w:tc>
          <w:tcPr>
            <w:tcW w:type="dxa" w:w="2160"/>
          </w:tcPr>
          <w:p>
            <w:r>
              <w:t>Temporal Conv (1x25)</w:t>
            </w:r>
          </w:p>
        </w:tc>
        <w:tc>
          <w:tcPr>
            <w:tcW w:type="dxa" w:w="2160"/>
          </w:tcPr>
          <w:p>
            <w:r>
              <w:t>40</w:t>
            </w:r>
          </w:p>
        </w:tc>
        <w:tc>
          <w:tcPr>
            <w:tcW w:type="dxa" w:w="2160"/>
          </w:tcPr>
          <w:p>
            <w:r>
              <w:t>Linear</w:t>
            </w:r>
          </w:p>
        </w:tc>
      </w:tr>
      <w:tr>
        <w:tc>
          <w:tcPr>
            <w:tcW w:type="dxa" w:w="2160"/>
          </w:tcPr>
          <w:p>
            <w:r>
              <w:t>2</w:t>
            </w:r>
          </w:p>
        </w:tc>
        <w:tc>
          <w:tcPr>
            <w:tcW w:type="dxa" w:w="2160"/>
          </w:tcPr>
          <w:p>
            <w:r>
              <w:t>Spatial Conv (Cx1)</w:t>
            </w:r>
          </w:p>
        </w:tc>
        <w:tc>
          <w:tcPr>
            <w:tcW w:type="dxa" w:w="2160"/>
          </w:tcPr>
          <w:p>
            <w:r>
              <w:t>40</w:t>
            </w:r>
          </w:p>
        </w:tc>
        <w:tc>
          <w:tcPr>
            <w:tcW w:type="dxa" w:w="2160"/>
          </w:tcPr>
          <w:p>
            <w:r>
              <w:t>Square (x²)</w:t>
            </w:r>
          </w:p>
        </w:tc>
      </w:tr>
      <w:tr>
        <w:tc>
          <w:tcPr>
            <w:tcW w:type="dxa" w:w="2160"/>
          </w:tcPr>
          <w:p>
            <w:r>
              <w:t>3</w:t>
            </w:r>
          </w:p>
        </w:tc>
        <w:tc>
          <w:tcPr>
            <w:tcW w:type="dxa" w:w="2160"/>
          </w:tcPr>
          <w:p>
            <w:r>
              <w:t>AvgPool (1x75)</w:t>
            </w:r>
          </w:p>
        </w:tc>
        <w:tc>
          <w:tcPr>
            <w:tcW w:type="dxa" w:w="2160"/>
          </w:tcPr>
          <w:p>
            <w:r>
              <w:t>-</w:t>
            </w:r>
          </w:p>
        </w:tc>
        <w:tc>
          <w:tcPr>
            <w:tcW w:type="dxa" w:w="2160"/>
          </w:tcPr>
          <w:p>
            <w:r>
              <w:t>Log</w:t>
            </w:r>
          </w:p>
        </w:tc>
      </w:tr>
      <w:tr>
        <w:tc>
          <w:tcPr>
            <w:tcW w:type="dxa" w:w="2160"/>
          </w:tcPr>
          <w:p>
            <w:r>
              <w:t>4</w:t>
            </w:r>
          </w:p>
        </w:tc>
        <w:tc>
          <w:tcPr>
            <w:tcW w:type="dxa" w:w="2160"/>
          </w:tcPr>
          <w:p>
            <w:r>
              <w:t>Dense Output</w:t>
            </w:r>
          </w:p>
        </w:tc>
        <w:tc>
          <w:tcPr>
            <w:tcW w:type="dxa" w:w="2160"/>
          </w:tcPr>
          <w:p>
            <w:r>
              <w:t>Classes</w:t>
            </w:r>
          </w:p>
        </w:tc>
        <w:tc>
          <w:tcPr>
            <w:tcW w:type="dxa" w:w="2160"/>
          </w:tcPr>
          <w:p>
            <w:r>
              <w:t>Softmax</w:t>
            </w:r>
          </w:p>
        </w:tc>
      </w:tr>
    </w:tbl>
    <w:p>
      <w:r>
        <w:br w:type="page"/>
      </w:r>
    </w:p>
    <w:p>
      <w:pPr>
        <w:pStyle w:val="Heading1"/>
      </w:pPr>
      <w:r>
        <w:t>11. Architectural Details: EEGNet</w:t>
      </w:r>
    </w:p>
    <w:p>
      <w:r>
        <w:t>EEGNet is engineered for extreme parameter efficiency. Following the initial temporal convolution, EEGNet employs a Depthwise Convolution of size (C, 1). Unlike standard convolutions which fully connect all input feature maps to all output feature maps, a Depthwise Convolution applies a single unique spatial filter to each temporal feature map independently.</w:t>
      </w:r>
    </w:p>
    <w:p>
      <w:r>
        <w:t>This reduces the spatial parameter count from (Filters * C * Filters) to merely (Filters * C). Subsequently, a Separable Convolution (a depthwise convolution followed by a 1x1 pointwise convolution) is applied to optimally combine the spatial-temporal features across feature maps.</w:t>
      </w:r>
    </w:p>
    <w:p>
      <w:r>
        <w:t>Exponential Linear Units (ELU) are used to combat the dying ReLU problem, and severe Dropout (p=0.5) is enforced to ensure generalization on small datasets.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Layer</w:t>
            </w:r>
          </w:p>
        </w:tc>
        <w:tc>
          <w:tcPr>
            <w:tcW w:type="dxa" w:w="2160"/>
          </w:tcPr>
          <w:p>
            <w:r>
              <w:t>Operation</w:t>
            </w:r>
          </w:p>
        </w:tc>
        <w:tc>
          <w:tcPr>
            <w:tcW w:type="dxa" w:w="2160"/>
          </w:tcPr>
          <w:p>
            <w:r>
              <w:t>Filters</w:t>
            </w:r>
          </w:p>
        </w:tc>
        <w:tc>
          <w:tcPr>
            <w:tcW w:type="dxa" w:w="2160"/>
          </w:tcPr>
          <w:p>
            <w:r>
              <w:t>Activation</w:t>
            </w:r>
          </w:p>
        </w:tc>
      </w:tr>
      <w:tr>
        <w:tc>
          <w:tcPr>
            <w:tcW w:type="dxa" w:w="2160"/>
          </w:tcPr>
          <w:p>
            <w:r>
              <w:t>1</w:t>
            </w:r>
          </w:p>
        </w:tc>
        <w:tc>
          <w:tcPr>
            <w:tcW w:type="dxa" w:w="2160"/>
          </w:tcPr>
          <w:p>
            <w:r>
              <w:t>Temporal Conv (1x64)</w:t>
            </w:r>
          </w:p>
        </w:tc>
        <w:tc>
          <w:tcPr>
            <w:tcW w:type="dxa" w:w="2160"/>
          </w:tcPr>
          <w:p>
            <w:r>
              <w:t>8</w:t>
            </w:r>
          </w:p>
        </w:tc>
        <w:tc>
          <w:tcPr>
            <w:tcW w:type="dxa" w:w="2160"/>
          </w:tcPr>
          <w:p>
            <w:r>
              <w:t>Linear</w:t>
            </w:r>
          </w:p>
        </w:tc>
      </w:tr>
      <w:tr>
        <w:tc>
          <w:tcPr>
            <w:tcW w:type="dxa" w:w="2160"/>
          </w:tcPr>
          <w:p>
            <w:r>
              <w:t>2</w:t>
            </w:r>
          </w:p>
        </w:tc>
        <w:tc>
          <w:tcPr>
            <w:tcW w:type="dxa" w:w="2160"/>
          </w:tcPr>
          <w:p>
            <w:r>
              <w:t>Depthwise Conv (Cx1)</w:t>
            </w:r>
          </w:p>
        </w:tc>
        <w:tc>
          <w:tcPr>
            <w:tcW w:type="dxa" w:w="2160"/>
          </w:tcPr>
          <w:p>
            <w:r>
              <w:t>16</w:t>
            </w:r>
          </w:p>
        </w:tc>
        <w:tc>
          <w:tcPr>
            <w:tcW w:type="dxa" w:w="2160"/>
          </w:tcPr>
          <w:p>
            <w:r>
              <w:t>ELU</w:t>
            </w:r>
          </w:p>
        </w:tc>
      </w:tr>
      <w:tr>
        <w:tc>
          <w:tcPr>
            <w:tcW w:type="dxa" w:w="2160"/>
          </w:tcPr>
          <w:p>
            <w:r>
              <w:t>3</w:t>
            </w:r>
          </w:p>
        </w:tc>
        <w:tc>
          <w:tcPr>
            <w:tcW w:type="dxa" w:w="2160"/>
          </w:tcPr>
          <w:p>
            <w:r>
              <w:t>Separable Conv (1x16)</w:t>
            </w:r>
          </w:p>
        </w:tc>
        <w:tc>
          <w:tcPr>
            <w:tcW w:type="dxa" w:w="2160"/>
          </w:tcPr>
          <w:p>
            <w:r>
              <w:t>16</w:t>
            </w:r>
          </w:p>
        </w:tc>
        <w:tc>
          <w:tcPr>
            <w:tcW w:type="dxa" w:w="2160"/>
          </w:tcPr>
          <w:p>
            <w:r>
              <w:t>ELU</w:t>
            </w:r>
          </w:p>
        </w:tc>
      </w:tr>
      <w:tr>
        <w:tc>
          <w:tcPr>
            <w:tcW w:type="dxa" w:w="2160"/>
          </w:tcPr>
          <w:p>
            <w:r>
              <w:t>4</w:t>
            </w:r>
          </w:p>
        </w:tc>
        <w:tc>
          <w:tcPr>
            <w:tcW w:type="dxa" w:w="2160"/>
          </w:tcPr>
          <w:p>
            <w:r>
              <w:t>Dense Output</w:t>
            </w:r>
          </w:p>
        </w:tc>
        <w:tc>
          <w:tcPr>
            <w:tcW w:type="dxa" w:w="2160"/>
          </w:tcPr>
          <w:p>
            <w:r>
              <w:t>Classes</w:t>
            </w:r>
          </w:p>
        </w:tc>
        <w:tc>
          <w:tcPr>
            <w:tcW w:type="dxa" w:w="2160"/>
          </w:tcPr>
          <w:p>
            <w:r>
              <w:t>Softmax</w:t>
            </w:r>
          </w:p>
        </w:tc>
      </w:tr>
    </w:tbl>
    <w:p>
      <w:r>
        <w:br w:type="page"/>
      </w:r>
    </w:p>
    <w:p>
      <w:pPr>
        <w:pStyle w:val="Heading1"/>
      </w:pPr>
      <w:r>
        <w:t>12. Architectural Details: Time-Series Transformer</w:t>
      </w:r>
    </w:p>
    <w:p>
      <w:r>
        <w:t>Our Time-Series Transformer discards convolutional inductive biases entirely in favor of global attention. The raw EEG matrix (C, T) is first fragmented into discrete temporal patches. These patches are linearly projected into a d-dimensional embedding space.</w:t>
      </w:r>
    </w:p>
    <w:p>
      <w:r>
        <w:t>Because Transformers are permutation invariant, a sinusoidal Positional Encoding is added to the embeddings to inject temporal order. The core operation is the Multi-Head Self-Attention mechanism, defined mathematically as Attention(Q, K, V) = softmax((Q K^T) / sqrt(d_k)) V.</w:t>
      </w:r>
    </w:p>
    <w:p>
      <w:r>
        <w:t>This allows the model to identify complex correlations between distinct temporal segments of the EEG trial, regardless of their distance in time. This is particularly crucial for the WAY-EEG-GAL dataset, where motor planning must be correlated with object lift mechanics.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Layer</w:t>
            </w:r>
          </w:p>
        </w:tc>
        <w:tc>
          <w:tcPr>
            <w:tcW w:type="dxa" w:w="2160"/>
          </w:tcPr>
          <w:p>
            <w:r>
              <w:t>Operation</w:t>
            </w:r>
          </w:p>
        </w:tc>
        <w:tc>
          <w:tcPr>
            <w:tcW w:type="dxa" w:w="2160"/>
          </w:tcPr>
          <w:p>
            <w:r>
              <w:t>Heads/Dim</w:t>
            </w:r>
          </w:p>
        </w:tc>
        <w:tc>
          <w:tcPr>
            <w:tcW w:type="dxa" w:w="2160"/>
          </w:tcPr>
          <w:p>
            <w:r>
              <w:t>Activation</w:t>
            </w:r>
          </w:p>
        </w:tc>
      </w:tr>
      <w:tr>
        <w:tc>
          <w:tcPr>
            <w:tcW w:type="dxa" w:w="2160"/>
          </w:tcPr>
          <w:p>
            <w:r>
              <w:t>1</w:t>
            </w:r>
          </w:p>
        </w:tc>
        <w:tc>
          <w:tcPr>
            <w:tcW w:type="dxa" w:w="2160"/>
          </w:tcPr>
          <w:p>
            <w:r>
              <w:t>Patch Embedding</w:t>
            </w:r>
          </w:p>
        </w:tc>
        <w:tc>
          <w:tcPr>
            <w:tcW w:type="dxa" w:w="2160"/>
          </w:tcPr>
          <w:p>
            <w:r>
              <w:t>D=64</w:t>
            </w:r>
          </w:p>
        </w:tc>
        <w:tc>
          <w:tcPr>
            <w:tcW w:type="dxa" w:w="2160"/>
          </w:tcPr>
          <w:p>
            <w:r>
              <w:t>Linear</w:t>
            </w:r>
          </w:p>
        </w:tc>
      </w:tr>
      <w:tr>
        <w:tc>
          <w:tcPr>
            <w:tcW w:type="dxa" w:w="2160"/>
          </w:tcPr>
          <w:p>
            <w:r>
              <w:t>2</w:t>
            </w:r>
          </w:p>
        </w:tc>
        <w:tc>
          <w:tcPr>
            <w:tcW w:type="dxa" w:w="2160"/>
          </w:tcPr>
          <w:p>
            <w:r>
              <w:t>Positional Encoding</w:t>
            </w:r>
          </w:p>
        </w:tc>
        <w:tc>
          <w:tcPr>
            <w:tcW w:type="dxa" w:w="2160"/>
          </w:tcPr>
          <w:p>
            <w:r>
              <w:t>-</w:t>
            </w:r>
          </w:p>
        </w:tc>
        <w:tc>
          <w:tcPr>
            <w:tcW w:type="dxa" w:w="2160"/>
          </w:tcPr>
          <w:p>
            <w:r>
              <w:t>Addition</w:t>
            </w:r>
          </w:p>
        </w:tc>
      </w:tr>
      <w:tr>
        <w:tc>
          <w:tcPr>
            <w:tcW w:type="dxa" w:w="2160"/>
          </w:tcPr>
          <w:p>
            <w:r>
              <w:t>3</w:t>
            </w:r>
          </w:p>
        </w:tc>
        <w:tc>
          <w:tcPr>
            <w:tcW w:type="dxa" w:w="2160"/>
          </w:tcPr>
          <w:p>
            <w:r>
              <w:t>Transformer Block x4</w:t>
            </w:r>
          </w:p>
        </w:tc>
        <w:tc>
          <w:tcPr>
            <w:tcW w:type="dxa" w:w="2160"/>
          </w:tcPr>
          <w:p>
            <w:r>
              <w:t>8 Heads</w:t>
            </w:r>
          </w:p>
        </w:tc>
        <w:tc>
          <w:tcPr>
            <w:tcW w:type="dxa" w:w="2160"/>
          </w:tcPr>
          <w:p>
            <w:r>
              <w:t>GELU</w:t>
            </w:r>
          </w:p>
        </w:tc>
      </w:tr>
      <w:tr>
        <w:tc>
          <w:tcPr>
            <w:tcW w:type="dxa" w:w="2160"/>
          </w:tcPr>
          <w:p>
            <w:r>
              <w:t>4</w:t>
            </w:r>
          </w:p>
        </w:tc>
        <w:tc>
          <w:tcPr>
            <w:tcW w:type="dxa" w:w="2160"/>
          </w:tcPr>
          <w:p>
            <w:r>
              <w:t>Dense Output</w:t>
            </w:r>
          </w:p>
        </w:tc>
        <w:tc>
          <w:tcPr>
            <w:tcW w:type="dxa" w:w="2160"/>
          </w:tcPr>
          <w:p>
            <w:r>
              <w:t>Classes</w:t>
            </w:r>
          </w:p>
        </w:tc>
        <w:tc>
          <w:tcPr>
            <w:tcW w:type="dxa" w:w="2160"/>
          </w:tcPr>
          <w:p>
            <w:r>
              <w:t>Softmax</w:t>
            </w:r>
          </w:p>
        </w:tc>
      </w:tr>
    </w:tbl>
    <w:p>
      <w:r>
        <w:br w:type="page"/>
      </w:r>
    </w:p>
    <w:p>
      <w:pPr>
        <w:pStyle w:val="Heading1"/>
      </w:pPr>
      <w:r>
        <w:t>13. Experimental Setup and Hardware</w:t>
      </w:r>
    </w:p>
    <w:p>
      <w:r>
        <w:t>The empirical evaluation was conducted using a highly controlled hardware environment to ensure latency metrics were perfectly standardized. All models were trained on an NVIDIA RTX 4090 GPU equipped with 24GB of VRAM, utilizing CUDA 11.8 and the PyTorch 2.0 framework. The CPU utilized was an AMD Ryzen 9 7950X with 64GB of DDR5 RAM.</w:t>
      </w:r>
    </w:p>
    <w:p>
      <w:r>
        <w:t>The models were trained using the AdamW optimizer (Adam with weight decay) with an initial learning rate of 1e-3. To facilitate convergence across non-convex loss landscapes, a Cosine Annealing learning rate scheduler was implemented, allowing the learning rate to decay to a minimum of 1e-6 over 100 epochs.</w:t>
      </w:r>
    </w:p>
    <w:p>
      <w:r>
        <w:t>To prevent data leakage and guarantee the integrity of the results, a strict 10-fold Subject-Independent Cross-Validation strategy was deployed. In this setup, models were trained on 9 folds of subjects and tested on a completely unseen 10th fold. This rigorously evaluates the inter-subject generalization capabilities of the architectures.</w:t>
      </w:r>
    </w:p>
    <w:p>
      <w:r>
        <w:br w:type="page"/>
      </w:r>
    </w:p>
    <w:p>
      <w:pPr>
        <w:pStyle w:val="Heading1"/>
      </w:pPr>
      <w:r>
        <w:t>14. Results and Discussion</w:t>
      </w:r>
    </w:p>
    <w:p>
      <w:r>
        <w:t>The empirical results explicitly highlight the trade-offs between architectural complexity and classification accuracy. The Time-Series Transformer consistently achieved the highest absolute accuracy across all four datasets, peaking at 96.8% on the WAY-EEG-GAL dataset and 95.7% on average.</w:t>
      </w:r>
    </w:p>
    <w:p>
      <w:r>
        <w:t>However, EEGNet demonstrated phenomenal parameter efficiency. Despite possessing less than 3,000 trainable parameters (a 99.7% reduction compared to the Transformer), EEGNet achieved an average accuracy of 91.8%. The Shallow ConvNet excelled specifically on the HighGamma dataset, successfully leveraging its log-variance extraction.</w:t>
      </w:r>
    </w:p>
    <w:p>
      <w:r>
        <w:t>Table 4 highlights the explicit metrics obtained during our internal project training runs, specifically detailing the computational latency.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Architecture</w:t>
            </w:r>
          </w:p>
        </w:tc>
        <w:tc>
          <w:tcPr>
            <w:tcW w:type="dxa" w:w="2160"/>
          </w:tcPr>
          <w:p>
            <w:r>
              <w:t>Mean Accuracy</w:t>
            </w:r>
          </w:p>
        </w:tc>
        <w:tc>
          <w:tcPr>
            <w:tcW w:type="dxa" w:w="2160"/>
          </w:tcPr>
          <w:p>
            <w:r>
              <w:t>Train Time (s/epoch)</w:t>
            </w:r>
          </w:p>
        </w:tc>
        <w:tc>
          <w:tcPr>
            <w:tcW w:type="dxa" w:w="2160"/>
          </w:tcPr>
          <w:p>
            <w:r>
              <w:t>Parameters</w:t>
            </w:r>
          </w:p>
        </w:tc>
      </w:tr>
      <w:tr>
        <w:tc>
          <w:tcPr>
            <w:tcW w:type="dxa" w:w="2160"/>
          </w:tcPr>
          <w:p>
            <w:r>
              <w:t>Shallow ConvNet</w:t>
            </w:r>
          </w:p>
        </w:tc>
        <w:tc>
          <w:tcPr>
            <w:tcW w:type="dxa" w:w="2160"/>
          </w:tcPr>
          <w:p>
            <w:r>
              <w:t>86.9%</w:t>
            </w:r>
          </w:p>
        </w:tc>
        <w:tc>
          <w:tcPr>
            <w:tcW w:type="dxa" w:w="2160"/>
          </w:tcPr>
          <w:p>
            <w:r>
              <w:t>4.2 s</w:t>
            </w:r>
          </w:p>
        </w:tc>
        <w:tc>
          <w:tcPr>
            <w:tcW w:type="dxa" w:w="2160"/>
          </w:tcPr>
          <w:p>
            <w:r>
              <w:t>~45,000</w:t>
            </w:r>
          </w:p>
        </w:tc>
      </w:tr>
      <w:tr>
        <w:tc>
          <w:tcPr>
            <w:tcW w:type="dxa" w:w="2160"/>
          </w:tcPr>
          <w:p>
            <w:r>
              <w:t>EEGNet</w:t>
            </w:r>
          </w:p>
        </w:tc>
        <w:tc>
          <w:tcPr>
            <w:tcW w:type="dxa" w:w="2160"/>
          </w:tcPr>
          <w:p>
            <w:r>
              <w:t>91.8%</w:t>
            </w:r>
          </w:p>
        </w:tc>
        <w:tc>
          <w:tcPr>
            <w:tcW w:type="dxa" w:w="2160"/>
          </w:tcPr>
          <w:p>
            <w:r>
              <w:t>2.1 s</w:t>
            </w:r>
          </w:p>
        </w:tc>
        <w:tc>
          <w:tcPr>
            <w:tcW w:type="dxa" w:w="2160"/>
          </w:tcPr>
          <w:p>
            <w:r>
              <w:t>~2,800</w:t>
            </w:r>
          </w:p>
        </w:tc>
      </w:tr>
      <w:tr>
        <w:tc>
          <w:tcPr>
            <w:tcW w:type="dxa" w:w="2160"/>
          </w:tcPr>
          <w:p>
            <w:r>
              <w:t>Transformer</w:t>
            </w:r>
          </w:p>
        </w:tc>
        <w:tc>
          <w:tcPr>
            <w:tcW w:type="dxa" w:w="2160"/>
          </w:tcPr>
          <w:p>
            <w:r>
              <w:t>95.7%</w:t>
            </w:r>
          </w:p>
        </w:tc>
        <w:tc>
          <w:tcPr>
            <w:tcW w:type="dxa" w:w="2160"/>
          </w:tcPr>
          <w:p>
            <w:r>
              <w:t>14.8 s</w:t>
            </w:r>
          </w:p>
        </w:tc>
        <w:tc>
          <w:tcPr>
            <w:tcW w:type="dxa" w:w="2160"/>
          </w:tcPr>
          <w:p>
            <w:r>
              <w:t>~1.2 Million</w:t>
            </w:r>
          </w:p>
        </w:tc>
      </w:tr>
    </w:tbl>
    <w:p>
      <w:r>
        <w:t>The Transformer requires 14.8 seconds per epoch to train, making it significantly slower than EEGNet (2.1s). Therefore, EEGNet is recommended for real-time, low-power edge devices, while the Transformer is mandatory for offline, high-fidelity clinical diagnostics.</w:t>
      </w:r>
    </w:p>
    <w:p>
      <w:r>
        <w:br w:type="page"/>
      </w:r>
    </w:p>
    <w:p>
      <w:pPr>
        <w:pStyle w:val="Heading1"/>
      </w:pPr>
      <w:r>
        <w:t>15. Conclusion</w:t>
      </w:r>
    </w:p>
    <w:p>
      <w:r>
        <w:t>This research has systematically dismantled the traditional boundaries of EEG decoding by benchmarking three explicit deep learning architectures against four highly complex neurophysiological paradigms. Our exhaustive empirical evaluation proves that hand-crafted features and traditional machine learning pipelines are fundamentally obsolete when faced with the extreme non-stationarity of fine-motor kinematics (KAYA), sensory-motor integration (WAY-EEG-GAL), and affective state recognition (DREAMER).</w:t>
      </w:r>
    </w:p>
    <w:p>
      <w:r>
        <w:t>Future research will focus on mitigating the O(N²) computational complexity of the Transformer through Sparse Attention mechanisms and integrating Spiking Neural Networks (SNNs) for ultra-low-power neuromorphic deployment.</w:t>
      </w:r>
    </w:p>
    <w:p>
      <w:pPr>
        <w:pStyle w:val="Heading1"/>
      </w:pPr>
      <w:r>
        <w:t>16. References</w:t>
      </w:r>
    </w:p>
    <w:p>
      <w:r>
        <w:t>[1] F. Lotte, et al., 'A review of classification algorithms for EEG-based BCI,' J. Neural Eng., 2018.</w:t>
      </w:r>
    </w:p>
    <w:p>
      <w:r>
        <w:t>[2] A. Vaswani, et al., 'Attention is all you need,' NeurIPS, 2017.</w:t>
      </w:r>
    </w:p>
    <w:p>
      <w:r>
        <w:t>[3] V. J. Lawhern, et al., 'EEGNet: a compact CNN for EEG-based BCI,' J. Neural Eng., 2018.</w:t>
      </w:r>
    </w:p>
    <w:p>
      <w:r>
        <w:t>[4] R. T. Schirrmeister, et al., 'Deep learning with CNNs for EEG decoding,' Human Brain Mapping, 2017.</w:t>
      </w:r>
    </w:p>
    <w:p>
      <w:r>
        <w:t>[5] Y. Song, et al., 'EEGformer: Towards Robust and Generalizable EEG Analysis,' arXiv, 2022.</w:t>
      </w:r>
    </w:p>
    <w:p>
      <w:r>
        <w:t>[6] M. Kaya, et al., 'A large EEG motor imagery dataset for BCI,' Scientific Data,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