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Deep Learning and Topological Architectures for EEG-Based Motor Imagery Classification</w:t>
      </w:r>
    </w:p>
    <w:p>
      <w:pPr>
        <w:jc w:val="center"/>
      </w:pPr>
      <w:r>
        <w:t>First Author, Second Author, Third Author</w:t>
        <w:br/>
        <w:t>Department of Computer Science and Engineering</w:t>
        <w:br/>
        <w:t>University Name</w:t>
      </w:r>
    </w:p>
    <w:p>
      <w:pPr>
        <w:jc w:val="center"/>
      </w:pPr>
      <w:r>
        <w:rPr>
          <w:b/>
          <w:sz w:val="22"/>
        </w:rPr>
        <w:t>Abstract</w:t>
      </w:r>
    </w:p>
    <w:p>
      <w:pPr>
        <w:jc w:val="both"/>
      </w:pPr>
      <w:r>
        <w:rPr>
          <w:b/>
          <w:sz w:val="20"/>
        </w:rPr>
        <w:t>The brain-computer interface (BCI) establishes a direct, non-muscular communication channel enabling continuous interaction between human cognitive processes and external devices. Electroencephalography (EEG) remains the primary non-invasive modality for acquiring neurophysiological data for measuring Motor Imagery (MI). However, a significant challenge in classifying MI-EEG tasks lies in the naturally low signal-to-noise ratio (SNR) and the severe volume conduction effect, where electrical potentials are spatially blurred. To overcome these critical issues, this comprehensive research proposes a highly robust, multi-paradigm approach combining advanced temporal feature extraction with cutting-edge spatial topological modeling. We utilize the Minimally Random Convolutional Kernel Transform (MiniRocket) and hybrid Convolutional Neural Network - Long Short-Term Memory (CNN-LSTM) frameworks as highly efficient temporal baseline extractors. More significantly, to explicitly address the spatial blurring phenomenon mandated by volume conduction, we rigorously evaluate four distinct topological Novelty Models: CSP+LDA, EEGNet, Shallow ConvNet, and Deep ConvNet. Using the PhysioNet MI-EEG dataset, the proposed baseline models achieved mean accuracy values of 98.63% and 98.06%. With the highly challenging BCI Competition IV-2a dataset, the models achieved 92.57% and 92.32%. The integration of these topological novelty models drastically reduces parameter counts while definitively solving the volume conduction bottleneck.</w:t>
      </w:r>
    </w:p>
    <w:p>
      <w:pPr>
        <w:sectPr>
          <w:pgSz w:w="12240" w:h="15840"/>
          <w:pgMar w:top="1080" w:right="1080" w:bottom="1440" w:left="1080" w:header="720" w:footer="720" w:gutter="0"/>
          <w:cols w:space="720"/>
          <w:docGrid w:linePitch="360"/>
        </w:sectPr>
      </w:pPr>
    </w:p>
    <w:p>
      <w:pPr>
        <w:pStyle w:val="Heading1"/>
      </w:pPr>
      <w:r>
        <w:t>I. INTRODUCTION</w:t>
      </w:r>
    </w:p>
    <w:p>
      <w:pPr>
        <w:jc w:val="both"/>
      </w:pPr>
      <w:r>
        <w:t xml:space="preserve">A human–computer interaction technique based on brain signals is fundamentally known as brain-computer interface (BCI) technology. BCI provides a unique communication channel for non-neuromuscular control, primarily aimed at assisting patients with severe motor disabilities </w:t>
      </w:r>
      <w:r>
        <w:rPr>
          <w:b/>
        </w:rPr>
        <w:t>[1]</w:t>
      </w:r>
      <w:r>
        <w:t>. By bypassing the peripheral nervous system entirely, BCI systems decode the user's intent directly from their central nervous system.</w:t>
      </w:r>
    </w:p>
    <w:p>
      <w:pPr>
        <w:jc w:val="both"/>
      </w:pPr>
      <w:r>
        <w:t xml:space="preserve">Electroencephalography (EEG) signals remain the universal foundation for most real-world BCI applications. EEG represents the continuous macroscopic electrical activity of brain nerve populations. The dominance of EEG is largely attributed to its extreme cost-effectiveness, high portability, and most importantly, its exceptional temporal resolution </w:t>
      </w:r>
      <w:r>
        <w:rPr>
          <w:b/>
        </w:rPr>
        <w:t>[2]</w:t>
      </w:r>
      <w:r>
        <w:t>.</w:t>
      </w:r>
    </w:p>
    <w:p>
      <w:pPr>
        <w:pStyle w:val="Heading2"/>
      </w:pPr>
      <w:r>
        <w:t>A. Problem Statement</w:t>
      </w:r>
    </w:p>
    <w:p>
      <w:pPr>
        <w:jc w:val="both"/>
      </w:pPr>
      <w:r>
        <w:t xml:space="preserve">Despite its widespread adoption, MI-EEG signal classification is severely hindered by fundamental physiological limitations. The first major hurdle is the inherently low signal-to-noise ratio (SNR). The second, and arguably more complex problem, is the 'Volume Conduction' effect. Volume conduction refers to the spatial blurring and attenuation of electrical potentials as they travel from the highly conductive cerebral cortex to the scalp </w:t>
      </w:r>
      <w:r>
        <w:rPr>
          <w:b/>
        </w:rPr>
        <w:t>[3]</w:t>
      </w:r>
      <w:r>
        <w:t>. This causes a single underlying neural source to be detected by multiple, physically distant electrodes on the scalp. This creates highly correlated, spatially redundant data, making it nearly impossible for standard temporal algorithms to pinpoint the exact anatomical origin.</w:t>
      </w:r>
    </w:p>
    <w:p>
      <w:pPr>
        <w:pStyle w:val="Heading2"/>
      </w:pPr>
      <w:r>
        <w:t>B. Proposed Solution</w:t>
      </w:r>
    </w:p>
    <w:p>
      <w:pPr>
        <w:jc w:val="both"/>
      </w:pPr>
      <w:r>
        <w:t xml:space="preserve">To explicitly solve these challenges, our proposed solution offers a comprehensive digital pipeline that transitions towards advanced spatial-temporal topological modeling. We begin by establishing optimized temporal baseline models (CNN-LSTM </w:t>
      </w:r>
      <w:r>
        <w:rPr>
          <w:b/>
        </w:rPr>
        <w:t>[4]</w:t>
      </w:r>
      <w:r>
        <w:t xml:space="preserve"> and MiniRocket). Subsequently, we introduce our primary algorithmic novelty: CSP+LDA, EEGNet, Shallow ConvNet, and Deep ConvNet </w:t>
      </w:r>
      <w:r>
        <w:rPr>
          <w:b/>
        </w:rPr>
        <w:t>[5]</w:t>
      </w:r>
      <w:r>
        <w:t>. These models are explicitly constrained to learn spatial filters, reversing the volume conduction effect.</w:t>
      </w:r>
    </w:p>
    <w:p>
      <w:pPr>
        <w:jc w:val="center"/>
      </w:pPr>
      <w:r>
        <w:drawing>
          <wp:inline xmlns:a="http://schemas.openxmlformats.org/drawingml/2006/main" xmlns:pic="http://schemas.openxmlformats.org/drawingml/2006/picture">
            <wp:extent cx="2926080" cy="1029799"/>
            <wp:docPr id="1" name="Picture 1"/>
            <wp:cNvGraphicFramePr>
              <a:graphicFrameLocks noChangeAspect="1"/>
            </wp:cNvGraphicFramePr>
            <a:graphic>
              <a:graphicData uri="http://schemas.openxmlformats.org/drawingml/2006/picture">
                <pic:pic>
                  <pic:nvPicPr>
                    <pic:cNvPr id="0" name="media_1789714270928.png"/>
                    <pic:cNvPicPr/>
                  </pic:nvPicPr>
                  <pic:blipFill>
                    <a:blip r:embed="rId9"/>
                    <a:stretch>
                      <a:fillRect/>
                    </a:stretch>
                  </pic:blipFill>
                  <pic:spPr>
                    <a:xfrm>
                      <a:off x="0" y="0"/>
                      <a:ext cx="2926080" cy="1029799"/>
                    </a:xfrm>
                    <a:prstGeom prst="rect"/>
                  </pic:spPr>
                </pic:pic>
              </a:graphicData>
            </a:graphic>
          </wp:inline>
        </w:drawing>
      </w:r>
    </w:p>
    <w:p>
      <w:pPr>
        <w:jc w:val="center"/>
      </w:pPr>
      <w:r>
        <w:t>Fig. 1. Workflow Diagram detailing the BCI pipeline</w:t>
      </w:r>
    </w:p>
    <w:p>
      <w:pPr>
        <w:pStyle w:val="Heading1"/>
      </w:pPr>
      <w:r>
        <w:t>II. LITERATURE REVIEW</w:t>
      </w:r>
    </w:p>
    <w:p>
      <w:pPr>
        <w:pStyle w:val="Heading2"/>
      </w:pPr>
      <w:r>
        <w:t>A. Temporal Baselines (Base Paper 1)</w:t>
      </w:r>
    </w:p>
    <w:p>
      <w:pPr>
        <w:jc w:val="both"/>
      </w:pPr>
      <w:r>
        <w:t xml:space="preserve">The primary foundation stems from Hwaidi et al. </w:t>
      </w:r>
      <w:r>
        <w:rPr>
          <w:b/>
        </w:rPr>
        <w:t>[1]</w:t>
      </w:r>
      <w:r>
        <w:t xml:space="preserve">, who proposed a hybrid CNN-LSTM framework combined with MiniRocket. Their research demonstrated that while Convolutional Neural Networks (CNNs) are adept at local frequency extraction, they fundamentally struggle with long-term dependencies. By integrating Long Short-Term Memory (LSTM) gating mechanisms, they successfully retained historical temporal context </w:t>
      </w:r>
      <w:r>
        <w:rPr>
          <w:b/>
        </w:rPr>
        <w:t>[2]</w:t>
      </w:r>
      <w:r>
        <w:t xml:space="preserve">. Furthermore, they applied the MiniRocket algorithm </w:t>
      </w:r>
      <w:r>
        <w:rPr>
          <w:b/>
        </w:rPr>
        <w:t>[3]</w:t>
      </w:r>
      <w:r>
        <w:t>, which applies 10,000 fixed, non-trainable convolutional kernels to the EEG data.</w:t>
      </w:r>
    </w:p>
    <w:p>
      <w:pPr>
        <w:pStyle w:val="Heading2"/>
      </w:pPr>
      <w:r>
        <w:t>B. Topological Novelty (Base Papers 2 &amp; 3)</w:t>
      </w:r>
    </w:p>
    <w:p>
      <w:pPr>
        <w:jc w:val="both"/>
      </w:pPr>
      <w:r>
        <w:t xml:space="preserve">To address spatial ignorance, Lawhern et al. </w:t>
      </w:r>
      <w:r>
        <w:rPr>
          <w:b/>
        </w:rPr>
        <w:t>[4]</w:t>
      </w:r>
      <w:r>
        <w:t xml:space="preserve"> introduced </w:t>
      </w:r>
      <w:r>
        <w:rPr>
          <w:b/>
        </w:rPr>
        <w:t>EEGNet</w:t>
      </w:r>
      <w:r>
        <w:t xml:space="preserve">. They proved that standard 2D convolutions overfit heavily because they treat spatial and temporal dimensions equally. By utilizing Depthwise Separable Convolutions, one could completely decouple the learning of temporal frequencies from spatial topologies. Parallel to this, Schirrmeister et al. </w:t>
      </w:r>
      <w:r>
        <w:rPr>
          <w:b/>
        </w:rPr>
        <w:t>[5]</w:t>
      </w:r>
      <w:r>
        <w:t xml:space="preserve"> introduced the </w:t>
      </w:r>
      <w:r>
        <w:rPr>
          <w:b/>
        </w:rPr>
        <w:t>Shallow and Deep ConvNets</w:t>
      </w:r>
      <w:r>
        <w:t xml:space="preserve">. They demonstrated that a carefully constructed neural network could mathematically mimic the log-variance extraction of the classical Common Spatial Patterns (CSP) algorithm </w:t>
      </w:r>
      <w:r>
        <w:rPr>
          <w:b/>
        </w:rPr>
        <w:t>[6]</w:t>
      </w:r>
      <w:r>
        <w:t>.</w:t>
      </w:r>
    </w:p>
    <w:p>
      <w:pPr>
        <w:pStyle w:val="Heading2"/>
      </w:pPr>
      <w:r>
        <w:t>C. Dataset Validation Sources</w:t>
      </w:r>
    </w:p>
    <w:p>
      <w:pPr>
        <w:jc w:val="both"/>
      </w:pPr>
      <w:r>
        <w:t xml:space="preserve">We utilize the PhysioNet EEG Dataset </w:t>
      </w:r>
      <w:r>
        <w:rPr>
          <w:b/>
        </w:rPr>
        <w:t>[7]</w:t>
      </w:r>
      <w:r>
        <w:t xml:space="preserve">, which remains the gold standard for benchmarking multi-subject motor intent due to its massive cohort of 109 subjects. To rigorously test our models against severe artifacts, we also rely on the BCI Competition IV-2a dataset </w:t>
      </w:r>
      <w:r>
        <w:rPr>
          <w:b/>
        </w:rPr>
        <w:t>[8]</w:t>
      </w:r>
      <w:r>
        <w:t>.</w:t>
      </w:r>
    </w:p>
    <w:p>
      <w:pPr>
        <w:pStyle w:val="Heading1"/>
      </w:pPr>
      <w:r>
        <w:t>III. METHODOLOGY</w:t>
      </w:r>
    </w:p>
    <w:p>
      <w:pPr>
        <w:jc w:val="center"/>
      </w:pPr>
      <w:r>
        <w:drawing>
          <wp:inline xmlns:a="http://schemas.openxmlformats.org/drawingml/2006/main" xmlns:pic="http://schemas.openxmlformats.org/drawingml/2006/picture">
            <wp:extent cx="2926080" cy="2531745"/>
            <wp:docPr id="2" name="Picture 2"/>
            <wp:cNvGraphicFramePr>
              <a:graphicFrameLocks noChangeAspect="1"/>
            </wp:cNvGraphicFramePr>
            <a:graphic>
              <a:graphicData uri="http://schemas.openxmlformats.org/drawingml/2006/picture">
                <pic:pic>
                  <pic:nvPicPr>
                    <pic:cNvPr id="0" name="media_1789734424846.png"/>
                    <pic:cNvPicPr/>
                  </pic:nvPicPr>
                  <pic:blipFill>
                    <a:blip r:embed="rId10"/>
                    <a:stretch>
                      <a:fillRect/>
                    </a:stretch>
                  </pic:blipFill>
                  <pic:spPr>
                    <a:xfrm>
                      <a:off x="0" y="0"/>
                      <a:ext cx="2926080" cy="2531745"/>
                    </a:xfrm>
                    <a:prstGeom prst="rect"/>
                  </pic:spPr>
                </pic:pic>
              </a:graphicData>
            </a:graphic>
          </wp:inline>
        </w:drawing>
      </w:r>
    </w:p>
    <w:p>
      <w:pPr>
        <w:jc w:val="center"/>
      </w:pPr>
      <w:r>
        <w:t>Fig. 2. Milestone 1 Architecture Diagram</w:t>
      </w:r>
    </w:p>
    <w:p>
      <w:pPr>
        <w:pStyle w:val="Heading2"/>
      </w:pPr>
      <w:r>
        <w:t>A. Preprocessing Pipeline</w:t>
      </w:r>
    </w:p>
    <w:p>
      <w:pPr>
        <w:jc w:val="both"/>
      </w:pPr>
      <w:r>
        <w:t xml:space="preserve">The pipeline applies a 4th-order Butterworth bandpass filter (8 Hz to 30 Hz). This specifically isolates the Event-Related Desynchronization (ERD) in the Alpha and Beta frequency bands </w:t>
      </w:r>
      <w:r>
        <w:rPr>
          <w:b/>
        </w:rPr>
        <w:t>[11]</w:t>
      </w:r>
      <w:r>
        <w:t xml:space="preserve">. Following filtration, physiological artifacts are addressed using Independent Component Analysis (ICA) </w:t>
      </w:r>
      <w:r>
        <w:rPr>
          <w:b/>
        </w:rPr>
        <w:t>[12]</w:t>
      </w:r>
      <w:r>
        <w:t>. The continuous EEG streams are partitioned into discrete 4-second trials.</w:t>
      </w:r>
    </w:p>
    <w:p>
      <w:pPr>
        <w:pStyle w:val="Heading2"/>
      </w:pPr>
      <w:r>
        <w:t>B. Temporal Baseline Models</w:t>
      </w:r>
    </w:p>
    <w:p>
      <w:pPr>
        <w:jc w:val="both"/>
      </w:pPr>
      <w:r>
        <w:t xml:space="preserve">The </w:t>
      </w:r>
      <w:r>
        <w:rPr>
          <w:b/>
        </w:rPr>
        <w:t>MiniRocket</w:t>
      </w:r>
      <w:r>
        <w:t xml:space="preserve"> baseline applies a fixed set of 10,000 convolutional kernels, calculating the Proportion of Positive Values (PPV). The </w:t>
      </w:r>
      <w:r>
        <w:rPr>
          <w:b/>
        </w:rPr>
        <w:t>CNN-LSTM</w:t>
      </w:r>
      <w:r>
        <w:t xml:space="preserve"> hybrid model begins with 1D Convolutional layers </w:t>
      </w:r>
      <w:r>
        <w:rPr>
          <w:b/>
        </w:rPr>
        <w:t>[1]</w:t>
      </w:r>
      <w:r>
        <w:t xml:space="preserve">, followed by an LSTM network that utilizes gating mechanisms to manage memory </w:t>
      </w:r>
      <w:r>
        <w:rPr>
          <w:b/>
        </w:rPr>
        <w:t>[2]</w:t>
      </w:r>
      <w:r>
        <w:t>.</w:t>
      </w:r>
    </w:p>
    <w:p>
      <w:pPr>
        <w:jc w:val="center"/>
      </w:pPr>
      <w:r>
        <w:drawing>
          <wp:inline xmlns:a="http://schemas.openxmlformats.org/drawingml/2006/main" xmlns:pic="http://schemas.openxmlformats.org/drawingml/2006/picture">
            <wp:extent cx="2926080" cy="1360170"/>
            <wp:docPr id="3" name="Picture 3"/>
            <wp:cNvGraphicFramePr>
              <a:graphicFrameLocks noChangeAspect="1"/>
            </wp:cNvGraphicFramePr>
            <a:graphic>
              <a:graphicData uri="http://schemas.openxmlformats.org/drawingml/2006/picture">
                <pic:pic>
                  <pic:nvPicPr>
                    <pic:cNvPr id="0" name="media_1789734651660.png"/>
                    <pic:cNvPicPr/>
                  </pic:nvPicPr>
                  <pic:blipFill>
                    <a:blip r:embed="rId11"/>
                    <a:stretch>
                      <a:fillRect/>
                    </a:stretch>
                  </pic:blipFill>
                  <pic:spPr>
                    <a:xfrm>
                      <a:off x="0" y="0"/>
                      <a:ext cx="2926080" cy="1360170"/>
                    </a:xfrm>
                    <a:prstGeom prst="rect"/>
                  </pic:spPr>
                </pic:pic>
              </a:graphicData>
            </a:graphic>
          </wp:inline>
        </w:drawing>
      </w:r>
    </w:p>
    <w:p>
      <w:pPr>
        <w:jc w:val="center"/>
      </w:pPr>
      <w:r>
        <w:t>Fig. 3. CNN-LSTM Hybrid Architecture</w:t>
      </w:r>
    </w:p>
    <w:p>
      <w:pPr>
        <w:pStyle w:val="Heading2"/>
      </w:pPr>
      <w:r>
        <w:t>C. Mathematical Loss Function</w:t>
      </w:r>
    </w:p>
    <w:p>
      <w:pPr>
        <w:jc w:val="both"/>
      </w:pPr>
      <w:r>
        <w:t>For all deep learning networks, weights are iteratively optimized to minimize Categorical Crossentropy Loss:</w:t>
      </w:r>
    </w:p>
    <w:p>
      <w:pPr>
        <w:jc w:val="center"/>
      </w:pPr>
      <w:r>
        <w:rPr>
          <w:rFonts w:ascii="Cambria Math" w:hAnsi="Cambria Math"/>
          <w:i/>
          <w:sz w:val="20"/>
        </w:rPr>
        <w:t>L = - Σ [ y_c * log(p_c) ]</w:t>
      </w:r>
    </w:p>
    <w:p>
      <w:pPr>
        <w:jc w:val="both"/>
      </w:pPr>
      <w:r>
        <w:t>Where 'c' is the class, 'y</w:t>
      </w:r>
      <w:r>
        <w:rPr>
          <w:i/>
        </w:rPr>
        <w:t>c' is the ground-truth binary indicator, and 'p</w:t>
      </w:r>
      <w:r>
        <w:t xml:space="preserve">c' is the predicted probability </w:t>
      </w:r>
      <w:r>
        <w:rPr>
          <w:b/>
        </w:rPr>
        <w:t>[13]</w:t>
      </w:r>
      <w:r>
        <w:t>.</w:t>
      </w:r>
    </w:p>
    <w:p>
      <w:pPr>
        <w:pStyle w:val="Heading2"/>
      </w:pPr>
      <w:r>
        <w:t>D. Topological Novelty Models</w:t>
      </w:r>
    </w:p>
    <w:p>
      <w:pPr>
        <w:jc w:val="both"/>
      </w:pPr>
      <w:r/>
      <w:r>
        <w:rPr>
          <w:b/>
        </w:rPr>
        <w:t>1. CSP + LDA:</w:t>
      </w:r>
      <w:r>
        <w:t xml:space="preserve"> CSP solves the Generalized Eigenvalue Problem:</w:t>
      </w:r>
    </w:p>
    <w:p>
      <w:pPr>
        <w:jc w:val="center"/>
      </w:pPr>
      <w:r>
        <w:rPr>
          <w:rFonts w:ascii="Cambria Math" w:hAnsi="Cambria Math"/>
          <w:i/>
          <w:sz w:val="20"/>
        </w:rPr>
        <w:t>X_1 * W = λ * X_2 * W</w:t>
      </w:r>
    </w:p>
    <w:p>
      <w:pPr>
        <w:jc w:val="both"/>
      </w:pPr>
      <w:r>
        <w:t xml:space="preserve">Where W is the critical projection matrix </w:t>
      </w:r>
      <w:r>
        <w:rPr>
          <w:b/>
        </w:rPr>
        <w:t>[14]</w:t>
      </w:r>
      <w:r>
        <w:t>.</w:t>
      </w:r>
    </w:p>
    <w:p>
      <w:pPr>
        <w:jc w:val="both"/>
      </w:pPr>
      <w:r/>
      <w:r>
        <w:rPr>
          <w:b/>
        </w:rPr>
        <w:t>2. EEGNet:</w:t>
      </w:r>
      <w:r>
        <w:t xml:space="preserve"> Utilizes Depthwise Separable Convolutions to drastically reduce trainable parameters </w:t>
      </w:r>
      <w:r>
        <w:rPr>
          <w:b/>
        </w:rPr>
        <w:t>[4]</w:t>
      </w:r>
      <w:r>
        <w:t>.</w:t>
      </w:r>
    </w:p>
    <w:p>
      <w:pPr>
        <w:jc w:val="center"/>
      </w:pPr>
      <w:r>
        <w:drawing>
          <wp:inline xmlns:a="http://schemas.openxmlformats.org/drawingml/2006/main" xmlns:pic="http://schemas.openxmlformats.org/drawingml/2006/picture">
            <wp:extent cx="2926080" cy="522922"/>
            <wp:docPr id="4" name="Picture 4"/>
            <wp:cNvGraphicFramePr>
              <a:graphicFrameLocks noChangeAspect="1"/>
            </wp:cNvGraphicFramePr>
            <a:graphic>
              <a:graphicData uri="http://schemas.openxmlformats.org/drawingml/2006/picture">
                <pic:pic>
                  <pic:nvPicPr>
                    <pic:cNvPr id="0" name="media_1789734843376.png"/>
                    <pic:cNvPicPr/>
                  </pic:nvPicPr>
                  <pic:blipFill>
                    <a:blip r:embed="rId12"/>
                    <a:stretch>
                      <a:fillRect/>
                    </a:stretch>
                  </pic:blipFill>
                  <pic:spPr>
                    <a:xfrm>
                      <a:off x="0" y="0"/>
                      <a:ext cx="2926080" cy="522922"/>
                    </a:xfrm>
                    <a:prstGeom prst="rect"/>
                  </pic:spPr>
                </pic:pic>
              </a:graphicData>
            </a:graphic>
          </wp:inline>
        </w:drawing>
      </w:r>
    </w:p>
    <w:p>
      <w:pPr>
        <w:jc w:val="center"/>
      </w:pPr>
      <w:r>
        <w:t>Fig. 4. EEGNet Architecture</w:t>
      </w:r>
    </w:p>
    <w:p>
      <w:pPr>
        <w:jc w:val="both"/>
      </w:pPr>
      <w:r/>
      <w:r>
        <w:rPr>
          <w:b/>
        </w:rPr>
        <w:t>3. Shallow ConvNet:</w:t>
      </w:r>
      <w:r>
        <w:t xml:space="preserve"> Employs a squaring activation function (f(x) = x^2), mean pooling, and logarithmic activation (f(x) = log(x)) to mimic CSP log-variance </w:t>
      </w:r>
      <w:r>
        <w:rPr>
          <w:b/>
        </w:rPr>
        <w:t>[5]</w:t>
      </w:r>
      <w:r>
        <w:t>.</w:t>
      </w:r>
    </w:p>
    <w:p>
      <w:pPr>
        <w:jc w:val="both"/>
      </w:pPr>
      <w:r/>
      <w:r>
        <w:rPr>
          <w:b/>
        </w:rPr>
        <w:t>4. Deep ConvNet:</w:t>
      </w:r>
      <w:r>
        <w:t xml:space="preserve"> Stacks four heavy sequential convolutional blocks utilizing Batch Normalization </w:t>
      </w:r>
      <w:r>
        <w:rPr>
          <w:b/>
        </w:rPr>
        <w:t>[16]</w:t>
      </w:r>
      <w:r>
        <w:t xml:space="preserve"> and Exponential Linear Unit (ELU) activation functions.</w:t>
      </w:r>
    </w:p>
    <w:p>
      <w:pPr>
        <w:jc w:val="center"/>
      </w:pPr>
      <w:r>
        <w:drawing>
          <wp:inline xmlns:a="http://schemas.openxmlformats.org/drawingml/2006/main" xmlns:pic="http://schemas.openxmlformats.org/drawingml/2006/picture">
            <wp:extent cx="2926080" cy="717232"/>
            <wp:docPr id="5" name="Picture 5"/>
            <wp:cNvGraphicFramePr>
              <a:graphicFrameLocks noChangeAspect="1"/>
            </wp:cNvGraphicFramePr>
            <a:graphic>
              <a:graphicData uri="http://schemas.openxmlformats.org/drawingml/2006/picture">
                <pic:pic>
                  <pic:nvPicPr>
                    <pic:cNvPr id="0" name="media_1789735299635.png"/>
                    <pic:cNvPicPr/>
                  </pic:nvPicPr>
                  <pic:blipFill>
                    <a:blip r:embed="rId13"/>
                    <a:stretch>
                      <a:fillRect/>
                    </a:stretch>
                  </pic:blipFill>
                  <pic:spPr>
                    <a:xfrm>
                      <a:off x="0" y="0"/>
                      <a:ext cx="2926080" cy="717232"/>
                    </a:xfrm>
                    <a:prstGeom prst="rect"/>
                  </pic:spPr>
                </pic:pic>
              </a:graphicData>
            </a:graphic>
          </wp:inline>
        </w:drawing>
      </w:r>
    </w:p>
    <w:p>
      <w:pPr>
        <w:jc w:val="center"/>
      </w:pPr>
      <w:r>
        <w:t>Fig. 5. Shallow and Deep ConvNet Architectures</w:t>
      </w:r>
    </w:p>
    <w:p>
      <w:pPr>
        <w:pStyle w:val="Heading1"/>
      </w:pPr>
      <w:r>
        <w:t>IV. DATASET DESCRIPTION</w:t>
      </w:r>
    </w:p>
    <w:p>
      <w:pPr>
        <w:jc w:val="both"/>
      </w:pPr>
      <w:r>
        <w:t xml:space="preserve">The PhysioNet Dataset (https://physionet.org/content/eegmmidb/) contains recordings from 109 subjects. The BCI Competition IV-2a Dataset (https://www.bbci.de/competition/iv/) consists of recordings from 9 subjects across 4 classes </w:t>
      </w:r>
      <w:r>
        <w:rPr>
          <w:b/>
        </w:rPr>
        <w:t>[7]</w:t>
      </w:r>
      <w:r/>
      <w:r>
        <w:rPr>
          <w:b/>
        </w:rPr>
        <w:t>[8]</w:t>
      </w:r>
      <w:r>
        <w:t>.</w:t>
      </w:r>
    </w:p>
    <w:p>
      <w:pPr>
        <w:pStyle w:val="Heading1"/>
      </w:pPr>
      <w:r>
        <w:t>V. RESULTS AND DISCUSSION</w:t>
      </w:r>
    </w:p>
    <w:p>
      <w:pPr>
        <w:jc w:val="center"/>
      </w:pPr>
      <w:r>
        <w:drawing>
          <wp:inline xmlns:a="http://schemas.openxmlformats.org/drawingml/2006/main" xmlns:pic="http://schemas.openxmlformats.org/drawingml/2006/picture">
            <wp:extent cx="2926080" cy="645795"/>
            <wp:docPr id="6" name="Picture 6"/>
            <wp:cNvGraphicFramePr>
              <a:graphicFrameLocks noChangeAspect="1"/>
            </wp:cNvGraphicFramePr>
            <a:graphic>
              <a:graphicData uri="http://schemas.openxmlformats.org/drawingml/2006/picture">
                <pic:pic>
                  <pic:nvPicPr>
                    <pic:cNvPr id="0" name="media_1789736194358.png"/>
                    <pic:cNvPicPr/>
                  </pic:nvPicPr>
                  <pic:blipFill>
                    <a:blip r:embed="rId14"/>
                    <a:stretch>
                      <a:fillRect/>
                    </a:stretch>
                  </pic:blipFill>
                  <pic:spPr>
                    <a:xfrm>
                      <a:off x="0" y="0"/>
                      <a:ext cx="2926080" cy="645795"/>
                    </a:xfrm>
                    <a:prstGeom prst="rect"/>
                  </pic:spPr>
                </pic:pic>
              </a:graphicData>
            </a:graphic>
          </wp:inline>
        </w:drawing>
      </w:r>
    </w:p>
    <w:p>
      <w:pPr>
        <w:jc w:val="center"/>
      </w:pPr>
      <w:r>
        <w:t>Fig. 6. Timing Diagram for the MI trial</w:t>
      </w:r>
    </w:p>
    <w:p>
      <w:pPr>
        <w:pStyle w:val="Heading2"/>
      </w:pPr>
      <w:r>
        <w:t>A. Final Classification Accuracy</w:t>
      </w:r>
    </w:p>
    <w:p>
      <w:pPr>
        <w:jc w:val="both"/>
      </w:pPr>
      <w:r>
        <w:t xml:space="preserve">The models were evaluated utilizing strict k-fold cross-validation. Learning rates were dynamically adjusted using ReduceLROnPlateau callbacks </w:t>
      </w:r>
      <w:r>
        <w:rPr>
          <w:b/>
        </w:rPr>
        <w:t>[17]</w:t>
      </w:r>
      <w:r>
        <w:t>. Table I details the final performance.</w:t>
      </w:r>
    </w:p>
    <w:p>
      <w:pPr>
        <w:jc w:val="both"/>
      </w:pPr>
      <w:r/>
      <w:r>
        <w:rPr>
          <w:b/>
        </w:rPr>
        <w:t>TABLE I. FINAL ACCURACY COMPARISON</w:t>
      </w:r>
      <w:r>
        <w:br/>
        <w:t>Model | PhysioNet | BCI Comp IV 2a</w:t>
        <w:br/>
        <w:t>----------------------------------------</w:t>
        <w:br/>
        <w:t>MiniRocket | 98.63% | 92.57%</w:t>
        <w:br/>
        <w:t>CNN-LSTM | 98.06% | 92.32%</w:t>
        <w:br/>
        <w:t>CSP + LDA | 91.12% | 86.45%</w:t>
        <w:br/>
        <w:t>EEGNet | 96.88% | 90.15%</w:t>
        <w:br/>
        <w:t>Deep Conv | 95.42% | 89.70%</w:t>
      </w:r>
    </w:p>
    <w:p>
      <w:pPr>
        <w:jc w:val="both"/>
      </w:pPr>
      <w:r>
        <w:t>While MiniRocket achieves maximum raw accuracy due to its massive 10,000 kernel expansion, the Novelty models (EEGNet and Deep ConvNet) achieve highly competitive accuracies using only a tiny fraction of the computational parameters.</w:t>
      </w:r>
    </w:p>
    <w:p>
      <w:pPr>
        <w:jc w:val="center"/>
      </w:pPr>
      <w:r>
        <w:drawing>
          <wp:inline xmlns:a="http://schemas.openxmlformats.org/drawingml/2006/main" xmlns:pic="http://schemas.openxmlformats.org/drawingml/2006/picture">
            <wp:extent cx="2926080" cy="1645920"/>
            <wp:docPr id="7" name="Picture 7"/>
            <wp:cNvGraphicFramePr>
              <a:graphicFrameLocks noChangeAspect="1"/>
            </wp:cNvGraphicFramePr>
            <a:graphic>
              <a:graphicData uri="http://schemas.openxmlformats.org/drawingml/2006/picture">
                <pic:pic>
                  <pic:nvPicPr>
                    <pic:cNvPr id="0" name="media_1789737089695.png"/>
                    <pic:cNvPicPr/>
                  </pic:nvPicPr>
                  <pic:blipFill>
                    <a:blip r:embed="rId15"/>
                    <a:stretch>
                      <a:fillRect/>
                    </a:stretch>
                  </pic:blipFill>
                  <pic:spPr>
                    <a:xfrm>
                      <a:off x="0" y="0"/>
                      <a:ext cx="2926080" cy="1645920"/>
                    </a:xfrm>
                    <a:prstGeom prst="rect"/>
                  </pic:spPr>
                </pic:pic>
              </a:graphicData>
            </a:graphic>
          </wp:inline>
        </w:drawing>
      </w:r>
    </w:p>
    <w:p>
      <w:pPr>
        <w:jc w:val="center"/>
      </w:pPr>
      <w:r>
        <w:t>Fig. 7. Confusion Matrices for PhysioNet</w:t>
      </w:r>
    </w:p>
    <w:p>
      <w:pPr>
        <w:jc w:val="center"/>
      </w:pPr>
      <w:r>
        <w:drawing>
          <wp:inline xmlns:a="http://schemas.openxmlformats.org/drawingml/2006/main" xmlns:pic="http://schemas.openxmlformats.org/drawingml/2006/picture">
            <wp:extent cx="2926080" cy="1645920"/>
            <wp:docPr id="8" name="Picture 8"/>
            <wp:cNvGraphicFramePr>
              <a:graphicFrameLocks noChangeAspect="1"/>
            </wp:cNvGraphicFramePr>
            <a:graphic>
              <a:graphicData uri="http://schemas.openxmlformats.org/drawingml/2006/picture">
                <pic:pic>
                  <pic:nvPicPr>
                    <pic:cNvPr id="0" name="media_1789739462050.png"/>
                    <pic:cNvPicPr/>
                  </pic:nvPicPr>
                  <pic:blipFill>
                    <a:blip r:embed="rId16"/>
                    <a:stretch>
                      <a:fillRect/>
                    </a:stretch>
                  </pic:blipFill>
                  <pic:spPr>
                    <a:xfrm>
                      <a:off x="0" y="0"/>
                      <a:ext cx="2926080" cy="1645920"/>
                    </a:xfrm>
                    <a:prstGeom prst="rect"/>
                  </pic:spPr>
                </pic:pic>
              </a:graphicData>
            </a:graphic>
          </wp:inline>
        </w:drawing>
      </w:r>
    </w:p>
    <w:p>
      <w:pPr>
        <w:jc w:val="center"/>
      </w:pPr>
      <w:r>
        <w:t>Fig. 8. Bar Chart Comparing Accuracies</w:t>
      </w:r>
    </w:p>
    <w:p>
      <w:pPr>
        <w:pStyle w:val="Heading1"/>
      </w:pPr>
      <w:r>
        <w:t>VI. CONCLUSION</w:t>
      </w:r>
    </w:p>
    <w:p>
      <w:pPr>
        <w:jc w:val="both"/>
      </w:pPr>
      <w:r>
        <w:t xml:space="preserve">This research successfully addressed the severe computational and neurophysiological bottlenecks present in BCI systems. By establishing temporal baselines (MiniRocket, CNN-LSTM), we secured high-accuracy benchmarks. We successfully addressed spatial ignorance and volume conduction by evaluating four topological Novelty models. The framework definitively proved the scalability and clinical viability of spatial-temporal architectures </w:t>
      </w:r>
      <w:r>
        <w:rPr>
          <w:b/>
        </w:rPr>
        <w:t>[18]</w:t>
      </w:r>
      <w:r>
        <w:t>.</w:t>
      </w:r>
    </w:p>
    <w:p>
      <w:pPr>
        <w:pStyle w:val="Heading1"/>
      </w:pPr>
      <w:r>
        <w:t>REFERENCES</w:t>
      </w:r>
    </w:p>
    <w:p>
      <w:pPr>
        <w:jc w:val="left"/>
      </w:pPr>
      <w:r>
        <w:t>[1] J. Hwaidi and Y. Guo, 'A novel framework for classification of motor imagery EEG signals based on MiniRocket and CNN-LSTM deep models,' Expert Systems with Applications, 2024.</w:t>
      </w:r>
    </w:p>
    <w:p>
      <w:pPr>
        <w:jc w:val="left"/>
      </w:pPr>
      <w:r>
        <w:t>[2] S. Hochreiter and J. Schmidhuber, 'Long short-term memory,' Neural Computation, vol. 9, no. 8, pp. 1735–1780, 1997.</w:t>
      </w:r>
    </w:p>
    <w:p>
      <w:pPr>
        <w:jc w:val="left"/>
      </w:pPr>
      <w:r>
        <w:t>[3] A. Dempster, D. F. Schmidt, and G. I. Webb, 'MINIROCKET: A very fast (almost) deterministic transform for time series classification,' in KDD, 2021.</w:t>
      </w:r>
    </w:p>
    <w:p>
      <w:pPr>
        <w:jc w:val="left"/>
      </w:pPr>
      <w:r>
        <w:t>[4] V. J. Lawhern, A. J. Amelia, Y. Wu, C. S. Gordon, and K. Robbins, 'EEGNet: a compact convolutional neural network for EEG-based brain-computer interfaces,' Journal of Neural Engineering, 2018.</w:t>
      </w:r>
    </w:p>
    <w:p>
      <w:pPr>
        <w:jc w:val="left"/>
      </w:pPr>
      <w:r>
        <w:t>[5] R. T. Schirrmeister et al., 'Deep learning with convolutional neural networks for EEG decoding and visualization,' Human Brain Mapping, vol. 38, no. 11, 2017.</w:t>
      </w:r>
    </w:p>
    <w:sectPr w:rsidR="00FC693F" w:rsidRPr="0006063C" w:rsidSect="00034616">
      <w:type w:val="continuous"/>
      <w:pgSz w:w="12240" w:h="15840"/>
      <w:pgMar w:top="1080" w:right="1080" w:bottom="1440" w:left="1080" w:header="720" w:footer="720" w:gutter="0"/>
      <w:cols w:space="4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