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32"/>
        </w:rPr>
        <w:t>Packed Column Sync – The UI Automation Approach</w:t>
      </w:r>
    </w:p>
    <w:p>
      <w:pPr>
        <w:spacing w:after="240"/>
      </w:pPr>
      <w:r>
        <w:rPr>
          <w:b w:val="0"/>
          <w:i/>
          <w:sz w:val="18"/>
        </w:rPr>
        <w:t>Prepared for Hannah Pinkston, Lorraine Metzka, Keerthana Chandrasekaran  |  9 September 2026</w:t>
      </w:r>
    </w:p>
    <w:p>
      <w:r>
        <w:rPr>
          <w:b/>
        </w:rPr>
        <w:t xml:space="preserve">In response to: </w:t>
      </w:r>
      <w:r>
        <w:t>“What is the UI automation? Is this just putting in the column details manually? If so then we should wait on the feature request.”</w:t>
      </w:r>
    </w:p>
    <w:p>
      <w:pPr>
        <w:pStyle w:val="Heading1"/>
      </w:pPr>
      <w:r>
        <w:t>1. What UI automation means here</w:t>
      </w:r>
    </w:p>
    <w:p>
      <w:r>
        <w:rPr>
          <w:b w:val="0"/>
          <w:i w:val="0"/>
        </w:rPr>
        <w:t>No – it is not a person, or a script, re-typing column details into a form.</w:t>
      </w:r>
    </w:p>
    <w:p>
      <w:r>
        <w:rPr>
          <w:b w:val="0"/>
          <w:i w:val="0"/>
        </w:rPr>
        <w:t>It is a program driving the UNICORN client through Microsoft UI Automation, the accessibility interface built into Windows. Controls are addressed by their stable internal names (the New… button on the Column Type tab is btnNewType), not by screen position. Data is read from Benchling, mapped by defined rules, and entered through the application – so UNICORN’s own validation and audit trail still apply. Nobody types anything.</w:t>
      </w:r>
    </w:p>
    <w:p>
      <w:r>
        <w:rPr>
          <w:b w:val="0"/>
          <w:i w:val="0"/>
        </w:rPr>
        <w:t>It is not a macro replaying mouse coordinates, screen scraping, or manual re-keying.</w:t>
      </w:r>
    </w:p>
    <w:p>
      <w:r>
        <w:rPr>
          <w:b/>
        </w:rPr>
        <w:t xml:space="preserve">Fair caveat: </w:t>
      </w:r>
      <w:r>
        <w:t>it is still the UI, so it is more fragile than a real API and will need qualification. The concern behind the question is reasonable. But the choice may not be limited to “UI automation or wait” – see section 3.</w:t>
      </w:r>
    </w:p>
    <w:p>
      <w:pPr>
        <w:pStyle w:val="Heading1"/>
      </w:pPr>
      <w:r>
        <w:t>2. Why not the database directly</w:t>
      </w:r>
    </w:p>
    <w:p>
      <w:r>
        <w:rPr>
          <w:b w:val="0"/>
          <w:i w:val="0"/>
        </w:rPr>
        <w:t>The UNICORN technical documentation (p.143) states that direct SQL access is not recommended, and the client writes to a shared production database. Going through the application keeps validation and the audit trail intact.</w:t>
      </w:r>
    </w:p>
    <w:p>
      <w:pPr>
        <w:pStyle w:val="Heading1"/>
      </w:pPr>
      <w:r>
        <w:t>3. The Import route may not be closed</w:t>
      </w:r>
    </w:p>
    <w:p>
      <w:r>
        <w:rPr>
          <w:b w:val="0"/>
          <w:i w:val="0"/>
        </w:rPr>
        <w:t>The clarifications document concludes that Import cannot be used for lab-packed columns. This should be re-checked before it drives the decision.</w:t>
      </w:r>
    </w:p>
    <w:p>
      <w:r>
        <w:rPr>
          <w:b w:val="0"/>
          <w:i w:val="0"/>
        </w:rPr>
        <w:t>We exported the column type “0.46 x10.0cm Cytiva Source 15S”. Its file shows it was created by a Lilly user (CreatedBy L006857_Medley, February 2026), with IsPredefined set to false and scope Global – Predefined is a separate category in UNICORN. It is a user-created column type, and it exported cleanly. Import sits beside Export on the same tab and is enabled.</w:t>
      </w:r>
    </w:p>
    <w:p>
      <w:r>
        <w:rPr>
          <w:b w:val="0"/>
          <w:i w:val="0"/>
        </w:rPr>
        <w:t>Cytiva stated there is no API. File-based import is not an API, so the two statements do not conflict.</w:t>
      </w:r>
    </w:p>
    <w:p>
      <w:r>
        <w:rPr>
          <w:b/>
        </w:rPr>
        <w:t xml:space="preserve">What we have not done: </w:t>
      </w:r>
      <w:r>
        <w:t>we have not attempted an import. Producing a valid file is not the same as UNICORN accepting one. But we can now generate files that match UNICORN’s own exports byte for byte, so the test is inexpensive.</w:t>
      </w:r>
    </w:p>
    <w:p>
      <w:pPr>
        <w:pStyle w:val="Heading1"/>
      </w:pPr>
      <w:r>
        <w:t>4. What has been established</w:t>
      </w:r>
    </w:p>
    <w:p>
      <w:pPr>
        <w:pStyle w:val="ListBullet"/>
      </w:pPr>
      <w:r>
        <w:t>The Column Handling dialog is fully machine-readable – around 700 elements, read in under a second. Command buttons have stable identifiers.</w:t>
      </w:r>
    </w:p>
    <w:p>
      <w:pPr>
        <w:pStyle w:val="ListBullet"/>
      </w:pPr>
      <w:r>
        <w:t>A safe interaction method was identified and verified. The obvious standard method silently paralyses UNICORN’s accessibility layer (reads went from 127 ms to over 65 seconds) with no visible symptom to a user. We found it, understood it, and built a health check that detects it in under half a second.</w:t>
      </w:r>
    </w:p>
    <w:p>
      <w:pPr>
        <w:pStyle w:val="ListBullet"/>
      </w:pPr>
      <w:r>
        <w:t>The export/import file format has been decoded in full, including both integrity checksums. Our generated files match UNICORN’s byte for byte, and a single file can carry many column types.</w:t>
      </w:r>
    </w:p>
    <w:p>
      <w:pPr>
        <w:pStyle w:val="ListBullet"/>
      </w:pPr>
      <w:r>
        <w:t>Duplicate prevention is straightforward – the 555-entry column list is readable and searchable.</w:t>
      </w:r>
    </w:p>
    <w:p>
      <w:pPr>
        <w:pStyle w:val="ListBullet"/>
      </w:pPr>
      <w:r>
        <w:t>A safe test route exists – entries created with Personal scope are visible only to their creator, and can be switched to Global for production.</w:t>
      </w:r>
    </w:p>
    <w:p>
      <w:pPr>
        <w:pStyle w:val="Heading1"/>
      </w:pPr>
      <w:r>
        <w:t>5. What we are asking for</w:t>
      </w:r>
    </w:p>
    <w:p>
      <w:pPr>
        <w:pStyle w:val="ListNumber"/>
      </w:pPr>
      <w:r>
        <w:t>Permission for one controlled test: create a single Personal-scope column type via Import on the current system. It is invisible to other users and reversible.</w:t>
      </w:r>
    </w:p>
    <w:p>
      <w:pPr>
        <w:pStyle w:val="ListNumber"/>
      </w:pPr>
      <w:r>
        <w:t>A decision on the route once that test is done.</w:t>
      </w:r>
    </w:p>
    <w:p>
      <w:pPr>
        <w:pStyle w:val="ListNumber"/>
      </w:pPr>
      <w:r>
        <w:t>A test or QA UNICORN instance for anything beyond that single test.</w:t>
      </w:r>
    </w:p>
    <w:p>
      <w:pPr>
        <w:pStyle w:val="ListNumber"/>
      </w:pPr>
      <w:r>
        <w:t>Confirmation of the value source for Technique, pressures and flow rates. We agree a maintained lookup per resin and hardware is the right model; tying these to the resin library result table would fit well.</w:t>
      </w:r>
    </w:p>
    <w:p>
      <w:pPr>
        <w:pStyle w:val="Heading1"/>
      </w:pPr>
      <w:r>
        <w:t>6. Recommendation</w:t>
      </w:r>
    </w:p>
    <w:p>
      <w:r>
        <w:rPr>
          <w:b w:val="0"/>
          <w:i w:val="0"/>
        </w:rPr>
        <w:t>Run the Import test before deciding. It takes a few hours and it determines which conversation we are having. If Import works, the approach becomes “generate a file and import it”, and most of the fragility behind the original concern goes away. If it is rejected, the choice is genuinely between form-filling automation and waiting for Cytiva – and waiting would then have real merit.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