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E556" w14:textId="3367669F" w:rsidR="00F35389" w:rsidRDefault="00106552" w:rsidP="00106552">
      <w:pPr>
        <w:spacing w:after="0"/>
      </w:pPr>
      <w:r>
        <w:t>Device Lifecycle and Warranty Management SOP</w:t>
      </w:r>
    </w:p>
    <w:p w14:paraId="0C0B583E" w14:textId="51394577" w:rsidR="00106552" w:rsidRDefault="00106552" w:rsidP="00106552">
      <w:pPr>
        <w:spacing w:after="0"/>
      </w:pPr>
    </w:p>
    <w:p w14:paraId="0EA3C6DB" w14:textId="669E83DA" w:rsidR="00106552" w:rsidRDefault="00106552" w:rsidP="00106552">
      <w:pPr>
        <w:spacing w:after="0"/>
      </w:pPr>
      <w:r>
        <w:t>Purpose</w:t>
      </w:r>
    </w:p>
    <w:p w14:paraId="12B5149E" w14:textId="77777777" w:rsidR="00106552" w:rsidRDefault="00106552" w:rsidP="00106552">
      <w:pPr>
        <w:spacing w:after="0"/>
      </w:pPr>
    </w:p>
    <w:p w14:paraId="29E6736D" w14:textId="111AADD9" w:rsidR="00106552" w:rsidRDefault="00106552" w:rsidP="00106552">
      <w:pPr>
        <w:spacing w:after="0"/>
      </w:pPr>
      <w:r>
        <w:t>To ensure all IT hardware assets are tracked, maintained, and replaced in a timely and cost-effective manner. This SOP outlines the lifecycle process for devices, from acquisition to retirement, to minimize downtime and support operational efficiency. Appli</w:t>
      </w:r>
      <w:r w:rsidR="00DD3E06">
        <w:t>es</w:t>
      </w:r>
      <w:r>
        <w:t xml:space="preserve"> to all issued laptops, desktops, tablets, monitors, printers, and peripheral IT equipment.</w:t>
      </w:r>
    </w:p>
    <w:p w14:paraId="71EB47AD" w14:textId="77777777" w:rsidR="00106552" w:rsidRDefault="00106552" w:rsidP="00106552">
      <w:pPr>
        <w:spacing w:after="0"/>
      </w:pPr>
    </w:p>
    <w:p w14:paraId="59874A82" w14:textId="66749E53" w:rsidR="00106552" w:rsidRDefault="00106552" w:rsidP="00106552">
      <w:pPr>
        <w:pStyle w:val="ListParagraph"/>
        <w:numPr>
          <w:ilvl w:val="0"/>
          <w:numId w:val="1"/>
        </w:numPr>
        <w:spacing w:after="0"/>
      </w:pPr>
      <w:r>
        <w:t>Device Lifecycle Stages</w:t>
      </w:r>
    </w:p>
    <w:p w14:paraId="21152D72" w14:textId="4C2D5946" w:rsidR="00106552" w:rsidRDefault="00106552" w:rsidP="00106552">
      <w:pPr>
        <w:pStyle w:val="ListParagraph"/>
        <w:numPr>
          <w:ilvl w:val="0"/>
          <w:numId w:val="2"/>
        </w:numPr>
        <w:spacing w:after="0"/>
      </w:pPr>
      <w:r>
        <w:t>Procurement and Inventory Entry</w:t>
      </w:r>
    </w:p>
    <w:p w14:paraId="1A41AAF3" w14:textId="4EC1FD18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Devices are purchased through approved vendors with standard warranties.</w:t>
      </w:r>
    </w:p>
    <w:p w14:paraId="3381DEB7" w14:textId="02F9627D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 xml:space="preserve">Record device details in </w:t>
      </w:r>
      <w:r w:rsidR="00DD3E06">
        <w:t>inventory tracking system</w:t>
      </w:r>
      <w:r>
        <w:t>, tag each device with a unique asset tag, and store a digital copy of the purchase inventory and warranty certificate in a central, access-controlled location.</w:t>
      </w:r>
    </w:p>
    <w:p w14:paraId="188265DC" w14:textId="1E9853E3" w:rsidR="00106552" w:rsidRDefault="00106552" w:rsidP="00106552">
      <w:pPr>
        <w:pStyle w:val="ListParagraph"/>
        <w:numPr>
          <w:ilvl w:val="0"/>
          <w:numId w:val="2"/>
        </w:numPr>
        <w:spacing w:after="0"/>
      </w:pPr>
      <w:r>
        <w:t>Deployment and Active Use</w:t>
      </w:r>
    </w:p>
    <w:p w14:paraId="5421FEFA" w14:textId="38C475EE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Devices are configured and assigned per the Device Setup and Configuration SOP.</w:t>
      </w:r>
    </w:p>
    <w:p w14:paraId="16C8EE75" w14:textId="3EE6E39D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Assigned users are informed of basic care practices and warranty coverage at onboarding.</w:t>
      </w:r>
    </w:p>
    <w:p w14:paraId="0E614D67" w14:textId="6DA2AD47" w:rsidR="00106552" w:rsidRDefault="00106552" w:rsidP="00106552">
      <w:pPr>
        <w:pStyle w:val="ListParagraph"/>
        <w:numPr>
          <w:ilvl w:val="0"/>
          <w:numId w:val="2"/>
        </w:numPr>
        <w:spacing w:after="0"/>
      </w:pPr>
      <w:r>
        <w:t>Maintenance and Support</w:t>
      </w:r>
    </w:p>
    <w:p w14:paraId="60DD1CF3" w14:textId="75AA91B6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Routine maintenance checks every six months. Log all repairs, updates, or incidents in internal ticketing system. Use InvGate to track hardware health and usage.</w:t>
      </w:r>
    </w:p>
    <w:p w14:paraId="11C9D1F7" w14:textId="53D927BF" w:rsidR="00106552" w:rsidRDefault="00106552" w:rsidP="00106552">
      <w:pPr>
        <w:pStyle w:val="ListParagraph"/>
        <w:numPr>
          <w:ilvl w:val="0"/>
          <w:numId w:val="2"/>
        </w:numPr>
        <w:spacing w:after="0"/>
      </w:pPr>
      <w:r>
        <w:t>Warranty Tracking</w:t>
      </w:r>
    </w:p>
    <w:p w14:paraId="578AE688" w14:textId="7EB4B813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Maintain a centralized warranty tracker or system with device name, serial number, purchase and expiration date, warranty type (standard or extended), and vendor contact information.</w:t>
      </w:r>
    </w:p>
    <w:p w14:paraId="7704EA50" w14:textId="16EF9854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Automate reminders 30-60 days before warranties expire to allow time for extension or proactive replacement planning.</w:t>
      </w:r>
    </w:p>
    <w:p w14:paraId="059F5022" w14:textId="1D6E26CD" w:rsidR="00106552" w:rsidRDefault="00106552" w:rsidP="00106552">
      <w:pPr>
        <w:pStyle w:val="ListParagraph"/>
        <w:numPr>
          <w:ilvl w:val="0"/>
          <w:numId w:val="2"/>
        </w:numPr>
        <w:spacing w:after="0"/>
      </w:pPr>
      <w:r>
        <w:t>End-of-Life (EOL) Evaluation</w:t>
      </w:r>
    </w:p>
    <w:p w14:paraId="35C73567" w14:textId="58B7AA79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Evaluate devices for replacement</w:t>
      </w:r>
      <w:r w:rsidR="00DD3E06">
        <w:t xml:space="preserve"> every: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5"/>
        <w:gridCol w:w="3865"/>
      </w:tblGrid>
      <w:tr w:rsidR="00106552" w14:paraId="2AA0083C" w14:textId="77777777" w:rsidTr="00106552">
        <w:tc>
          <w:tcPr>
            <w:tcW w:w="3685" w:type="dxa"/>
          </w:tcPr>
          <w:p w14:paraId="28CC6FB5" w14:textId="2CC97371" w:rsidR="00106552" w:rsidRDefault="00106552" w:rsidP="00106552">
            <w:pPr>
              <w:pStyle w:val="ListParagraph"/>
              <w:ind w:left="0"/>
            </w:pPr>
            <w:r>
              <w:t>Laptops and tablets</w:t>
            </w:r>
          </w:p>
        </w:tc>
        <w:tc>
          <w:tcPr>
            <w:tcW w:w="3865" w:type="dxa"/>
          </w:tcPr>
          <w:p w14:paraId="45E62ED9" w14:textId="01C9EA93" w:rsidR="00106552" w:rsidRDefault="00106552" w:rsidP="00106552">
            <w:pPr>
              <w:pStyle w:val="ListParagraph"/>
              <w:ind w:left="0"/>
            </w:pPr>
            <w:r>
              <w:t>3-4 years</w:t>
            </w:r>
          </w:p>
        </w:tc>
      </w:tr>
      <w:tr w:rsidR="00106552" w14:paraId="31BC014D" w14:textId="77777777" w:rsidTr="00106552">
        <w:tc>
          <w:tcPr>
            <w:tcW w:w="3685" w:type="dxa"/>
          </w:tcPr>
          <w:p w14:paraId="5868B1A0" w14:textId="2DC92058" w:rsidR="00106552" w:rsidRDefault="00106552" w:rsidP="00106552">
            <w:pPr>
              <w:pStyle w:val="ListParagraph"/>
              <w:ind w:left="0"/>
            </w:pPr>
            <w:r>
              <w:t>Desktops and monitors</w:t>
            </w:r>
          </w:p>
        </w:tc>
        <w:tc>
          <w:tcPr>
            <w:tcW w:w="3865" w:type="dxa"/>
          </w:tcPr>
          <w:p w14:paraId="43731A12" w14:textId="0941A0D0" w:rsidR="00106552" w:rsidRDefault="00106552" w:rsidP="00106552">
            <w:pPr>
              <w:pStyle w:val="ListParagraph"/>
              <w:ind w:left="0"/>
            </w:pPr>
            <w:r>
              <w:t>5 years</w:t>
            </w:r>
          </w:p>
        </w:tc>
      </w:tr>
      <w:tr w:rsidR="00106552" w14:paraId="64283367" w14:textId="77777777" w:rsidTr="00106552">
        <w:tc>
          <w:tcPr>
            <w:tcW w:w="3685" w:type="dxa"/>
          </w:tcPr>
          <w:p w14:paraId="148ABBDF" w14:textId="01FA209B" w:rsidR="00106552" w:rsidRDefault="00106552" w:rsidP="00106552">
            <w:pPr>
              <w:pStyle w:val="ListParagraph"/>
              <w:ind w:left="0"/>
            </w:pPr>
            <w:r>
              <w:t>High-use mobile or field equipment</w:t>
            </w:r>
          </w:p>
        </w:tc>
        <w:tc>
          <w:tcPr>
            <w:tcW w:w="3865" w:type="dxa"/>
          </w:tcPr>
          <w:p w14:paraId="295605C6" w14:textId="2DCD1175" w:rsidR="00106552" w:rsidRDefault="00106552" w:rsidP="00106552">
            <w:pPr>
              <w:pStyle w:val="ListParagraph"/>
              <w:ind w:left="0"/>
            </w:pPr>
            <w:r>
              <w:t>2-3 years</w:t>
            </w:r>
          </w:p>
        </w:tc>
      </w:tr>
    </w:tbl>
    <w:p w14:paraId="34789D5C" w14:textId="7AD903E8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Criteria for replacement include out of warranty, performance degradation, incompatibility with required software or security policies, or frequent support incidents.</w:t>
      </w:r>
    </w:p>
    <w:p w14:paraId="798288EE" w14:textId="6E033C60" w:rsidR="00106552" w:rsidRDefault="00106552" w:rsidP="00106552">
      <w:pPr>
        <w:pStyle w:val="ListParagraph"/>
        <w:numPr>
          <w:ilvl w:val="0"/>
          <w:numId w:val="2"/>
        </w:numPr>
        <w:spacing w:after="0"/>
      </w:pPr>
      <w:r>
        <w:lastRenderedPageBreak/>
        <w:t>Decommissioning</w:t>
      </w:r>
    </w:p>
    <w:p w14:paraId="0C90A3C2" w14:textId="40494F91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Wipe all data securely using certified tools.</w:t>
      </w:r>
    </w:p>
    <w:p w14:paraId="21D82CA5" w14:textId="02F7B34A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Remove device from InvGate.</w:t>
      </w:r>
    </w:p>
    <w:p w14:paraId="3B5D8819" w14:textId="1E8B4346" w:rsidR="00106552" w:rsidRDefault="00106552" w:rsidP="00106552">
      <w:pPr>
        <w:pStyle w:val="ListParagraph"/>
        <w:numPr>
          <w:ilvl w:val="0"/>
          <w:numId w:val="3"/>
        </w:numPr>
        <w:spacing w:after="0"/>
      </w:pPr>
      <w:r>
        <w:t>Update asset inventory to reflect decommissioned status.</w:t>
      </w:r>
    </w:p>
    <w:p w14:paraId="1425B190" w14:textId="3501A1B7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Dispose of the device via a certified e-waste recycler or donation partner. Record disposal method, date, and confirmation in asset logs.</w:t>
      </w:r>
    </w:p>
    <w:p w14:paraId="617732A9" w14:textId="7908E08D" w:rsidR="00DD3E06" w:rsidRDefault="00DD3E06" w:rsidP="00DD3E06">
      <w:pPr>
        <w:pStyle w:val="ListParagraph"/>
        <w:numPr>
          <w:ilvl w:val="0"/>
          <w:numId w:val="1"/>
        </w:numPr>
        <w:spacing w:after="0"/>
      </w:pPr>
      <w:r>
        <w:t>Reporting and Review</w:t>
      </w:r>
    </w:p>
    <w:p w14:paraId="3A9EDCEB" w14:textId="5B4D99E6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Generate quarterly reports summarizing devices nearing warranty expiration, assets over EOL threshold, and frequent repair devices for root cause analysis.</w:t>
      </w:r>
    </w:p>
    <w:p w14:paraId="45B74DC8" w14:textId="41493085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Conduct annual review of lifecycle policies and update based on vendor performance, organizational needs, and security and compliance changes.</w:t>
      </w:r>
    </w:p>
    <w:p w14:paraId="6D81147D" w14:textId="2C7E38F3" w:rsidR="00DD3E06" w:rsidRDefault="00DD3E06" w:rsidP="00DD3E06">
      <w:pPr>
        <w:pStyle w:val="ListParagraph"/>
        <w:numPr>
          <w:ilvl w:val="0"/>
          <w:numId w:val="1"/>
        </w:numPr>
        <w:spacing w:after="0"/>
      </w:pPr>
      <w:r>
        <w:t>Best Practices</w:t>
      </w:r>
    </w:p>
    <w:p w14:paraId="2E95C9B5" w14:textId="35086649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Standardize vendors and models to streamline support and replacements.</w:t>
      </w:r>
    </w:p>
    <w:p w14:paraId="6984AB68" w14:textId="4F924FD8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Use lifecycle planning tools.</w:t>
      </w:r>
    </w:p>
    <w:p w14:paraId="20A16085" w14:textId="78742176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Encourage users to report performance issues early to avoid critical downtime.</w:t>
      </w:r>
    </w:p>
    <w:p w14:paraId="6FF3D4B7" w14:textId="3C96742C" w:rsidR="00DD3E06" w:rsidRDefault="00DD3E06" w:rsidP="00DD3E06">
      <w:pPr>
        <w:pStyle w:val="ListParagraph"/>
        <w:numPr>
          <w:ilvl w:val="0"/>
          <w:numId w:val="3"/>
        </w:numPr>
        <w:spacing w:after="0"/>
      </w:pPr>
      <w:r>
        <w:t>Budget for 10-15% annual hardware refresh rate based on device population.</w:t>
      </w:r>
    </w:p>
    <w:p w14:paraId="02FB1995" w14:textId="77777777" w:rsidR="00DD3E06" w:rsidRDefault="00DD3E06" w:rsidP="00DD3E06">
      <w:pPr>
        <w:spacing w:after="0"/>
      </w:pPr>
    </w:p>
    <w:p w14:paraId="459B4575" w14:textId="6BCA8F3F" w:rsidR="00DD3E06" w:rsidRDefault="00DD3E06" w:rsidP="00DD3E06">
      <w:pPr>
        <w:spacing w:after="0"/>
      </w:pPr>
      <w:r>
        <w:t>This SOP should be reviewed at least annually.</w:t>
      </w:r>
    </w:p>
    <w:sectPr w:rsidR="00DD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23F0"/>
    <w:multiLevelType w:val="hybridMultilevel"/>
    <w:tmpl w:val="50DEC732"/>
    <w:lvl w:ilvl="0" w:tplc="40F670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2FC0"/>
    <w:multiLevelType w:val="hybridMultilevel"/>
    <w:tmpl w:val="E97E2AAA"/>
    <w:lvl w:ilvl="0" w:tplc="AAF87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D05778"/>
    <w:multiLevelType w:val="hybridMultilevel"/>
    <w:tmpl w:val="2FEE13DE"/>
    <w:lvl w:ilvl="0" w:tplc="5F220F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82867912">
    <w:abstractNumId w:val="0"/>
  </w:num>
  <w:num w:numId="2" w16cid:durableId="1229684576">
    <w:abstractNumId w:val="1"/>
  </w:num>
  <w:num w:numId="3" w16cid:durableId="88900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52"/>
    <w:rsid w:val="000228E3"/>
    <w:rsid w:val="00106552"/>
    <w:rsid w:val="002F1814"/>
    <w:rsid w:val="0036736E"/>
    <w:rsid w:val="00665303"/>
    <w:rsid w:val="006D7255"/>
    <w:rsid w:val="00754336"/>
    <w:rsid w:val="00851014"/>
    <w:rsid w:val="008F0360"/>
    <w:rsid w:val="00A83452"/>
    <w:rsid w:val="00AF26B4"/>
    <w:rsid w:val="00DD3E06"/>
    <w:rsid w:val="00F35389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6038A"/>
  <w15:chartTrackingRefBased/>
  <w15:docId w15:val="{E8BE3F2F-359C-A144-AE29-8C93672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Hussin, Sara</dc:creator>
  <cp:keywords/>
  <dc:description/>
  <cp:lastModifiedBy>Sara Hussin</cp:lastModifiedBy>
  <cp:revision>2</cp:revision>
  <dcterms:created xsi:type="dcterms:W3CDTF">2025-06-17T23:05:00Z</dcterms:created>
  <dcterms:modified xsi:type="dcterms:W3CDTF">2025-08-30T18:38:00Z</dcterms:modified>
</cp:coreProperties>
</file>