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01224" w14:textId="10B22436" w:rsidR="00F35389" w:rsidRDefault="00FD3691" w:rsidP="00DD6B77">
      <w:pPr>
        <w:spacing w:after="0"/>
      </w:pPr>
      <w:r>
        <w:t xml:space="preserve">SOP </w:t>
      </w:r>
      <w:r w:rsidR="00DD6B77">
        <w:t>Single Sign-On (SSO) Implementation through Microsoft Entra ID</w:t>
      </w:r>
    </w:p>
    <w:p w14:paraId="31B290F9" w14:textId="77777777" w:rsidR="00DD6B77" w:rsidRDefault="00DD6B77" w:rsidP="00DD6B77">
      <w:pPr>
        <w:spacing w:after="0"/>
      </w:pPr>
    </w:p>
    <w:p w14:paraId="66C992F9" w14:textId="5E184A40" w:rsidR="00DD6B77" w:rsidRDefault="00DD6B77" w:rsidP="00DD6B77">
      <w:pPr>
        <w:spacing w:after="0"/>
      </w:pPr>
      <w:r>
        <w:t>Purpose</w:t>
      </w:r>
    </w:p>
    <w:p w14:paraId="4CBCEA82" w14:textId="77777777" w:rsidR="00DD6B77" w:rsidRDefault="00DD6B77" w:rsidP="00DD6B77">
      <w:pPr>
        <w:spacing w:after="0"/>
      </w:pPr>
    </w:p>
    <w:p w14:paraId="14B813DD" w14:textId="56494047" w:rsidR="00DD6B77" w:rsidRDefault="00DD6B77" w:rsidP="00DD6B77">
      <w:pPr>
        <w:spacing w:after="0"/>
      </w:pPr>
      <w:r>
        <w:t>To define a standardized procedure for ensuring Single Sign-On (SSO) is enforced across all users via Microsoft Entra ID, and to provide a step-by-step process for integrating additional third-party applications into the organization’s SSO environment. Applies to all employees, interns, contractors, and approved partners using Microsoft 365 and any integrated third-party applications. IT personnel are responsible for setup, validation, and support of SSO configurations.</w:t>
      </w:r>
    </w:p>
    <w:p w14:paraId="78F4DBFA" w14:textId="77777777" w:rsidR="00DD6B77" w:rsidRDefault="00DD6B77" w:rsidP="00DD6B77">
      <w:pPr>
        <w:spacing w:after="0"/>
      </w:pPr>
    </w:p>
    <w:p w14:paraId="005D65EB" w14:textId="3FB50F13" w:rsidR="00DD6B77" w:rsidRDefault="00DD6B77" w:rsidP="00DD6B77">
      <w:pPr>
        <w:pStyle w:val="ListParagraph"/>
        <w:numPr>
          <w:ilvl w:val="0"/>
          <w:numId w:val="1"/>
        </w:numPr>
        <w:spacing w:after="0"/>
      </w:pPr>
      <w:r>
        <w:t xml:space="preserve">About </w:t>
      </w:r>
      <w:r w:rsidR="00F86596">
        <w:t>Single Sign-On (SSO)</w:t>
      </w:r>
    </w:p>
    <w:p w14:paraId="143B86F0" w14:textId="3D1826F9" w:rsidR="00DD6B77" w:rsidRDefault="00DD6B77" w:rsidP="00DD6B77">
      <w:pPr>
        <w:pStyle w:val="ListParagraph"/>
        <w:numPr>
          <w:ilvl w:val="0"/>
          <w:numId w:val="3"/>
        </w:numPr>
        <w:spacing w:after="0"/>
      </w:pPr>
      <w:r>
        <w:t>SSO is an authentication process that allows users to access multiple applications or services with a single set of login credentials (usually their organization email and password). Instead of logging in separately to Outlook, SharePoint, InvGate, and other tools, users authenticate once</w:t>
      </w:r>
      <w:r w:rsidR="008E6738">
        <w:t>, and that session is trusted across connected applications.</w:t>
      </w:r>
    </w:p>
    <w:p w14:paraId="154C24E1" w14:textId="6D863BE8" w:rsidR="008E6738" w:rsidRDefault="008E6738" w:rsidP="00DD6B77">
      <w:pPr>
        <w:pStyle w:val="ListParagraph"/>
        <w:numPr>
          <w:ilvl w:val="0"/>
          <w:numId w:val="3"/>
        </w:numPr>
        <w:spacing w:after="0"/>
      </w:pPr>
      <w:r>
        <w:t>Purposes:</w:t>
      </w:r>
    </w:p>
    <w:p w14:paraId="1AEB1003" w14:textId="27ECBCDB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t>Simplify user access to multiple tools and platforms</w:t>
      </w:r>
    </w:p>
    <w:p w14:paraId="207F9241" w14:textId="57ED4BF7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t>Enhance security by centralizing authentication and enforcing strong policies</w:t>
      </w:r>
    </w:p>
    <w:p w14:paraId="153236E2" w14:textId="272AD494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t>Reduce password fatigue and minimize risky user behavior</w:t>
      </w:r>
    </w:p>
    <w:p w14:paraId="32294C38" w14:textId="6079A3FE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t>Improve IT efficiency by consolidating identity management and reducing password-related support tickets</w:t>
      </w:r>
    </w:p>
    <w:p w14:paraId="3585E2D0" w14:textId="55952A7D" w:rsidR="008E6738" w:rsidRDefault="008E6738" w:rsidP="008E6738">
      <w:pPr>
        <w:pStyle w:val="ListParagraph"/>
        <w:numPr>
          <w:ilvl w:val="0"/>
          <w:numId w:val="3"/>
        </w:numPr>
        <w:spacing w:after="0"/>
      </w:pPr>
      <w:r>
        <w:t>Benefits:</w:t>
      </w:r>
    </w:p>
    <w:p w14:paraId="5DB8B38F" w14:textId="5DB7CCBF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t>Users sign in once and gain access to all connected services</w:t>
      </w:r>
    </w:p>
    <w:p w14:paraId="1C46E0E6" w14:textId="1705A564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t>Centralized MFA enforcement, reduced password reuse, and better control over user access</w:t>
      </w:r>
    </w:p>
    <w:p w14:paraId="6AC9E11E" w14:textId="1B4A50A5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t>Fewer login prompts = increased productivity</w:t>
      </w:r>
    </w:p>
    <w:p w14:paraId="7F6EED7F" w14:textId="36ABF936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t>Users don’t forget multiple passwords, reducing helpdesk ticket volume</w:t>
      </w:r>
    </w:p>
    <w:p w14:paraId="3724F625" w14:textId="5A46C793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t>Entra ID integrated with thousands of SaaS apps</w:t>
      </w:r>
    </w:p>
    <w:p w14:paraId="4176C33F" w14:textId="6172289A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t>IT can deactivate users is one place and revoke access across all apps instantly</w:t>
      </w:r>
    </w:p>
    <w:p w14:paraId="70ABD960" w14:textId="0CC57595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t>Sign-in logs and alerts are centralized for easier tracking and reporting</w:t>
      </w:r>
    </w:p>
    <w:p w14:paraId="4DCAA40D" w14:textId="58985E73" w:rsidR="008E6738" w:rsidRDefault="008E6738" w:rsidP="008E6738">
      <w:pPr>
        <w:pStyle w:val="ListParagraph"/>
        <w:numPr>
          <w:ilvl w:val="0"/>
          <w:numId w:val="3"/>
        </w:numPr>
        <w:spacing w:after="0"/>
      </w:pPr>
      <w:r>
        <w:t>Challenges:</w:t>
      </w:r>
    </w:p>
    <w:p w14:paraId="1B68CBE0" w14:textId="59E06AC1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t>If Microsoft Entra ID is compromised or goes down, all connected services may be inaccessible</w:t>
      </w:r>
    </w:p>
    <w:p w14:paraId="0164B513" w14:textId="28BE8D6B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t>Some applications require technical configuration</w:t>
      </w:r>
    </w:p>
    <w:p w14:paraId="1BC873B9" w14:textId="43AD338A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t>If you only use Microsoft for authentication, a service disruption could impact operations</w:t>
      </w:r>
    </w:p>
    <w:p w14:paraId="017B1C33" w14:textId="35C4A548" w:rsidR="008E6738" w:rsidRDefault="008E6738" w:rsidP="008E6738">
      <w:pPr>
        <w:pStyle w:val="ListParagraph"/>
        <w:numPr>
          <w:ilvl w:val="0"/>
          <w:numId w:val="4"/>
        </w:numPr>
        <w:spacing w:after="0"/>
      </w:pPr>
      <w:r>
        <w:lastRenderedPageBreak/>
        <w:t>SSO without MFA increases risk (i.e. if one password is stolen, many systems are exposed)</w:t>
      </w:r>
    </w:p>
    <w:p w14:paraId="726EAC1F" w14:textId="37EAAC57" w:rsidR="008E6738" w:rsidRDefault="00F86596" w:rsidP="008E6738">
      <w:pPr>
        <w:pStyle w:val="ListParagraph"/>
        <w:numPr>
          <w:ilvl w:val="0"/>
          <w:numId w:val="4"/>
        </w:numPr>
        <w:spacing w:after="0"/>
      </w:pPr>
      <w:r>
        <w:t>Some third-party apps require premium licenses or advanced configuration for SSO integration</w:t>
      </w:r>
    </w:p>
    <w:p w14:paraId="31694682" w14:textId="77777777" w:rsidR="00CB1855" w:rsidRDefault="00CB1855" w:rsidP="00CB1855">
      <w:pPr>
        <w:spacing w:after="0"/>
        <w:ind w:left="1440"/>
      </w:pPr>
    </w:p>
    <w:p w14:paraId="443B6F34" w14:textId="1712D633" w:rsidR="00F86596" w:rsidRDefault="00F86596" w:rsidP="00F86596">
      <w:pPr>
        <w:pStyle w:val="ListParagraph"/>
        <w:numPr>
          <w:ilvl w:val="0"/>
          <w:numId w:val="1"/>
        </w:numPr>
        <w:spacing w:after="0"/>
      </w:pPr>
      <w:r>
        <w:t>Enforcing SSO Org-Wide Using Microsoft Entra ID</w:t>
      </w:r>
    </w:p>
    <w:p w14:paraId="26FB2E05" w14:textId="5112F4D8" w:rsidR="00F86596" w:rsidRDefault="00F86596" w:rsidP="00F86596">
      <w:pPr>
        <w:pStyle w:val="ListParagraph"/>
        <w:numPr>
          <w:ilvl w:val="0"/>
          <w:numId w:val="6"/>
        </w:numPr>
        <w:spacing w:after="0"/>
      </w:pPr>
      <w:r>
        <w:t xml:space="preserve">Navigate to </w:t>
      </w:r>
      <w:hyperlink r:id="rId5" w:history="1">
        <w:r w:rsidRPr="00F86596">
          <w:rPr>
            <w:rStyle w:val="Hyperlink"/>
          </w:rPr>
          <w:t>https://entra.microsoft.com</w:t>
        </w:r>
      </w:hyperlink>
      <w:r>
        <w:t xml:space="preserve"> and verify that Microsoft Entra ID is in use and that all organizational users exist under </w:t>
      </w:r>
      <w:r w:rsidRPr="00F86596">
        <w:rPr>
          <w:b/>
          <w:bCs/>
        </w:rPr>
        <w:t>Users &gt; All Users</w:t>
      </w:r>
      <w:r>
        <w:t>.</w:t>
      </w:r>
    </w:p>
    <w:p w14:paraId="655802C0" w14:textId="1000D7F2" w:rsidR="00F86596" w:rsidRDefault="00F86596" w:rsidP="00F86596">
      <w:pPr>
        <w:pStyle w:val="ListParagraph"/>
        <w:numPr>
          <w:ilvl w:val="0"/>
          <w:numId w:val="6"/>
        </w:numPr>
        <w:spacing w:after="0"/>
      </w:pPr>
      <w:r>
        <w:t>Confirm that the default sign-in method is set to Microsoft Entra ID-based login for Microsoft 365 Suite, admin portals, and Endpoint Management tools.</w:t>
      </w:r>
    </w:p>
    <w:p w14:paraId="5AA56478" w14:textId="7AFC605A" w:rsidR="00F86596" w:rsidRDefault="00F86596" w:rsidP="00F86596">
      <w:pPr>
        <w:pStyle w:val="ListParagraph"/>
        <w:numPr>
          <w:ilvl w:val="0"/>
          <w:numId w:val="6"/>
        </w:numPr>
        <w:spacing w:after="0"/>
      </w:pPr>
      <w:r>
        <w:t xml:space="preserve">Go to </w:t>
      </w:r>
      <w:r w:rsidRPr="00F86596">
        <w:rPr>
          <w:b/>
          <w:bCs/>
        </w:rPr>
        <w:t>Microsoft Entra Admin Center &gt; Protection &gt; Multifactor Authentication</w:t>
      </w:r>
      <w:r>
        <w:t xml:space="preserve"> and ensure all user accounts are enforced or enabled.</w:t>
      </w:r>
    </w:p>
    <w:p w14:paraId="63D6658A" w14:textId="37FD9DE4" w:rsidR="00F86596" w:rsidRDefault="00F86596" w:rsidP="00F86596">
      <w:pPr>
        <w:pStyle w:val="ListParagraph"/>
        <w:numPr>
          <w:ilvl w:val="1"/>
          <w:numId w:val="6"/>
        </w:numPr>
        <w:spacing w:after="0"/>
      </w:pPr>
      <w:r>
        <w:t>Verify that Microsoft Authenticator is registered and set as the default second factor.</w:t>
      </w:r>
    </w:p>
    <w:p w14:paraId="48AEAF64" w14:textId="709C41B3" w:rsidR="00F86596" w:rsidRDefault="00F86596" w:rsidP="00F86596">
      <w:pPr>
        <w:pStyle w:val="ListParagraph"/>
        <w:numPr>
          <w:ilvl w:val="0"/>
          <w:numId w:val="6"/>
        </w:numPr>
        <w:spacing w:after="0"/>
      </w:pPr>
      <w:r>
        <w:t xml:space="preserve">Navigate to </w:t>
      </w:r>
      <w:r w:rsidRPr="00F86596">
        <w:rPr>
          <w:b/>
          <w:bCs/>
        </w:rPr>
        <w:t>Protection &gt; Conditional Access</w:t>
      </w:r>
      <w:r>
        <w:t xml:space="preserve"> and create or review existing policy “Require MFA and SSO for all users”:</w:t>
      </w:r>
    </w:p>
    <w:p w14:paraId="149CC618" w14:textId="77777777" w:rsidR="00F86596" w:rsidRPr="00F86596" w:rsidRDefault="00F86596" w:rsidP="00F86596">
      <w:pPr>
        <w:pStyle w:val="ListParagraph"/>
        <w:numPr>
          <w:ilvl w:val="1"/>
          <w:numId w:val="6"/>
        </w:numPr>
        <w:spacing w:after="0"/>
      </w:pPr>
      <w:r>
        <w:t xml:space="preserve">Target: </w:t>
      </w:r>
      <w:r w:rsidRPr="00F86596">
        <w:rPr>
          <w:b/>
          <w:bCs/>
        </w:rPr>
        <w:t>All Users</w:t>
      </w:r>
    </w:p>
    <w:p w14:paraId="74286730" w14:textId="77777777" w:rsidR="00F86596" w:rsidRPr="00F86596" w:rsidRDefault="00F86596" w:rsidP="00F86596">
      <w:pPr>
        <w:pStyle w:val="ListParagraph"/>
        <w:numPr>
          <w:ilvl w:val="1"/>
          <w:numId w:val="6"/>
        </w:numPr>
        <w:spacing w:after="0"/>
      </w:pPr>
      <w:r>
        <w:t xml:space="preserve">Cloud apps: </w:t>
      </w:r>
      <w:r w:rsidRPr="00F86596">
        <w:rPr>
          <w:b/>
          <w:bCs/>
        </w:rPr>
        <w:t>All Cloud Apps</w:t>
      </w:r>
    </w:p>
    <w:p w14:paraId="6FFF4181" w14:textId="77777777" w:rsidR="00F86596" w:rsidRDefault="00F86596" w:rsidP="00F86596">
      <w:pPr>
        <w:pStyle w:val="ListParagraph"/>
        <w:numPr>
          <w:ilvl w:val="1"/>
          <w:numId w:val="6"/>
        </w:numPr>
        <w:spacing w:after="0"/>
      </w:pPr>
      <w:r>
        <w:t xml:space="preserve">Grant Controls: </w:t>
      </w:r>
      <w:r w:rsidRPr="00F86596">
        <w:rPr>
          <w:b/>
          <w:bCs/>
        </w:rPr>
        <w:t>Require MFA</w:t>
      </w:r>
      <w:r>
        <w:t xml:space="preserve"> and </w:t>
      </w:r>
      <w:r w:rsidRPr="00F86596">
        <w:rPr>
          <w:b/>
          <w:bCs/>
        </w:rPr>
        <w:t>Require device to be marked as compliant</w:t>
      </w:r>
      <w:r>
        <w:t xml:space="preserve"> (optional)</w:t>
      </w:r>
    </w:p>
    <w:p w14:paraId="105492CD" w14:textId="5A865F34" w:rsidR="00F86596" w:rsidRDefault="00F86596" w:rsidP="00F86596">
      <w:pPr>
        <w:pStyle w:val="ListParagraph"/>
        <w:numPr>
          <w:ilvl w:val="1"/>
          <w:numId w:val="6"/>
        </w:numPr>
        <w:spacing w:after="0"/>
      </w:pPr>
      <w:r>
        <w:t xml:space="preserve">Set policy to </w:t>
      </w:r>
      <w:r w:rsidRPr="00F86596">
        <w:rPr>
          <w:b/>
          <w:bCs/>
        </w:rPr>
        <w:t>Report-Only</w:t>
      </w:r>
      <w:r>
        <w:t>, then enable</w:t>
      </w:r>
    </w:p>
    <w:p w14:paraId="1D04C0A1" w14:textId="30821445" w:rsidR="00F86596" w:rsidRDefault="00F86596" w:rsidP="00F86596">
      <w:pPr>
        <w:pStyle w:val="ListParagraph"/>
        <w:numPr>
          <w:ilvl w:val="0"/>
          <w:numId w:val="6"/>
        </w:numPr>
        <w:spacing w:after="0"/>
      </w:pPr>
      <w:r>
        <w:t xml:space="preserve">Under </w:t>
      </w:r>
      <w:r w:rsidRPr="00CB1855">
        <w:rPr>
          <w:b/>
          <w:bCs/>
        </w:rPr>
        <w:t>Security &gt; Conditional Access &gt; Policies</w:t>
      </w:r>
      <w:r>
        <w:t>, create or review existing policy “Block legacy authentication”:</w:t>
      </w:r>
    </w:p>
    <w:p w14:paraId="6A917DD9" w14:textId="77777777" w:rsidR="00F86596" w:rsidRDefault="00F86596" w:rsidP="00F86596">
      <w:pPr>
        <w:pStyle w:val="ListParagraph"/>
        <w:numPr>
          <w:ilvl w:val="1"/>
          <w:numId w:val="6"/>
        </w:numPr>
        <w:spacing w:after="0"/>
      </w:pPr>
      <w:r>
        <w:t xml:space="preserve">Assign to </w:t>
      </w:r>
      <w:r w:rsidRPr="00CB1855">
        <w:rPr>
          <w:b/>
          <w:bCs/>
        </w:rPr>
        <w:t>All Users</w:t>
      </w:r>
    </w:p>
    <w:p w14:paraId="3F003B6B" w14:textId="77777777" w:rsidR="00F86596" w:rsidRDefault="00F86596" w:rsidP="00F86596">
      <w:pPr>
        <w:pStyle w:val="ListParagraph"/>
        <w:numPr>
          <w:ilvl w:val="1"/>
          <w:numId w:val="6"/>
        </w:numPr>
        <w:spacing w:after="0"/>
      </w:pPr>
      <w:r>
        <w:t xml:space="preserve">Target: </w:t>
      </w:r>
      <w:r w:rsidRPr="00CB1855">
        <w:rPr>
          <w:b/>
          <w:bCs/>
        </w:rPr>
        <w:t>Client apps &gt; Other clients</w:t>
      </w:r>
    </w:p>
    <w:p w14:paraId="3BA9D3C1" w14:textId="77777777" w:rsidR="00F86596" w:rsidRDefault="00F86596" w:rsidP="00F86596">
      <w:pPr>
        <w:pStyle w:val="ListParagraph"/>
        <w:numPr>
          <w:ilvl w:val="1"/>
          <w:numId w:val="6"/>
        </w:numPr>
        <w:spacing w:after="0"/>
      </w:pPr>
      <w:r>
        <w:t xml:space="preserve">Grant: </w:t>
      </w:r>
      <w:r w:rsidRPr="00CB1855">
        <w:rPr>
          <w:b/>
          <w:bCs/>
        </w:rPr>
        <w:t>Block Access</w:t>
      </w:r>
    </w:p>
    <w:p w14:paraId="0C8371C2" w14:textId="525901E0" w:rsidR="00F86596" w:rsidRDefault="00F86596" w:rsidP="00F86596">
      <w:pPr>
        <w:pStyle w:val="ListParagraph"/>
        <w:numPr>
          <w:ilvl w:val="1"/>
          <w:numId w:val="6"/>
        </w:numPr>
        <w:spacing w:after="0"/>
      </w:pPr>
      <w:r>
        <w:t>Enable policy</w:t>
      </w:r>
    </w:p>
    <w:p w14:paraId="78CAFFC3" w14:textId="6E951A83" w:rsidR="00CB1855" w:rsidRDefault="00CB1855" w:rsidP="00CB1855">
      <w:pPr>
        <w:pStyle w:val="ListParagraph"/>
        <w:numPr>
          <w:ilvl w:val="0"/>
          <w:numId w:val="6"/>
        </w:numPr>
        <w:spacing w:after="0"/>
      </w:pPr>
      <w:r>
        <w:t xml:space="preserve">Have a user sign into </w:t>
      </w:r>
      <w:hyperlink r:id="rId6" w:history="1">
        <w:r w:rsidRPr="00CB1855">
          <w:rPr>
            <w:rStyle w:val="Hyperlink"/>
          </w:rPr>
          <w:t>https://myapps.microsoft.com</w:t>
        </w:r>
      </w:hyperlink>
      <w:r>
        <w:t xml:space="preserve"> and confirm MFA prompt and seamless access to Microsoft 365 services.</w:t>
      </w:r>
    </w:p>
    <w:p w14:paraId="1874A3D9" w14:textId="5A44EBDC" w:rsidR="00CB1855" w:rsidRDefault="00CB1855" w:rsidP="00CB1855">
      <w:pPr>
        <w:pStyle w:val="ListParagraph"/>
        <w:numPr>
          <w:ilvl w:val="1"/>
          <w:numId w:val="6"/>
        </w:numPr>
        <w:spacing w:after="0"/>
      </w:pPr>
      <w:r>
        <w:t xml:space="preserve">Confirm sign-in activity under </w:t>
      </w:r>
      <w:r w:rsidRPr="00CB1855">
        <w:rPr>
          <w:b/>
          <w:bCs/>
        </w:rPr>
        <w:t>Microsoft Entra &gt; Monitoring &gt; Sign-in Logs</w:t>
      </w:r>
      <w:r w:rsidRPr="00CB1855">
        <w:t>.</w:t>
      </w:r>
    </w:p>
    <w:p w14:paraId="62B7A93D" w14:textId="6EE62E3A" w:rsidR="00CB1855" w:rsidRDefault="00CB1855" w:rsidP="00CB1855">
      <w:pPr>
        <w:pStyle w:val="ListParagraph"/>
        <w:numPr>
          <w:ilvl w:val="0"/>
          <w:numId w:val="6"/>
        </w:numPr>
        <w:spacing w:after="0"/>
      </w:pPr>
      <w:r>
        <w:t xml:space="preserve">At this point, SSO is enforced across all users within </w:t>
      </w:r>
      <w:r w:rsidR="00285439">
        <w:t>the organization</w:t>
      </w:r>
      <w:r>
        <w:t>.</w:t>
      </w:r>
    </w:p>
    <w:p w14:paraId="7F5F677D" w14:textId="6D2A5066" w:rsidR="00CB1855" w:rsidRDefault="00CB1855" w:rsidP="00CB1855">
      <w:pPr>
        <w:spacing w:after="0"/>
      </w:pPr>
    </w:p>
    <w:p w14:paraId="46B915F9" w14:textId="75630B84" w:rsidR="00CB1855" w:rsidRDefault="00CB1855" w:rsidP="00CB1855">
      <w:pPr>
        <w:pStyle w:val="ListParagraph"/>
        <w:numPr>
          <w:ilvl w:val="0"/>
          <w:numId w:val="1"/>
        </w:numPr>
        <w:spacing w:after="0"/>
      </w:pPr>
      <w:r>
        <w:t>Integrating a New Application into Microsoft SSO</w:t>
      </w:r>
    </w:p>
    <w:p w14:paraId="52269FEF" w14:textId="48576DF2" w:rsidR="00CB1855" w:rsidRDefault="00CB1855" w:rsidP="00CB1855">
      <w:pPr>
        <w:pStyle w:val="ListParagraph"/>
        <w:numPr>
          <w:ilvl w:val="0"/>
          <w:numId w:val="7"/>
        </w:numPr>
        <w:spacing w:after="0"/>
      </w:pPr>
      <w:r>
        <w:t xml:space="preserve">Go to </w:t>
      </w:r>
      <w:r w:rsidRPr="00CB1855">
        <w:rPr>
          <w:b/>
          <w:bCs/>
        </w:rPr>
        <w:t>Microsoft Entra</w:t>
      </w:r>
      <w:r w:rsidR="00AC1694">
        <w:rPr>
          <w:b/>
          <w:bCs/>
        </w:rPr>
        <w:t xml:space="preserve"> admin center &gt; Identity &gt; Applications</w:t>
      </w:r>
      <w:r w:rsidRPr="00CB1855">
        <w:rPr>
          <w:b/>
          <w:bCs/>
        </w:rPr>
        <w:t xml:space="preserve"> &gt; Enterprise Application &gt; + New Application</w:t>
      </w:r>
      <w:r>
        <w:t xml:space="preserve"> and select the app from the app gallery OR create a non-gallery application if custom SAML is required.</w:t>
      </w:r>
    </w:p>
    <w:p w14:paraId="620F4AF0" w14:textId="7FEEFD14" w:rsidR="00CB1855" w:rsidRDefault="00CB1855" w:rsidP="00CB1855">
      <w:pPr>
        <w:pStyle w:val="ListParagraph"/>
        <w:numPr>
          <w:ilvl w:val="0"/>
          <w:numId w:val="7"/>
        </w:numPr>
        <w:spacing w:after="0"/>
      </w:pPr>
      <w:r>
        <w:t>Navigate to the app &gt; Single Sign-On/SSO tab:</w:t>
      </w:r>
    </w:p>
    <w:p w14:paraId="73FFCEE4" w14:textId="13A29DDF" w:rsidR="00CB1855" w:rsidRDefault="00CB1855" w:rsidP="00CB1855">
      <w:pPr>
        <w:pStyle w:val="ListParagraph"/>
        <w:numPr>
          <w:ilvl w:val="1"/>
          <w:numId w:val="7"/>
        </w:numPr>
        <w:spacing w:after="0"/>
      </w:pPr>
      <w:r>
        <w:lastRenderedPageBreak/>
        <w:t>Choose SAML (recommended)</w:t>
      </w:r>
    </w:p>
    <w:p w14:paraId="458A9A60" w14:textId="0AF869B2" w:rsidR="008E6738" w:rsidRDefault="00C31FDB" w:rsidP="00CB1855">
      <w:pPr>
        <w:pStyle w:val="ListParagraph"/>
        <w:numPr>
          <w:ilvl w:val="1"/>
          <w:numId w:val="7"/>
        </w:numPr>
        <w:spacing w:after="0"/>
      </w:pPr>
      <w:r>
        <w:t>Manually</w:t>
      </w:r>
      <w:r w:rsidR="00CB1855">
        <w:t xml:space="preserve"> configure Entity ID, Reply URL, and Sign-on URL</w:t>
      </w:r>
      <w:r>
        <w:t xml:space="preserve"> between Microsoft Entra and the app OR </w:t>
      </w:r>
    </w:p>
    <w:p w14:paraId="79B2CC12" w14:textId="1D2E85B0" w:rsidR="00CB1855" w:rsidRDefault="00CB1855" w:rsidP="00CB1855">
      <w:pPr>
        <w:pStyle w:val="ListParagraph"/>
        <w:numPr>
          <w:ilvl w:val="1"/>
          <w:numId w:val="7"/>
        </w:numPr>
        <w:spacing w:after="0"/>
      </w:pPr>
      <w:r>
        <w:t>Download Microsoft Federation Metadata XML</w:t>
      </w:r>
      <w:r w:rsidR="00C31FDB">
        <w:t xml:space="preserve"> and provide to the app administrator or upload on the app’s configuration screen.</w:t>
      </w:r>
    </w:p>
    <w:p w14:paraId="0817FF19" w14:textId="37370ACD" w:rsidR="00CB1855" w:rsidRDefault="00C31FDB" w:rsidP="00CB1855">
      <w:pPr>
        <w:pStyle w:val="ListParagraph"/>
        <w:numPr>
          <w:ilvl w:val="0"/>
          <w:numId w:val="7"/>
        </w:numPr>
        <w:spacing w:after="0"/>
      </w:pPr>
      <w:r>
        <w:t>In the app, navigate to the users tab</w:t>
      </w:r>
      <w:r w:rsidR="00CB1855">
        <w:t>, assign</w:t>
      </w:r>
      <w:r>
        <w:t xml:space="preserve"> to all users </w:t>
      </w:r>
      <w:r w:rsidR="00CB1855">
        <w:t xml:space="preserve">or </w:t>
      </w:r>
      <w:r>
        <w:t xml:space="preserve">a </w:t>
      </w:r>
      <w:r w:rsidR="00CB1855">
        <w:t>specific test group for a phased rollout.</w:t>
      </w:r>
    </w:p>
    <w:p w14:paraId="75FE5782" w14:textId="7EF3FCC1" w:rsidR="00CB1855" w:rsidRDefault="00CB1855" w:rsidP="00CB1855">
      <w:pPr>
        <w:pStyle w:val="ListParagraph"/>
        <w:numPr>
          <w:ilvl w:val="0"/>
          <w:numId w:val="7"/>
        </w:numPr>
        <w:spacing w:after="0"/>
      </w:pPr>
      <w:r>
        <w:t xml:space="preserve">Use test account and navigate to </w:t>
      </w:r>
      <w:hyperlink r:id="rId7" w:history="1">
        <w:r w:rsidRPr="00CB1855">
          <w:rPr>
            <w:rStyle w:val="Hyperlink"/>
          </w:rPr>
          <w:t>https://myapps.microsoft.com</w:t>
        </w:r>
      </w:hyperlink>
      <w:r>
        <w:t>.</w:t>
      </w:r>
    </w:p>
    <w:p w14:paraId="03800995" w14:textId="475BE667" w:rsidR="00CB1855" w:rsidRDefault="00CB1855" w:rsidP="00CB1855">
      <w:pPr>
        <w:pStyle w:val="ListParagraph"/>
        <w:numPr>
          <w:ilvl w:val="1"/>
          <w:numId w:val="7"/>
        </w:numPr>
        <w:spacing w:after="0"/>
      </w:pPr>
      <w:r>
        <w:t>Select the newly-integrated app and confirm SSO authentication and app access.</w:t>
      </w:r>
    </w:p>
    <w:p w14:paraId="1F5FDC37" w14:textId="5AC5C641" w:rsidR="00CB1855" w:rsidRDefault="00CB1855" w:rsidP="00CB1855">
      <w:pPr>
        <w:pStyle w:val="ListParagraph"/>
        <w:numPr>
          <w:ilvl w:val="1"/>
          <w:numId w:val="7"/>
        </w:numPr>
        <w:spacing w:after="0"/>
      </w:pPr>
      <w:r>
        <w:t xml:space="preserve">Check </w:t>
      </w:r>
      <w:r w:rsidRPr="00CB1855">
        <w:rPr>
          <w:b/>
          <w:bCs/>
        </w:rPr>
        <w:t>Sign-in logs</w:t>
      </w:r>
      <w:r>
        <w:t xml:space="preserve"> in Entra for success/failure.</w:t>
      </w:r>
    </w:p>
    <w:p w14:paraId="618B5141" w14:textId="77777777" w:rsidR="00C31FDB" w:rsidRDefault="00C31FDB" w:rsidP="00C31FDB">
      <w:pPr>
        <w:spacing w:after="0"/>
      </w:pPr>
    </w:p>
    <w:p w14:paraId="3D08000F" w14:textId="29DB04FB" w:rsidR="00C31FDB" w:rsidRDefault="00C31FDB" w:rsidP="00C31FDB">
      <w:pPr>
        <w:pStyle w:val="ListParagraph"/>
        <w:numPr>
          <w:ilvl w:val="0"/>
          <w:numId w:val="1"/>
        </w:numPr>
        <w:spacing w:after="0"/>
      </w:pPr>
      <w:r>
        <w:t>Apps Available in the Entra App Gallery with Pre-Built SSO Integration</w:t>
      </w:r>
    </w:p>
    <w:p w14:paraId="0162201C" w14:textId="1A9ADCF4" w:rsidR="00C31FDB" w:rsidRDefault="00C31FDB" w:rsidP="00C31FDB">
      <w:pPr>
        <w:pStyle w:val="ListParagraph"/>
        <w:numPr>
          <w:ilvl w:val="0"/>
          <w:numId w:val="4"/>
        </w:numPr>
        <w:spacing w:after="0"/>
      </w:pPr>
      <w:r>
        <w:t>Zoom</w:t>
      </w:r>
    </w:p>
    <w:p w14:paraId="2ADAA080" w14:textId="57734CB3" w:rsidR="00C31FDB" w:rsidRDefault="00C31FDB" w:rsidP="00C31FDB">
      <w:pPr>
        <w:pStyle w:val="ListParagraph"/>
        <w:numPr>
          <w:ilvl w:val="0"/>
          <w:numId w:val="4"/>
        </w:numPr>
        <w:spacing w:after="0"/>
      </w:pPr>
      <w:r>
        <w:t>Box</w:t>
      </w:r>
    </w:p>
    <w:p w14:paraId="5B43417B" w14:textId="78208403" w:rsidR="00C31FDB" w:rsidRDefault="00C31FDB" w:rsidP="00C31FDB">
      <w:pPr>
        <w:pStyle w:val="ListParagraph"/>
        <w:numPr>
          <w:ilvl w:val="0"/>
          <w:numId w:val="4"/>
        </w:numPr>
        <w:spacing w:after="0"/>
      </w:pPr>
      <w:r>
        <w:t>DocuSign</w:t>
      </w:r>
    </w:p>
    <w:p w14:paraId="3A7357BD" w14:textId="4F3D7F9A" w:rsidR="00C31FDB" w:rsidRDefault="00C31FDB" w:rsidP="00C31FDB">
      <w:pPr>
        <w:pStyle w:val="ListParagraph"/>
        <w:numPr>
          <w:ilvl w:val="0"/>
          <w:numId w:val="4"/>
        </w:numPr>
        <w:spacing w:after="0"/>
      </w:pPr>
      <w:r>
        <w:t>Notion</w:t>
      </w:r>
    </w:p>
    <w:p w14:paraId="2B88BFA9" w14:textId="7815FC5A" w:rsidR="00C31FDB" w:rsidRDefault="00C31FDB" w:rsidP="00C31FDB">
      <w:pPr>
        <w:pStyle w:val="ListParagraph"/>
        <w:numPr>
          <w:ilvl w:val="0"/>
          <w:numId w:val="4"/>
        </w:numPr>
        <w:spacing w:after="0"/>
      </w:pPr>
      <w:r>
        <w:t>GitHub</w:t>
      </w:r>
    </w:p>
    <w:p w14:paraId="6826AC83" w14:textId="0CD744F5" w:rsidR="00C31FDB" w:rsidRDefault="00C31FDB" w:rsidP="00C31FDB">
      <w:pPr>
        <w:pStyle w:val="ListParagraph"/>
        <w:numPr>
          <w:ilvl w:val="0"/>
          <w:numId w:val="4"/>
        </w:numPr>
        <w:spacing w:after="0"/>
      </w:pPr>
      <w:r>
        <w:t>Okta</w:t>
      </w:r>
    </w:p>
    <w:p w14:paraId="0FDC084C" w14:textId="2A564E90" w:rsidR="00C31FDB" w:rsidRDefault="00C31FDB" w:rsidP="00C31FDB">
      <w:pPr>
        <w:pStyle w:val="ListParagraph"/>
        <w:numPr>
          <w:ilvl w:val="0"/>
          <w:numId w:val="4"/>
        </w:numPr>
        <w:spacing w:after="0"/>
      </w:pPr>
      <w:r>
        <w:t>LinkedIn Learning</w:t>
      </w:r>
    </w:p>
    <w:p w14:paraId="13A31710" w14:textId="0C38701D" w:rsidR="00C31FDB" w:rsidRDefault="00C31FDB" w:rsidP="00C31FDB">
      <w:pPr>
        <w:pStyle w:val="ListParagraph"/>
        <w:numPr>
          <w:ilvl w:val="0"/>
          <w:numId w:val="4"/>
        </w:numPr>
        <w:spacing w:after="0"/>
      </w:pPr>
      <w:r>
        <w:t>Workday</w:t>
      </w:r>
    </w:p>
    <w:sectPr w:rsidR="00C3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27AD7"/>
    <w:multiLevelType w:val="hybridMultilevel"/>
    <w:tmpl w:val="ED683962"/>
    <w:lvl w:ilvl="0" w:tplc="A766A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30136"/>
    <w:multiLevelType w:val="multilevel"/>
    <w:tmpl w:val="09F438D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" w15:restartNumberingAfterBreak="0">
    <w:nsid w:val="4DFC14E3"/>
    <w:multiLevelType w:val="multilevel"/>
    <w:tmpl w:val="5E5206B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63C846EF"/>
    <w:multiLevelType w:val="hybridMultilevel"/>
    <w:tmpl w:val="0EB45F56"/>
    <w:lvl w:ilvl="0" w:tplc="06C055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7E7EDD"/>
    <w:multiLevelType w:val="hybridMultilevel"/>
    <w:tmpl w:val="DE3A10D2"/>
    <w:lvl w:ilvl="0" w:tplc="E7FAEF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EF19C7"/>
    <w:multiLevelType w:val="hybridMultilevel"/>
    <w:tmpl w:val="DE923C08"/>
    <w:lvl w:ilvl="0" w:tplc="FC9EE9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B652F35"/>
    <w:multiLevelType w:val="hybridMultilevel"/>
    <w:tmpl w:val="02BEA6B0"/>
    <w:lvl w:ilvl="0" w:tplc="EFA8C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347618">
    <w:abstractNumId w:val="6"/>
  </w:num>
  <w:num w:numId="2" w16cid:durableId="2042390421">
    <w:abstractNumId w:val="3"/>
  </w:num>
  <w:num w:numId="3" w16cid:durableId="242449312">
    <w:abstractNumId w:val="4"/>
  </w:num>
  <w:num w:numId="4" w16cid:durableId="814298421">
    <w:abstractNumId w:val="5"/>
  </w:num>
  <w:num w:numId="5" w16cid:durableId="707415910">
    <w:abstractNumId w:val="0"/>
  </w:num>
  <w:num w:numId="6" w16cid:durableId="238712223">
    <w:abstractNumId w:val="2"/>
  </w:num>
  <w:num w:numId="7" w16cid:durableId="1605264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77"/>
    <w:rsid w:val="000228E3"/>
    <w:rsid w:val="000603E4"/>
    <w:rsid w:val="00285439"/>
    <w:rsid w:val="002F1814"/>
    <w:rsid w:val="0036736E"/>
    <w:rsid w:val="00373C3E"/>
    <w:rsid w:val="00665303"/>
    <w:rsid w:val="00754336"/>
    <w:rsid w:val="00851014"/>
    <w:rsid w:val="008E6738"/>
    <w:rsid w:val="008F0360"/>
    <w:rsid w:val="00AC1694"/>
    <w:rsid w:val="00AF26B4"/>
    <w:rsid w:val="00B868E3"/>
    <w:rsid w:val="00C31FDB"/>
    <w:rsid w:val="00CB1855"/>
    <w:rsid w:val="00DD6B77"/>
    <w:rsid w:val="00F35389"/>
    <w:rsid w:val="00F86596"/>
    <w:rsid w:val="00FD29C9"/>
    <w:rsid w:val="00FD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685DE"/>
  <w15:chartTrackingRefBased/>
  <w15:docId w15:val="{541E8A8D-DECC-3C4B-BC90-C4C878BC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apps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apps.microsoft.com/" TargetMode="External"/><Relationship Id="rId5" Type="http://schemas.openxmlformats.org/officeDocument/2006/relationships/hyperlink" Target="https://entra.microsof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 Hussin</cp:lastModifiedBy>
  <cp:revision>3</cp:revision>
  <dcterms:created xsi:type="dcterms:W3CDTF">2025-06-27T17:42:00Z</dcterms:created>
  <dcterms:modified xsi:type="dcterms:W3CDTF">2025-08-30T18:47:00Z</dcterms:modified>
</cp:coreProperties>
</file>