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Override PartName="/word/media/rId52.png" ContentType="image/png"/>
  <Override PartName="/word/media/rId56.png" ContentType="image/png"/>
  <Override PartName="/word/media/rId60.png" ContentType="image/png"/>
  <Override PartName="/word/media/rId64.png" ContentType="image/png"/>
  <Override PartName="/word/media/rId68.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Reservoir-Associated Thermal Structure Predicts Stream-Temperature Recoverability in the Jinsha and Chattahoochee Rivers</w:t>
      </w:r>
    </w:p>
    <w:p>
      <w:pPr>
        <w:pStyle w:val="Author"/>
      </w:pPr>
      <w:r>
        <w:t xml:space="preserve">[Full author names and affiliations required]</w:t>
      </w:r>
    </w:p>
    <w:p>
      <w:pPr>
        <w:pStyle w:val="Date"/>
      </w:pPr>
      <w:r>
        <w:t xml:space="preserve">Draft built from repository evidence</w:t>
      </w:r>
    </w:p>
    <w:bookmarkStart w:id="9" w:name="title-page"/>
    <w:p>
      <w:pPr>
        <w:pStyle w:val="Heading1"/>
      </w:pPr>
      <w:r>
        <w:t xml:space="preserve">Title Page</w:t>
      </w:r>
    </w:p>
    <w:p>
      <w:pPr>
        <w:pStyle w:val="FirstParagraph"/>
      </w:pPr>
      <w:r>
        <w:rPr>
          <w:b/>
          <w:bCs/>
        </w:rPr>
        <w:t xml:space="preserve">Authors and affiliations:</w:t>
      </w:r>
      <w:r>
        <w:t xml:space="preserve"> </w:t>
      </w:r>
      <w:r>
        <w:t xml:space="preserve">[AUTHOR INPUT REQUIRED]</w:t>
      </w:r>
      <w:r>
        <w:rPr>
          <w:b/>
          <w:bCs/>
        </w:rPr>
        <w:t xml:space="preserve">Corresponding author:</w:t>
      </w:r>
      <w:r>
        <w:t xml:space="preserve"> </w:t>
      </w:r>
      <w:r>
        <w:t xml:space="preserve">[NAME, EMAIL, AND ORCID REQUIRED]</w:t>
      </w:r>
    </w:p>
    <w:bookmarkEnd w:id="9"/>
    <w:bookmarkStart w:id="10" w:name="key-points"/>
    <w:p>
      <w:pPr>
        <w:pStyle w:val="Heading1"/>
      </w:pPr>
      <w:r>
        <w:t xml:space="preserve">Key Points</w:t>
      </w:r>
    </w:p>
    <w:p>
      <w:pPr>
        <w:pStyle w:val="Compact"/>
        <w:numPr>
          <w:ilvl w:val="0"/>
          <w:numId w:val="1001"/>
        </w:numPr>
      </w:pPr>
      <w:r>
        <w:t xml:space="preserve">Dam-proximal stations in two rivers rely more on local thermal memory during temperature-record outages.</w:t>
      </w:r>
    </w:p>
    <w:p>
      <w:pPr>
        <w:pStyle w:val="Compact"/>
        <w:numPr>
          <w:ilvl w:val="0"/>
          <w:numId w:val="1001"/>
        </w:numPr>
      </w:pPr>
      <w:r>
        <w:t xml:space="preserve">A fixed validation-selected model preserves the predicted long-gap ordering but not the predicted error magnitude.</w:t>
      </w:r>
    </w:p>
    <w:p>
      <w:pPr>
        <w:pStyle w:val="Compact"/>
        <w:numPr>
          <w:ilvl w:val="0"/>
          <w:numId w:val="1001"/>
        </w:numPr>
      </w:pPr>
      <w:r>
        <w:t xml:space="preserve">No national skill (frozen AUC 0.407; post-hoc mean 0.526); post-hoc direction is region-dependent and reverses in the Southeast Plains.</w:t>
      </w:r>
    </w:p>
    <w:bookmarkEnd w:id="10"/>
    <w:bookmarkStart w:id="41" w:name="plain-language-summary"/>
    <w:p>
      <w:pPr>
        <w:pStyle w:val="Heading1"/>
      </w:pPr>
      <w:r>
        <w:t xml:space="preserve">Plain Language Summary</w:t>
      </w:r>
    </w:p>
    <w:p>
      <w:pPr>
        <w:pStyle w:val="FirstParagraph"/>
      </w:pPr>
      <w:r>
        <w:t xml:space="preserve">Reservoir releases can make downstream water temperatures less seasonal and more persistent. We tested whether those changes indicate which observations can reconstruct an outage in a temperature record. We temporarily hid known daily values at three Jinsha River stations and five Chattahoochee River stations, then compared information from other stations with information at the edges of each gap. In both rivers, the station closest below a major dam depended more on its own past and future boundaries, while stations farther away depended more on simultaneous network observations. A model chosen using earlier Chattahoochee data performed much worse on 90- and 180-day gaps at the station below Buford Dam than at four downstream stations. However, the calculation did not predict the exact error. Across 335 United States gauges, the same indicator weakened with distance below major dams but did not classify dams nationwide; in the Southeast Plains the direction even reversed. The indicator is therefore a local or regional screen that requires geographic context and local error testing. The study is observational: it does not show that a dam alone produced each temperature pattern, and it does not identify a safe gap length to reconstruct.</w:t>
      </w:r>
    </w:p>
    <w:bookmarkStart w:id="11" w:name="abstract"/>
    <w:p>
      <w:pPr>
        <w:pStyle w:val="Heading2"/>
      </w:pPr>
      <w:r>
        <w:t xml:space="preserve">Abstract</w:t>
      </w:r>
    </w:p>
    <w:p>
      <w:pPr>
        <w:pStyle w:val="FirstParagraph"/>
      </w:pPr>
      <w:r>
        <w:t xml:space="preserve">Reservoir releases can compress downstream thermal seasonality and extend persistence, but those changes are rarely connected to information for reconstructing monitoring outages. We use controlled gaps to probe that connection rather than rank imputation models. A train-only covariance heuristic separates simultaneous donor anomalies from local boundary memory at three Jinsha River stations. Batang and Shigu are donor-dominated, whereas dam-proximal Panzhihua is memory-dominated; this classification is unchanged from 14- to 90-day horizons. Panzhihua annual endpoints shift in 2015, although daily change dates are method-sensitive and do not establish reservoir causality. The frozen heuristic tracks internal best-envelope shape (correlations 0.72–0.95), but its magnitude is state-dependent. In a temporally held-out Chattahoochee evaluation, validation selects XGBoost at all five sites. The memory-dominated gauge below Buford Dam has skill -0.380 and -0.300 at 90 and 180 days, whereas four donor-dominated downstream sites retain 180-day skill of 0.555–0.746. A separate 335-station United States panel shows that the index alone does not classify upstream major-dam presence across ecoregions (frozen pooled leave-one-ecoregion-out AUC 0.407, 95% interval 0.222–0.515). A post-hoc within-fold diagnosis still finds no national skill (mean AUC 0.526) and a region-dependent direction (Northeast 0.755 versus Southeast Plains 0.132). The index median declines with distance within regulated watersheds. Reservoir-associated covariance structure can therefore screen local recoverability type, but it is neither a universal dam classifier nor an information-theoretic ceiling.</w:t>
      </w:r>
    </w:p>
    <w:bookmarkEnd w:id="11"/>
    <w:bookmarkStart w:id="12" w:name="introduction"/>
    <w:p>
      <w:pPr>
        <w:pStyle w:val="Heading2"/>
      </w:pPr>
      <w:r>
        <w:t xml:space="preserve">1. Introduction</w:t>
      </w:r>
    </w:p>
    <w:p>
      <w:pPr>
        <w:pStyle w:val="FirstParagraph"/>
      </w:pPr>
      <w:r>
        <w:t xml:space="preserve">A monitoring network contains information even when none of its sensors has failed. Its arrangement determines whether an outage can be reconstructed from seasonality, synchronous river stations, atmospheric forcing, hydraulics, or observations at the edges of a gap. We call this property</w:t>
      </w:r>
      <w:r>
        <w:t xml:space="preserve"> </w:t>
      </w:r>
      <w:r>
        <w:rPr>
          <w:i/>
          <w:iCs/>
        </w:rPr>
        <w:t xml:space="preserve">recoverability</w:t>
      </w:r>
      <w:r>
        <w:t xml:space="preserve">: performance on a predeclared missing target under a stated outage geometry and information condition, relative to a named baseline. Controlled masking supplies known truth and can therefore measure information available for reconstruction without claiming to reproduce the frequency of field failures.</w:t>
      </w:r>
    </w:p>
    <w:p>
      <w:pPr>
        <w:pStyle w:val="BodyText"/>
      </w:pPr>
      <w:r>
        <w:t xml:space="preserve">Continuous gaps can bias annual thermal statistics</w:t>
      </w:r>
      <w:r>
        <w:t xml:space="preserve"> </w:t>
      </w:r>
      <w:r>
        <w:t xml:space="preserve">(Johnson et al. 2021)</w:t>
      </w:r>
      <w:r>
        <w:t xml:space="preserve">, and existing reconstructions use air temperature, discharge, seasonal structure, and spatially paired sensors</w:t>
      </w:r>
      <w:r>
        <w:t xml:space="preserve"> </w:t>
      </w:r>
      <w:r>
        <w:t xml:space="preserve">(Li et al. 2017; Bal and Eyto 2023)</w:t>
      </w:r>
      <w:r>
        <w:t xml:space="preserve">. Yet a good reconstruction does not by itself explain why one reach depends on synchronous network observations while another depends on its own boundaries.</w:t>
      </w:r>
    </w:p>
    <w:p>
      <w:pPr>
        <w:pStyle w:val="BodyText"/>
      </w:pPr>
      <w:r>
        <w:t xml:space="preserve">Reservoir operation provides a physical reason for that distinction. Release depth and storage state alter downstream seasonal amplitude and timing</w:t>
      </w:r>
      <w:r>
        <w:t xml:space="preserve"> </w:t>
      </w:r>
      <w:r>
        <w:t xml:space="preserve">(Michie et al. 2020)</w:t>
      </w:r>
      <w:r>
        <w:t xml:space="preserve">, and longitudinal observations show that thermal effects can attenuate downstream</w:t>
      </w:r>
      <w:r>
        <w:t xml:space="preserve"> </w:t>
      </w:r>
      <w:r>
        <w:t xml:space="preserve">(Zhao et al. 2020)</w:t>
      </w:r>
      <w:r>
        <w:t xml:space="preserve">. Regional stream-air indicators can already identify dam-like thermal signatures without a dam map</w:t>
      </w:r>
      <w:r>
        <w:t xml:space="preserve"> </w:t>
      </w:r>
      <w:r>
        <w:t xml:space="preserve">(Seyedhashemi et al. 2021)</w:t>
      </w:r>
      <w:r>
        <w:t xml:space="preserve">. Our novelty is therefore not dam detection itself. We ask whether reservoir-associated thermal structure anticipates which information sources remain useful when observations are removed.</w:t>
      </w:r>
    </w:p>
    <w:p>
      <w:pPr>
        <w:pStyle w:val="BodyText"/>
      </w:pPr>
      <w:r>
        <w:t xml:space="preserve">We address three questions. First, do dam-proximal stations in two detailed networks show a repeatable memory-dominated covariance type? Second, does a train-only covariance heuristic anticipate held-out long-gap recoverability without selecting a model on the scored event? Third, is the same fingerprint geographically portable, or does its interpretation require river and ecoregion context? The directional hypothesis is that compressed seasonal range and extended anomaly memory accompany greater boundary-memory dependence and weaker long-gap donor replacement near regulated releases.</w:t>
      </w:r>
    </w:p>
    <w:p>
      <w:pPr>
        <w:pStyle w:val="BodyText"/>
      </w:pPr>
      <w:r>
        <w:t xml:space="preserve">We froze the heuristic at three Jinsha stations, evaluated structured 2018–2020 outages, and added explicitly post-hoc stationarity controls without altering that prediction. We then evaluated a five-site 2023–2025 Chattahoochee panel beginning below Buford Dam, using a fixed model chosen only from 2021–2022 validation placements. Finally, an independently frozen United States panel tested the geographic boundary. The design is an observational mechanism and scope test across two detailed networks plus a national diagnostic, not a causal reservoir experiment or a claim that one imputation model is generally best.</w:t>
      </w:r>
    </w:p>
    <w:bookmarkEnd w:id="12"/>
    <w:bookmarkStart w:id="23" w:name="methods"/>
    <w:p>
      <w:pPr>
        <w:pStyle w:val="Heading2"/>
      </w:pPr>
      <w:r>
        <w:t xml:space="preserve">2. Methods</w:t>
      </w:r>
    </w:p>
    <w:bookmarkStart w:id="13" w:name="study-networks-and-regulation-setting"/>
    <w:p>
      <w:pPr>
        <w:pStyle w:val="Heading3"/>
      </w:pPr>
      <w:r>
        <w:t xml:space="preserve">2.1 Study networks and regulation setting</w:t>
      </w:r>
    </w:p>
    <w:p>
      <w:pPr>
        <w:pStyle w:val="FirstParagraph"/>
      </w:pPr>
      <w:r>
        <w:t xml:space="preserve">The Jinsha stations, ordered downstream, were Batang (B1), Shigu (S2), and Panzhihua (P3), separated by 463 and 558 river km (Figure 1). Daily temperature (</w:t>
      </w:r>
      <m:oMath>
        <m:r>
          <m:t>T</m:t>
        </m:r>
      </m:oMath>
      <w:r>
        <w:t xml:space="preserve">), discharge (</w:t>
      </w:r>
      <m:oMath>
        <m:r>
          <m:t>F</m:t>
        </m:r>
      </m:oMath>
      <w:r>
        <w:t xml:space="preserve">), and level (</w:t>
      </w:r>
      <m:oMath>
        <m:r>
          <m:t>L</m:t>
        </m:r>
      </m:oMath>
      <w:r>
        <w:t xml:space="preserve">) covered 1 January 2006 through 31 December 2020. Station-matched meteorology comprised air temperature, precipitation, wind, relative humidity, and NASA POWER all-sky shortwave radiation. The hydrological records are attributed to the</w:t>
      </w:r>
      <w:r>
        <w:t xml:space="preserve"> </w:t>
      </w:r>
      <w:r>
        <w:rPr>
          <w:i/>
          <w:iCs/>
        </w:rPr>
        <w:t xml:space="preserve">Annual Hydrological Report of the People’s Republic of China, Volume VI</w:t>
      </w:r>
      <w:r>
        <w:t xml:space="preserve"> </w:t>
      </w:r>
      <w:r>
        <w:t xml:space="preserve">(Wei et al. 2026; Wang et al. 2024)</w:t>
      </w:r>
      <w:r>
        <w:t xml:space="preserve">. The map uses documented station coordinates, the official 27-km Guanyinyan–P3 distance for interpretation, and a separate cartographic dam coordinate</w:t>
      </w:r>
      <w:r>
        <w:t xml:space="preserve"> </w:t>
      </w:r>
      <w:r>
        <w:t xml:space="preserve">(Malcolm Dunstan and Associates 2026)</w:t>
      </w:r>
      <w:r>
        <w:t xml:space="preserve">.</w:t>
      </w:r>
    </w:p>
    <w:p>
      <w:pPr>
        <w:pStyle w:val="BodyText"/>
      </w:pPr>
      <w:r>
        <w:t xml:space="preserve">Guanyinyan is the last project in the planned middle-Jinsha cascade, has weekly regulation, and lies 27 km upstream of Panzhihua according to the national impoundment-stage environmental approval</w:t>
      </w:r>
      <w:r>
        <w:t xml:space="preserve"> </w:t>
      </w:r>
      <w:r>
        <w:t xml:space="preserve">(Ministry of Environmental Protection of the People’s Republic of China 2014)</w:t>
      </w:r>
      <w:r>
        <w:t xml:space="preserve">. Its first unit began generation on 20 December 2014, three more units followed in 2015, and all five were operating in 2016</w:t>
      </w:r>
      <w:r>
        <w:t xml:space="preserve"> </w:t>
      </w:r>
      <w:r>
        <w:t xml:space="preserve">(China Datang Corporation 2026; National Energy Administration of China 2016)</w:t>
      </w:r>
      <w:r>
        <w:t xml:space="preserve">. We use those dates only to interpret an independently observed thermal transition; this observational design does not isolate the dam from every concurrent basin change.</w:t>
      </w:r>
    </w:p>
    <w:p>
      <w:pPr>
        <w:pStyle w:val="BodyText"/>
      </w:pPr>
      <w:r>
        <w:t xml:space="preserve">The external panel comprised USGS sites 02334430, 02335000, 02335450, 02336000, and 02337170 on one Upper-to-Middle Chattahoochee mainstem network. Site 02334430 is 366 m below Buford Dam</w:t>
      </w:r>
      <w:r>
        <w:t xml:space="preserve"> </w:t>
      </w:r>
      <w:r>
        <w:t xml:space="preserve">(U.S. Geological Survey 1973)</w:t>
      </w:r>
      <w:r>
        <w:t xml:space="preserve">. Buford hydropower releases originate near the reservoir bottom and are cold relative to surface water during stratification</w:t>
      </w:r>
      <w:r>
        <w:t xml:space="preserve"> </w:t>
      </w:r>
      <w:r>
        <w:t xml:space="preserve">(U.S. Army Corps of Engineers, Mobile District 2017)</w:t>
      </w:r>
      <w:r>
        <w:t xml:space="preserve">. External fitting, validation, and confirmatory periods were 2012–2020, 2021–2022, and 2023–2025.</w:t>
      </w:r>
    </w:p>
    <w:bookmarkEnd w:id="13"/>
    <w:bookmarkStart w:id="14" w:name="X076659578311239ade589ad77795156c6565a52"/>
    <w:p>
      <w:pPr>
        <w:pStyle w:val="Heading3"/>
      </w:pPr>
      <w:r>
        <w:t xml:space="preserve">2.2 Records, temporal separation, and controlled outages</w:t>
      </w:r>
    </w:p>
    <w:p>
      <w:pPr>
        <w:pStyle w:val="FirstParagraph"/>
      </w:pPr>
      <w:r>
        <w:t xml:space="preserve">Jinsha fitting, model-selection, and development-evaluation periods were 2006–2015, 2016–2017, and 2018–2020. The stored</w:t>
      </w:r>
      <w:r>
        <w:t xml:space="preserve"> </w:t>
      </w:r>
      <w:r>
        <w:rPr>
          <w:rStyle w:val="VerbatimChar"/>
        </w:rPr>
        <w:t xml:space="preserve">test</w:t>
      </w:r>
      <w:r>
        <w:t xml:space="preserve"> </w:t>
      </w:r>
      <w:r>
        <w:t xml:space="preserve">label is a legacy alias of</w:t>
      </w:r>
      <w:r>
        <w:t xml:space="preserve"> </w:t>
      </w:r>
      <w:r>
        <w:rPr>
          <w:rStyle w:val="VerbatimChar"/>
        </w:rPr>
        <w:t xml:space="preserve">development_test</w:t>
      </w:r>
      <w:r>
        <w:t xml:space="preserve">; it is not an unseen confirmatory split. All scalers, climatologies, feature medians, and fitted models used the fitting period only.</w:t>
      </w:r>
    </w:p>
    <w:p>
      <w:pPr>
        <w:pStyle w:val="BodyText"/>
      </w:pPr>
      <w:r>
        <w:t xml:space="preserve">The Jinsha</w:t>
      </w:r>
      <w:r>
        <w:t xml:space="preserve"> </w:t>
      </w:r>
      <m:oMath>
        <m:r>
          <m:t>T</m:t>
        </m:r>
      </m:oMath>
      <w:r>
        <w:t xml:space="preserve">,</w:t>
      </w:r>
      <w:r>
        <w:t xml:space="preserve"> </w:t>
      </w:r>
      <m:oMath>
        <m:r>
          <m:t>F</m:t>
        </m:r>
      </m:oMath>
      <w:r>
        <w:t xml:space="preserve">, and</w:t>
      </w:r>
      <w:r>
        <w:t xml:space="preserve"> </w:t>
      </w:r>
      <m:oMath>
        <m:r>
          <m:t>L</m:t>
        </m:r>
      </m:oMath>
      <w:r>
        <w:t xml:space="preserve"> </w:t>
      </w:r>
      <w:r>
        <w:t xml:space="preserve">series contain no natural missing day in the 5,479-day study axis. Per-value provider quality flags were unavailable. Provenance reconciliation identified an 8.48-m B1 level datum step in 2019 and a 2013–2019 ordering discrepancy between supplied S2 hydrology and an external monthly archive. Values were not silently corrected: the primary version retains them with known-issue flags, and frozen versions exclude S2 hydrology, exclude B1 level, or apply a declared hypothetical B1 level shift. These sensitivities affect some covariate-dependent models but do not change the observation-only temperature type.</w:t>
      </w:r>
    </w:p>
    <w:p>
      <w:pPr>
        <w:pStyle w:val="BodyText"/>
      </w:pPr>
      <w:r>
        <w:t xml:space="preserve">Artificial masks are controlled interventions used to measure network information; they do not estimate field-failure frequency. Masks hide only finite eligible values, are removed from every model input path, and span point gaps, contiguous blocks, compound</w:t>
      </w:r>
      <w:r>
        <w:t xml:space="preserve"> </w:t>
      </w:r>
      <m:oMath>
        <m:r>
          <m:t>T</m:t>
        </m:r>
        <m:r>
          <m:rPr>
            <m:sty m:val="p"/>
          </m:rPr>
          <m:t>+</m:t>
        </m:r>
        <m:r>
          <m:t>F</m:t>
        </m:r>
        <m:r>
          <m:rPr>
            <m:sty m:val="p"/>
          </m:rPr>
          <m:t>+</m:t>
        </m:r>
        <m:r>
          <m:t>L</m:t>
        </m:r>
      </m:oMath>
      <w:r>
        <w:t xml:space="preserve"> </w:t>
      </w:r>
      <w:r>
        <w:t xml:space="preserve">outages, and matched network failures. The primary dense design has 15 block lengths from 1 to 365 days, three stations, and 20 frozen anchors (900 scenarios). The network design crosses four target-gap lengths with all eight failure subsets of B1, S2, and P3 (1,920 scenarios). These geometries are stress tests, not a fitted fault model.</w:t>
      </w:r>
    </w:p>
    <w:bookmarkEnd w:id="14"/>
    <w:bookmarkStart w:id="15" w:name="X2c4e277f992308c9cae5364c2f5bd7011c80d61"/>
    <w:p>
      <w:pPr>
        <w:pStyle w:val="Heading3"/>
      </w:pPr>
      <w:r>
        <w:t xml:space="preserve">2.3 Hydrothermal state and regulation fingerprint</w:t>
      </w:r>
    </w:p>
    <w:p>
      <w:pPr>
        <w:pStyle w:val="FirstParagraph"/>
      </w:pPr>
      <w:r>
        <w:t xml:space="preserve">We summarized annual minimum, maximum, mean, and amplitude directly in degrees C. Temperature anomalies subtract a fitting-period circular day-of-year median with a plus or minus seven-day window. For pre- and post-impoundment periods we report anomaly mean, standard deviation, lag-30 and lag-90 autocorrelation, skewness, and excess kurtosis.</w:t>
      </w:r>
    </w:p>
    <w:p>
      <w:pPr>
        <w:pStyle w:val="BodyText"/>
      </w:pPr>
      <w:r>
        <w:t xml:space="preserve">We also estimated one post-hoc change in the complete 3,652-day P3 fitting-period anomaly series, requiring at least 365 days on each side. Pettitt’s rank statistic was the primary estimator. Because lag-1 autocorrelation was 0.973, its iid asymptotic and day-permutation p values are reference calculations only; inference uses 9,999 permutations of intact calendar-year blocks. A segmentwise circular moving-block residual bootstrap with 5,000 draws and 365-day blocks supplies a date interval. Single least-squares binary segmentation under the same permutation and bootstrap settings is a method sensitivity. Annual minimum and amplitude Pettitt tests are reported separately, recognizing that the fitting period contains only one fully post-commissioning year.</w:t>
      </w:r>
    </w:p>
    <w:p>
      <w:pPr>
        <w:pStyle w:val="BodyText"/>
      </w:pPr>
      <w:r>
        <w:t xml:space="preserve">For comparison across all eight stations, the data-derived memory–range index is</w:t>
      </w:r>
    </w:p>
    <w:p>
      <w:pPr>
        <w:pStyle w:val="BodyText"/>
      </w:pPr>
      <m:oMathPara>
        <m:oMathParaPr>
          <m:jc m:val="center"/>
        </m:oMathParaPr>
        <m:oMath>
          <m:sSub>
            <m:e>
              <m:r>
                <m:t>I</m:t>
              </m:r>
            </m:e>
            <m:sub>
              <m:r>
                <m:t>s</m:t>
              </m:r>
            </m:sub>
          </m:sSub>
          <m:r>
            <m:rPr>
              <m:sty m:val="p"/>
            </m:rPr>
            <m:t>=</m:t>
          </m:r>
          <m:f>
            <m:fPr>
              <m:type m:val="bar"/>
            </m:fPr>
            <m:num>
              <m:sSub>
                <m:e>
                  <m:r>
                    <m:rPr>
                      <m:sty m:val="p"/>
                    </m:rPr>
                    <m:t>acf</m:t>
                  </m:r>
                </m:e>
                <m:sub>
                  <m:r>
                    <m:t>30</m:t>
                  </m:r>
                </m:sub>
              </m:sSub>
              <m:r>
                <m:rPr>
                  <m:sty m:val="p"/>
                </m:rPr>
                <m:t>(</m:t>
              </m:r>
              <m:sSubSup>
                <m:e>
                  <m:r>
                    <m:t>T</m:t>
                  </m:r>
                </m:e>
                <m:sub>
                  <m:r>
                    <m:t>s</m:t>
                  </m:r>
                </m:sub>
                <m:sup>
                  <m:r>
                    <m:rPr>
                      <m:sty m:val="p"/>
                    </m:rPr>
                    <m:t>′</m:t>
                  </m:r>
                </m:sup>
              </m:sSubSup>
              <m:r>
                <m:rPr>
                  <m:sty m:val="p"/>
                </m:rPr>
                <m:t>)</m:t>
              </m:r>
            </m:num>
            <m:den>
              <m:r>
                <m:rPr>
                  <m:sty m:val="p"/>
                </m:rPr>
                <m:t>max</m:t>
              </m:r>
              <m:r>
                <m:rPr>
                  <m:sty m:val="p"/>
                </m:rPr>
                <m:t>(</m:t>
              </m:r>
              <m:sSub>
                <m:e>
                  <m:r>
                    <m:t>T</m:t>
                  </m:r>
                </m:e>
                <m:sub>
                  <m:r>
                    <m:t>s</m:t>
                  </m:r>
                </m:sub>
              </m:sSub>
              <m:r>
                <m:rPr>
                  <m:sty m:val="p"/>
                </m:rPr>
                <m:t>)</m:t>
              </m:r>
              <m:r>
                <m:rPr>
                  <m:sty m:val="p"/>
                </m:rPr>
                <m:t>−</m:t>
              </m:r>
              <m:r>
                <m:rPr>
                  <m:sty m:val="p"/>
                </m:rPr>
                <m:t>min</m:t>
              </m:r>
              <m:r>
                <m:rPr>
                  <m:sty m:val="p"/>
                </m:rPr>
                <m:t>(</m:t>
              </m:r>
              <m:sSub>
                <m:e>
                  <m:r>
                    <m:t>T</m:t>
                  </m:r>
                </m:e>
                <m:sub>
                  <m:r>
                    <m:t>s</m:t>
                  </m:r>
                </m:sub>
              </m:sSub>
              <m:r>
                <m:rPr>
                  <m:sty m:val="p"/>
                </m:rPr>
                <m:t>)</m:t>
              </m:r>
            </m:den>
          </m:f>
          <m:r>
            <m:rPr>
              <m:sty m:val="p"/>
            </m:rPr>
            <m:t>,</m:t>
          </m:r>
        </m:oMath>
      </m:oMathPara>
    </w:p>
    <w:p>
      <w:pPr>
        <w:pStyle w:val="FirstParagraph"/>
      </w:pPr>
      <w:r>
        <w:t xml:space="preserve">where the range and anomaly autocorrelation are computed only in the network’s fitting period. This is a descriptive regulation fingerprint, not a universal classifier. We compare its within-network rank with the independently frozen donor/memory type and with distance or position relative to the regulating dam.</w:t>
      </w:r>
    </w:p>
    <w:bookmarkEnd w:id="15"/>
    <w:bookmarkStart w:id="16" w:name="frozen-covariance-heuristic"/>
    <w:p>
      <w:pPr>
        <w:pStyle w:val="Heading3"/>
      </w:pPr>
      <w:r>
        <w:t xml:space="preserve">2.4 Frozen covariance heuristic</w:t>
      </w:r>
    </w:p>
    <w:p>
      <w:pPr>
        <w:pStyle w:val="FirstParagraph"/>
      </w:pPr>
      <w:r>
        <w:t xml:space="preserve">Exact calendar-day medians fitted within the declared calibration period were subtracted from target and donor temperatures. Simultaneous donor anomalies give</w:t>
      </w:r>
      <w:r>
        <w:t xml:space="preserve"> </w:t>
      </w:r>
      <m:oMath>
        <m:sSubSup>
          <m:e>
            <m:r>
              <m:t>R</m:t>
            </m:r>
          </m:e>
          <m:sub>
            <m:r>
              <m:rPr>
                <m:sty m:val="p"/>
              </m:rPr>
              <m:t>d</m:t>
            </m:r>
            <m:r>
              <m:rPr>
                <m:sty m:val="p"/>
              </m:rPr>
              <m:t>o</m:t>
            </m:r>
            <m:r>
              <m:rPr>
                <m:sty m:val="p"/>
              </m:rPr>
              <m:t>n</m:t>
            </m:r>
            <m:r>
              <m:rPr>
                <m:sty m:val="p"/>
              </m:rPr>
              <m:t>o</m:t>
            </m:r>
            <m:r>
              <m:rPr>
                <m:sty m:val="p"/>
              </m:rPr>
              <m:t>r</m:t>
            </m:r>
          </m:sub>
          <m:sup>
            <m:r>
              <m:t>2</m:t>
            </m:r>
          </m:sup>
        </m:sSubSup>
      </m:oMath>
      <w:r>
        <w:t xml:space="preserve">. Target anomaly memory at the mean distance from a uniformly distributed point inside a two-sided block to its nearest boundary is evaluated at</w:t>
      </w:r>
      <w:r>
        <w:t xml:space="preserve"> </w:t>
      </w:r>
      <m:oMath>
        <m:r>
          <m:t>d</m:t>
        </m:r>
        <m:r>
          <m:rPr>
            <m:sty m:val="p"/>
          </m:rPr>
          <m:t>/</m:t>
        </m:r>
        <m:r>
          <m:t>4</m:t>
        </m:r>
      </m:oMath>
      <w:r>
        <w:t xml:space="preserve">. The frozen heuristic is</w:t>
      </w:r>
    </w:p>
    <w:p>
      <w:pPr>
        <w:pStyle w:val="BodyText"/>
      </w:pPr>
      <m:oMathPara>
        <m:oMathParaPr>
          <m:jc m:val="center"/>
        </m:oMathParaPr>
        <m:oMath>
          <m:sSubSup>
            <m:e>
              <m:r>
                <m:t>R</m:t>
              </m:r>
            </m:e>
            <m:sub>
              <m:r>
                <m:rPr>
                  <m:sty m:val="p"/>
                </m:rPr>
                <m:t>a</m:t>
              </m:r>
              <m:r>
                <m:rPr>
                  <m:sty m:val="p"/>
                </m:rPr>
                <m:t>v</m:t>
              </m:r>
              <m:r>
                <m:rPr>
                  <m:sty m:val="p"/>
                </m:rPr>
                <m:t>a</m:t>
              </m:r>
              <m:r>
                <m:rPr>
                  <m:sty m:val="p"/>
                </m:rPr>
                <m:t>i</m:t>
              </m:r>
              <m:r>
                <m:rPr>
                  <m:sty m:val="p"/>
                </m:rPr>
                <m:t>l</m:t>
              </m:r>
            </m:sub>
            <m:sup>
              <m:r>
                <m:t>2</m:t>
              </m:r>
            </m:sup>
          </m:sSubSup>
          <m:r>
            <m:rPr>
              <m:sty m:val="p"/>
            </m:rPr>
            <m:t>(</m:t>
          </m:r>
          <m:r>
            <m:t>d</m:t>
          </m:r>
          <m:r>
            <m:rPr>
              <m:sty m:val="p"/>
            </m:rPr>
            <m:t>)</m:t>
          </m:r>
          <m:r>
            <m:rPr>
              <m:sty m:val="p"/>
            </m:rPr>
            <m:t>=</m:t>
          </m:r>
          <m:sSubSup>
            <m:e>
              <m:r>
                <m:t>R</m:t>
              </m:r>
            </m:e>
            <m:sub>
              <m:r>
                <m:rPr>
                  <m:sty m:val="p"/>
                </m:rPr>
                <m:t>d</m:t>
              </m:r>
              <m:r>
                <m:rPr>
                  <m:sty m:val="p"/>
                </m:rPr>
                <m:t>o</m:t>
              </m:r>
              <m:r>
                <m:rPr>
                  <m:sty m:val="p"/>
                </m:rPr>
                <m:t>n</m:t>
              </m:r>
              <m:r>
                <m:rPr>
                  <m:sty m:val="p"/>
                </m:rPr>
                <m:t>o</m:t>
              </m:r>
              <m:r>
                <m:rPr>
                  <m:sty m:val="p"/>
                </m:rPr>
                <m:t>r</m:t>
              </m:r>
            </m:sub>
            <m:sup>
              <m:r>
                <m:t>2</m:t>
              </m:r>
            </m:sup>
          </m:sSubSup>
          <m:r>
            <m:rPr>
              <m:sty m:val="p"/>
            </m:rPr>
            <m:t>+</m:t>
          </m:r>
          <m:r>
            <m:rPr>
              <m:sty m:val="p"/>
            </m:rPr>
            <m:t>(</m:t>
          </m:r>
          <m:r>
            <m:t>1</m:t>
          </m:r>
          <m:r>
            <m:rPr>
              <m:sty m:val="p"/>
            </m:rPr>
            <m:t>−</m:t>
          </m:r>
          <m:sSubSup>
            <m:e>
              <m:r>
                <m:t>R</m:t>
              </m:r>
            </m:e>
            <m:sub>
              <m:r>
                <m:rPr>
                  <m:sty m:val="p"/>
                </m:rPr>
                <m:t>d</m:t>
              </m:r>
              <m:r>
                <m:rPr>
                  <m:sty m:val="p"/>
                </m:rPr>
                <m:t>o</m:t>
              </m:r>
              <m:r>
                <m:rPr>
                  <m:sty m:val="p"/>
                </m:rPr>
                <m:t>n</m:t>
              </m:r>
              <m:r>
                <m:rPr>
                  <m:sty m:val="p"/>
                </m:rPr>
                <m:t>o</m:t>
              </m:r>
              <m:r>
                <m:rPr>
                  <m:sty m:val="p"/>
                </m:rPr>
                <m:t>r</m:t>
              </m:r>
            </m:sub>
            <m:sup>
              <m:r>
                <m:t>2</m:t>
              </m:r>
            </m:sup>
          </m:sSubSup>
          <m:r>
            <m:rPr>
              <m:sty m:val="p"/>
            </m:rPr>
            <m:t>)</m:t>
          </m:r>
          <m:sSup>
            <m:e>
              <m:r>
                <m:t>ρ</m:t>
              </m:r>
            </m:e>
            <m:sup>
              <m:r>
                <m:t>2</m:t>
              </m:r>
            </m:sup>
          </m:sSup>
          <m:r>
            <m:rPr>
              <m:sty m:val="p"/>
            </m:rPr>
            <m:t>(</m:t>
          </m:r>
          <m:r>
            <m:t>d</m:t>
          </m:r>
          <m:r>
            <m:rPr>
              <m:sty m:val="p"/>
            </m:rPr>
            <m:t>/</m:t>
          </m:r>
          <m:r>
            <m:t>4</m:t>
          </m:r>
          <m:r>
            <m:rPr>
              <m:sty m:val="p"/>
            </m:rPr>
            <m:t>)</m:t>
          </m:r>
          <m:r>
            <m:rPr>
              <m:sty m:val="p"/>
            </m:rPr>
            <m:t>,</m:t>
          </m:r>
        </m:oMath>
      </m:oMathPara>
    </w:p>
    <w:p>
      <w:pPr>
        <w:pStyle w:val="FirstParagraph"/>
      </w:pPr>
      <m:oMathPara>
        <m:oMathParaPr>
          <m:jc m:val="center"/>
        </m:oMathParaPr>
        <m:oMath>
          <m:acc>
            <m:accPr>
              <m:chr m:val="̂"/>
            </m:accPr>
            <m:e>
              <m:r>
                <m:rPr>
                  <m:sty m:val="p"/>
                </m:rPr>
                <m:t>skill</m:t>
              </m:r>
            </m:e>
          </m:acc>
          <m:r>
            <m:rPr>
              <m:sty m:val="p"/>
            </m:rPr>
            <m:t>(</m:t>
          </m:r>
          <m:r>
            <m:t>d</m:t>
          </m:r>
          <m:r>
            <m:rPr>
              <m:sty m:val="p"/>
            </m:rPr>
            <m:t>)</m:t>
          </m:r>
          <m:r>
            <m:rPr>
              <m:sty m:val="p"/>
            </m:rPr>
            <m:t>=</m:t>
          </m:r>
          <m:r>
            <m:t>1</m:t>
          </m:r>
          <m:r>
            <m:rPr>
              <m:sty m:val="p"/>
            </m:rPr>
            <m:t>−</m:t>
          </m:r>
          <m:rad>
            <m:radPr>
              <m:degHide m:val="on"/>
            </m:radPr>
            <m:deg/>
            <m:e>
              <m:r>
                <m:t>1</m:t>
              </m:r>
              <m:r>
                <m:rPr>
                  <m:sty m:val="p"/>
                </m:rPr>
                <m:t>−</m:t>
              </m:r>
              <m:sSubSup>
                <m:e>
                  <m:r>
                    <m:t>R</m:t>
                  </m:r>
                </m:e>
                <m:sub>
                  <m:r>
                    <m:rPr>
                      <m:sty m:val="p"/>
                    </m:rPr>
                    <m:t>a</m:t>
                  </m:r>
                  <m:r>
                    <m:rPr>
                      <m:sty m:val="p"/>
                    </m:rPr>
                    <m:t>v</m:t>
                  </m:r>
                  <m:r>
                    <m:rPr>
                      <m:sty m:val="p"/>
                    </m:rPr>
                    <m:t>a</m:t>
                  </m:r>
                  <m:r>
                    <m:rPr>
                      <m:sty m:val="p"/>
                    </m:rPr>
                    <m:t>i</m:t>
                  </m:r>
                  <m:r>
                    <m:rPr>
                      <m:sty m:val="p"/>
                    </m:rPr>
                    <m:t>l</m:t>
                  </m:r>
                </m:sub>
                <m:sup>
                  <m:r>
                    <m:t>2</m:t>
                  </m:r>
                </m:sup>
              </m:sSubSup>
              <m:r>
                <m:rPr>
                  <m:sty m:val="p"/>
                </m:rPr>
                <m:t>(</m:t>
              </m:r>
              <m:r>
                <m:t>d</m:t>
              </m:r>
              <m:r>
                <m:rPr>
                  <m:sty m:val="p"/>
                </m:rPr>
                <m:t>)</m:t>
              </m:r>
            </m:e>
          </m:rad>
          <m:r>
            <m:rPr>
              <m:sty m:val="p"/>
            </m:rPr>
            <m:t>.</m:t>
          </m:r>
        </m:oMath>
      </m:oMathPara>
    </w:p>
    <w:p>
      <w:pPr>
        <w:pStyle w:val="FirstParagraph"/>
      </w:pPr>
      <w:r>
        <w:t xml:space="preserve">The</w:t>
      </w:r>
      <w:r>
        <w:t xml:space="preserve"> </w:t>
      </w:r>
      <m:oMath>
        <m:r>
          <m:t>d</m:t>
        </m:r>
        <m:r>
          <m:rPr>
            <m:sty m:val="p"/>
          </m:rPr>
          <m:t>/</m:t>
        </m:r>
        <m:r>
          <m:t>4</m:t>
        </m:r>
      </m:oMath>
      <w:r>
        <w:t xml:space="preserve"> </w:t>
      </w:r>
      <w:r>
        <w:t xml:space="preserve">distance follows from averaging the nearest-boundary distance over a continuous block. The additive expression assumes that memory explains a fraction of variance remaining after donor information; donor and boundary signals are not empirically orthogonalized. The MAE conversion additionally assumes a common location–scale residual shape. Consequently, these equations define a screening heuristic, not a theorem, physical heat budget, or information ceiling. At 30 days, a station is donor-dominated when the donor component is at least the memory component, and memory-dominated otherwise. We also evaluate this label at 14, 60, and 90 days. The original 2006–2015 prediction was written before dense aggregation and was never altered.</w:t>
      </w:r>
    </w:p>
    <w:p>
      <w:pPr>
        <w:pStyle w:val="BodyText"/>
      </w:pPr>
      <w:r>
        <w:t xml:space="preserve">To test omitted-variable sensitivity, we expanded the linear anomaly regression with same-site air temperature,</w:t>
      </w:r>
      <w:r>
        <w:t xml:space="preserve"> </w:t>
      </w:r>
      <m:oMath>
        <m:r>
          <m:t>F</m:t>
        </m:r>
      </m:oMath>
      <w:r>
        <w:t xml:space="preserve">, and</w:t>
      </w:r>
      <w:r>
        <w:t xml:space="preserve"> </w:t>
      </w:r>
      <m:oMath>
        <m:r>
          <m:t>L</m:t>
        </m:r>
      </m:oMath>
      <w:r>
        <w:t xml:space="preserve">, and donor-site air temperature and</w:t>
      </w:r>
      <w:r>
        <w:t xml:space="preserve"> </w:t>
      </w:r>
      <m:oMath>
        <m:r>
          <m:t>F</m:t>
        </m:r>
      </m:oMath>
      <w:r>
        <w:t xml:space="preserve">. To test state dependence, we recalculated the heuristic for 2016–2017 (a leakage-free but short post-hoc bridge; those years remain the frozen model-selection split) and for 2016–2020 (a post-hoc state-matched diagnostic that overlaps evaluation and is not predictive evidence).</w:t>
      </w:r>
    </w:p>
    <w:bookmarkEnd w:id="16"/>
    <w:bookmarkStart w:id="17" w:name="recovery-models-and-evidence-roster"/>
    <w:p>
      <w:pPr>
        <w:pStyle w:val="Heading3"/>
      </w:pPr>
      <w:r>
        <w:t xml:space="preserve">2.5 Recovery models and evidence roster</w:t>
      </w:r>
    </w:p>
    <w:p>
      <w:pPr>
        <w:pStyle w:val="FirstParagraph"/>
      </w:pPr>
      <w:r>
        <w:t xml:space="preserve">The common baseline was a training-only circular plus or minus seven-day median climatology. The formal roster contained linear and PCHIP interpolation, a local-linear-trend Kalman smoother, air-only and air-plus-hydraulics ridge regressions, donor regression, random forest, and XGBoost. Offline recovery may use both boundaries of a historical gap.</w:t>
      </w:r>
    </w:p>
    <w:p>
      <w:pPr>
        <w:pStyle w:val="BodyText"/>
      </w:pPr>
      <w:r>
        <w:t xml:space="preserve">Official BRITS, SAITS, and CSDI implementations and a multisource quantile model were evaluated during validation. Under the frozen stability rule, required seeds selecting before epoch 50 or hitting the 400-epoch cap could not enter the formal roster. None of the deep candidates entered; their architecture, training diagnostics, validation-only rankings, and information-group ablations are reported only in Supporting Information. No conclusion about the capability of deep imputation follows from excluded unstable runs.</w:t>
      </w:r>
    </w:p>
    <w:bookmarkEnd w:id="17"/>
    <w:bookmarkStart w:id="18" w:name="X592c800d124e9e86477a1a60f6ca2164f8c5238"/>
    <w:p>
      <w:pPr>
        <w:pStyle w:val="Heading3"/>
      </w:pPr>
      <w:r>
        <w:t xml:space="preserve">2.6 Skill, absolute error, stationarity controls, and inference</w:t>
      </w:r>
    </w:p>
    <w:p>
      <w:pPr>
        <w:pStyle w:val="FirstParagraph"/>
      </w:pPr>
      <w:r>
        <w:t xml:space="preserve">For event</w:t>
      </w:r>
      <w:r>
        <w:t xml:space="preserve"> </w:t>
      </w:r>
      <m:oMath>
        <m:r>
          <m:t>e</m:t>
        </m:r>
      </m:oMath>
      <w:r>
        <w:t xml:space="preserve">, skill relative to a named baseline is</w:t>
      </w:r>
    </w:p>
    <w:p>
      <w:pPr>
        <w:pStyle w:val="BodyText"/>
      </w:pPr>
      <m:oMathPara>
        <m:oMathParaPr>
          <m:jc m:val="center"/>
        </m:oMathParaPr>
        <m:oMath>
          <m:sSub>
            <m:e>
              <m:r>
                <m:rPr>
                  <m:sty m:val="p"/>
                </m:rPr>
                <m:t>skill</m:t>
              </m:r>
            </m:e>
            <m:sub>
              <m:r>
                <m:t>e</m:t>
              </m:r>
            </m:sub>
          </m:sSub>
          <m:r>
            <m:rPr>
              <m:sty m:val="p"/>
            </m:rPr>
            <m:t>=</m:t>
          </m:r>
          <m:r>
            <m:t>1</m:t>
          </m:r>
          <m:r>
            <m:rPr>
              <m:sty m:val="p"/>
            </m:rPr>
            <m:t>−</m:t>
          </m:r>
          <m:f>
            <m:fPr>
              <m:type m:val="bar"/>
            </m:fPr>
            <m:num>
              <m:sSub>
                <m:e>
                  <m:r>
                    <m:rPr>
                      <m:sty m:val="p"/>
                    </m:rPr>
                    <m:t>MAE</m:t>
                  </m:r>
                </m:e>
                <m:sub>
                  <m:r>
                    <m:t>e</m:t>
                  </m:r>
                  <m:r>
                    <m:rPr>
                      <m:sty m:val="p"/>
                    </m:rPr>
                    <m:t>,</m:t>
                  </m:r>
                  <m:r>
                    <m:rPr>
                      <m:sty m:val="p"/>
                    </m:rPr>
                    <m:t>m</m:t>
                  </m:r>
                  <m:r>
                    <m:rPr>
                      <m:sty m:val="p"/>
                    </m:rPr>
                    <m:t>o</m:t>
                  </m:r>
                  <m:r>
                    <m:rPr>
                      <m:sty m:val="p"/>
                    </m:rPr>
                    <m:t>d</m:t>
                  </m:r>
                  <m:r>
                    <m:rPr>
                      <m:sty m:val="p"/>
                    </m:rPr>
                    <m:t>e</m:t>
                  </m:r>
                  <m:r>
                    <m:rPr>
                      <m:sty m:val="p"/>
                    </m:rPr>
                    <m:t>l</m:t>
                  </m:r>
                </m:sub>
              </m:sSub>
            </m:num>
            <m:den>
              <m:sSub>
                <m:e>
                  <m:r>
                    <m:rPr>
                      <m:sty m:val="p"/>
                    </m:rPr>
                    <m:t>MAE</m:t>
                  </m:r>
                </m:e>
                <m:sub>
                  <m:r>
                    <m:t>e</m:t>
                  </m:r>
                  <m:r>
                    <m:rPr>
                      <m:sty m:val="p"/>
                    </m:rPr>
                    <m:t>,</m:t>
                  </m:r>
                  <m:r>
                    <m:rPr>
                      <m:sty m:val="p"/>
                    </m:rPr>
                    <m:t>b</m:t>
                  </m:r>
                  <m:r>
                    <m:rPr>
                      <m:sty m:val="p"/>
                    </m:rPr>
                    <m:t>a</m:t>
                  </m:r>
                  <m:r>
                    <m:rPr>
                      <m:sty m:val="p"/>
                    </m:rPr>
                    <m:t>s</m:t>
                  </m:r>
                  <m:r>
                    <m:rPr>
                      <m:sty m:val="p"/>
                    </m:rPr>
                    <m:t>e</m:t>
                  </m:r>
                  <m:r>
                    <m:rPr>
                      <m:sty m:val="p"/>
                    </m:rPr>
                    <m:t>l</m:t>
                  </m:r>
                  <m:r>
                    <m:rPr>
                      <m:sty m:val="p"/>
                    </m:rPr>
                    <m:t>i</m:t>
                  </m:r>
                  <m:r>
                    <m:rPr>
                      <m:sty m:val="p"/>
                    </m:rPr>
                    <m:t>n</m:t>
                  </m:r>
                  <m:r>
                    <m:rPr>
                      <m:sty m:val="p"/>
                    </m:rPr>
                    <m:t>e</m:t>
                  </m:r>
                </m:sub>
              </m:sSub>
            </m:den>
          </m:f>
          <m:r>
            <m:rPr>
              <m:sty m:val="p"/>
            </m:rPr>
            <m:t>.</m:t>
          </m:r>
        </m:oMath>
      </m:oMathPara>
    </w:p>
    <w:p>
      <w:pPr>
        <w:pStyle w:val="FirstParagraph"/>
      </w:pPr>
      <w:r>
        <w:t xml:space="preserve">Every main curve and table also reports model MAE and baseline MAE in degrees C. The climatology denominator was withheld at or below 0.05 degrees C. The statistical frontier is the first gap at which the non-increasing 95% lower confidence curve ceases to exceed zero. It is not an ecological or operational safety threshold.</w:t>
      </w:r>
    </w:p>
    <w:p>
      <w:pPr>
        <w:pStyle w:val="BodyText"/>
      </w:pPr>
      <w:r>
        <w:t xml:space="preserve">The two frontier denominators–climatology and the validation-selected best simple baseline–pass through one anchor/year, overlap-aware bootstrap implementation. All 27 climatology frontier cells are identical between the summary and dual-denominator tables.</w:t>
      </w:r>
    </w:p>
    <w:p>
      <w:pPr>
        <w:pStyle w:val="BodyText"/>
      </w:pPr>
      <w:r>
        <w:t xml:space="preserve">Training seeds were averaged before inference. Frontier curves use 2,000 joint cross-gap resamples stratified by station and anchor year, with connected overlap components retained as blocks. For the model-versus-climatology family, one cross-gap mean per anchor/year is tested by the frozen two-sided Wilcoxon rule. Climatology self-comparisons are labelled</w:t>
      </w:r>
      <w:r>
        <w:t xml:space="preserve"> </w:t>
      </w:r>
      <w:r>
        <w:rPr>
          <w:rStyle w:val="VerbatimChar"/>
        </w:rPr>
        <w:t xml:space="preserve">reference_not_tested</w:t>
      </w:r>
      <w:r>
        <w:t xml:space="preserve">; they do not receive artificial</w:t>
      </w:r>
      <w:r>
        <w:t xml:space="preserve"> </w:t>
      </w:r>
      <m:oMath>
        <m:r>
          <m:t>p</m:t>
        </m:r>
        <m:r>
          <m:rPr>
            <m:sty m:val="p"/>
          </m:rPr>
          <m:t>=</m:t>
        </m:r>
        <m:r>
          <m:t>1</m:t>
        </m:r>
      </m:oMath>
      <w:r>
        <w:t xml:space="preserve"> </w:t>
      </w:r>
      <w:r>
        <w:t xml:space="preserve">values. Benjamini–Hochberg correction is applied across the 24 actual hypotheses.</w:t>
      </w:r>
    </w:p>
    <w:p>
      <w:pPr>
        <w:pStyle w:val="BodyText"/>
      </w:pPr>
      <w:r>
        <w:t xml:space="preserve">Two post-hoc robustness scores address the P3 transition. First, fixed model predictions are re-scored against a 2016–2020 state-matched climatology while the heuristic is recalibrated to the same state. Because this climatology includes evaluation years, the result diagnoses denominator contamination and is not a new test. Second, truth and prediction anomalies are separately demeaned within calendar year before MAE is computed; this removes constant and slower annual offsets while retaining within-year shape.</w:t>
      </w:r>
    </w:p>
    <w:bookmarkEnd w:id="18"/>
    <w:bookmarkStart w:id="19" w:name="X29501d4ab7c80d2975891d4ad9e046c2b8eaf83"/>
    <w:p>
      <w:pPr>
        <w:pStyle w:val="Heading3"/>
      </w:pPr>
      <w:r>
        <w:t xml:space="preserve">2.7 Donor falsification and cross-fitted node importance</w:t>
      </w:r>
    </w:p>
    <w:p>
      <w:pPr>
        <w:pStyle w:val="FirstParagraph"/>
      </w:pPr>
      <w:r>
        <w:t xml:space="preserve">Donor information was tested against lagged, implausible-lead, station-identity-permuted, and seasonal-residual-permuted contrasts. Persistence of gain under physically implausible contrasts falsifies a downstream-transport interpretation and restricts the claim to shared predictive information.</w:t>
      </w:r>
    </w:p>
    <w:p>
      <w:pPr>
        <w:pStyle w:val="BodyText"/>
      </w:pPr>
      <w:r>
        <w:t xml:space="preserve">Node importance avoids selecting a model on the event being scored. For every target, gap length, and failure set, we leave out one evaluation year, choose the lowest-mean-MAE roster model using the other two years, and score that fixed choice on all anchors in the held-out year. Climatology is an ordinary candidate, not an event-wise cap. Full- and failed-network errors are paired on the same target gap,</w:t>
      </w:r>
    </w:p>
    <w:p>
      <w:pPr>
        <w:pStyle w:val="BodyText"/>
      </w:pPr>
      <m:oMathPara>
        <m:oMathParaPr>
          <m:jc m:val="center"/>
        </m:oMathParaPr>
        <m:oMath>
          <m:sSub>
            <m:e>
              <m:r>
                <m:rPr>
                  <m:sty m:val="p"/>
                </m:rPr>
                <m:t>Δ</m:t>
              </m:r>
            </m:e>
            <m:sub>
              <m:r>
                <m:t>j</m:t>
              </m:r>
            </m:sub>
          </m:sSub>
          <m:r>
            <m:rPr>
              <m:sty m:val="p"/>
            </m:rPr>
            <m:t>=</m:t>
          </m:r>
          <m:r>
            <m:rPr>
              <m:sty m:val="p"/>
            </m:rPr>
            <m:t>MAE</m:t>
          </m:r>
          <m:r>
            <m:rPr>
              <m:sty m:val="p"/>
            </m:rPr>
            <m:t>(</m:t>
          </m:r>
          <m:sSub>
            <m:e>
              <m:acc>
                <m:accPr>
                  <m:chr m:val="̂"/>
                </m:accPr>
                <m:e>
                  <m:r>
                    <m:t>m</m:t>
                  </m:r>
                </m:e>
              </m:acc>
            </m:e>
            <m:sub>
              <m:r>
                <m:rPr>
                  <m:sty m:val="p"/>
                </m:rPr>
                <m:t>−</m:t>
              </m:r>
              <m:r>
                <m:t>y</m:t>
              </m:r>
              <m:r>
                <m:rPr>
                  <m:sty m:val="p"/>
                </m:rPr>
                <m:t>,</m:t>
              </m:r>
              <m:r>
                <m:t>j</m:t>
              </m:r>
            </m:sub>
          </m:sSub>
          <m:r>
            <m:rPr>
              <m:sty m:val="p"/>
            </m:rPr>
            <m:t>∣</m:t>
          </m:r>
          <m:r>
            <m:t>j</m:t>
          </m:r>
          <m:r>
            <m:t> </m:t>
          </m:r>
          <m:r>
            <m:rPr>
              <m:nor/>
              <m:sty m:val="p"/>
            </m:rPr>
            <m:t>failed</m:t>
          </m:r>
          <m:r>
            <m:rPr>
              <m:sty m:val="p"/>
            </m:rPr>
            <m:t>,</m:t>
          </m:r>
          <m:r>
            <m:t>y</m:t>
          </m:r>
          <m:r>
            <m:rPr>
              <m:sty m:val="p"/>
            </m:rPr>
            <m:t>)</m:t>
          </m:r>
          <m:r>
            <m:rPr>
              <m:sty m:val="p"/>
            </m:rPr>
            <m:t>−</m:t>
          </m:r>
          <m:r>
            <m:rPr>
              <m:sty m:val="p"/>
            </m:rPr>
            <m:t>MAE</m:t>
          </m:r>
          <m:r>
            <m:rPr>
              <m:sty m:val="p"/>
            </m:rPr>
            <m:t>(</m:t>
          </m:r>
          <m:sSub>
            <m:e>
              <m:acc>
                <m:accPr>
                  <m:chr m:val="̂"/>
                </m:accPr>
                <m:e>
                  <m:r>
                    <m:t>m</m:t>
                  </m:r>
                </m:e>
              </m:acc>
            </m:e>
            <m:sub>
              <m:r>
                <m:rPr>
                  <m:sty m:val="p"/>
                </m:rPr>
                <m:t>−</m:t>
              </m:r>
              <m:r>
                <m:t>y</m:t>
              </m:r>
              <m:r>
                <m:rPr>
                  <m:sty m:val="p"/>
                </m:rPr>
                <m:t>,</m:t>
              </m:r>
              <m:r>
                <m:t>0</m:t>
              </m:r>
            </m:sub>
          </m:sSub>
          <m:r>
            <m:rPr>
              <m:sty m:val="p"/>
            </m:rPr>
            <m:t>∣</m:t>
          </m:r>
          <m:r>
            <m:rPr>
              <m:nor/>
              <m:sty m:val="p"/>
            </m:rPr>
            <m:t>full network</m:t>
          </m:r>
          <m:r>
            <m:rPr>
              <m:sty m:val="p"/>
            </m:rPr>
            <m:t>,</m:t>
          </m:r>
          <m:r>
            <m:t>y</m:t>
          </m:r>
          <m:r>
            <m:rPr>
              <m:sty m:val="p"/>
            </m:rPr>
            <m:t>)</m:t>
          </m:r>
          <m:r>
            <m:rPr>
              <m:sty m:val="p"/>
            </m:rPr>
            <m:t>,</m:t>
          </m:r>
        </m:oMath>
      </m:oMathPara>
    </w:p>
    <w:p>
      <w:pPr>
        <w:pStyle w:val="FirstParagraph"/>
      </w:pPr>
      <w:r>
        <w:t xml:space="preserve">where</w:t>
      </w:r>
      <w:r>
        <w:t xml:space="preserve"> </w:t>
      </w:r>
      <m:oMath>
        <m:sSub>
          <m:e>
            <m:acc>
              <m:accPr>
                <m:chr m:val="̂"/>
              </m:accPr>
              <m:e>
                <m:r>
                  <m:t>m</m:t>
                </m:r>
              </m:e>
            </m:acc>
          </m:e>
          <m:sub>
            <m:r>
              <m:rPr>
                <m:sty m:val="p"/>
              </m:rPr>
              <m:t>−</m:t>
            </m:r>
            <m:r>
              <m:t>y</m:t>
            </m:r>
            <m:r>
              <m:rPr>
                <m:sty m:val="p"/>
              </m:rPr>
              <m:t>,</m:t>
            </m:r>
            <m:r>
              <m:t>j</m:t>
            </m:r>
          </m:sub>
        </m:sSub>
      </m:oMath>
      <w:r>
        <w:t xml:space="preserve"> </w:t>
      </w:r>
      <w:r>
        <w:t xml:space="preserve">is selected without year</w:t>
      </w:r>
      <w:r>
        <w:t xml:space="preserve"> </w:t>
      </w:r>
      <m:oMath>
        <m:r>
          <m:t>y</m:t>
        </m:r>
      </m:oMath>
      <w:r>
        <w:t xml:space="preserve">. We aggregate four gap lengths and bootstrap matched anchors within year. Because selection folds are drawn from development evaluation after the original analysis, this is an explicitly post-hoc, non-oracle sensitivity rather than independent confirmation. The former event-wise best envelope is retained only in Supporting Information.</w:t>
      </w:r>
    </w:p>
    <w:bookmarkEnd w:id="19"/>
    <w:bookmarkStart w:id="20" w:name="temporally-held-out-external-evaluation"/>
    <w:p>
      <w:pPr>
        <w:pStyle w:val="Heading3"/>
      </w:pPr>
      <w:r>
        <w:t xml:space="preserve">2.8 Temporally held-out external evaluation</w:t>
      </w:r>
    </w:p>
    <w:p>
      <w:pPr>
        <w:pStyle w:val="FirstParagraph"/>
      </w:pPr>
      <w:r>
        <w:t xml:space="preserve">Before opening 2023–2025 performance, the external sites, periods, variables, nine-model roster, mask seed, 60 scenarios, and complete train-only predicted curves were fixed. The heuristic classified 02334430 as memory-dominated and the other four sites as donor-dominated. The run created a once-lock before model scoring and completed all 540 model–scenario units. The originally frozen best-roster envelope is retained as a descriptive estimand because it selects the maximum observed performance within a confirmatory cell.</w:t>
      </w:r>
    </w:p>
    <w:p>
      <w:pPr>
        <w:pStyle w:val="BodyText"/>
      </w:pPr>
      <w:r>
        <w:t xml:space="preserve">Because that run used one mask placement per cell, a post-freeze diagnostic used only the 2021–2022 validation period. The same five sites, 30/90/180-day full-information blocks, nine-model roster, and 20 placements produced 2,700 cells; inputs were physically truncated before 2023, and confirmatory outputs were not read. For the non-oracle primary presentation, one fixed model per site is chosen by mean skill across all 60 validation site–gap–placement cells and then scored unchanged in 2023–2025. This selection rule was formulated after the confirmatory envelope had been observed, so it is labelled a post-hoc fixed-model sensitivity, not preregistration. Validation-period sample SD describes placement variation and is not a confirmatory confidence interval.</w:t>
      </w:r>
    </w:p>
    <w:bookmarkEnd w:id="20"/>
    <w:bookmarkStart w:id="21" w:name="X5e31326b5e4e503be683ce010620f2cb81d7aa2"/>
    <w:p>
      <w:pPr>
        <w:pStyle w:val="Heading3"/>
      </w:pPr>
      <w:r>
        <w:t xml:space="preserve">2.9 Independently frozen national regulation panel</w:t>
      </w:r>
    </w:p>
    <w:p>
      <w:pPr>
        <w:pStyle w:val="FirstParagraph"/>
      </w:pPr>
      <w:r>
        <w:t xml:space="preserve">After the two case-study analyses, but before reading any national temperature-panel outcome, we froze an independent USGS/GAGES-II test (</w:t>
      </w:r>
      <w:r>
        <w:rPr>
          <w:rStyle w:val="VerbatimChar"/>
        </w:rPr>
        <w:t xml:space="preserve">regulation_panel_freeze_v1</w:t>
      </w:r>
      <w:r>
        <w:t xml:space="preserve">; SHA-256</w:t>
      </w:r>
      <w:r>
        <w:t xml:space="preserve"> </w:t>
      </w:r>
      <w:r>
        <w:rPr>
          <w:rStyle w:val="VerbatimChar"/>
        </w:rPr>
        <w:t xml:space="preserve">260bd313...</w:t>
      </w:r>
      <w:r>
        <w:t xml:space="preserve">). Its runtime path guard and static source audit prohibit the Chattahoochee data, results, and once-lock. USGS primary daily-mean water-temperature metadata and approved values for 2000–2019 were joined by exact station number to routed GAGES-II watershed attributes</w:t>
      </w:r>
      <w:r>
        <w:t xml:space="preserve"> </w:t>
      </w:r>
      <w:r>
        <w:t xml:space="preserve">(U.S. Geological Survey 2026; Falcone 2011)</w:t>
      </w:r>
      <w:r>
        <w:t xml:space="preserve">. Eligible stream sites required one unspliced primary series and at least 10 calendar years with at least 300 approved days. The binary label was at least one upstream GAGES-II major dam in the 2009 snapshot; Euclidean nearest NID points were explicitly prohibited as upstream labels</w:t>
      </w:r>
      <w:r>
        <w:t xml:space="preserve"> </w:t>
      </w:r>
      <w:r>
        <w:t xml:space="preserve">(U.S. Army Corps of Engineers 2026)</w:t>
      </w:r>
      <w:r>
        <w:t xml:space="preserve">.</w:t>
      </w:r>
    </w:p>
    <w:p>
      <w:pPr>
        <w:pStyle w:val="BodyText"/>
      </w:pPr>
      <w:r>
        <w:t xml:space="preserve">The primary predictor was the pre-existing memory–range index. The frozen primary analysis was unadjusted logistic regression with HC1 uncertainty plus leave-one-aggregated-ecoregion-out ROC AUC and 2,000 ecoregion-cluster bootstrap draws. Pooled leave-one-ecoregion-out AUC is the frozen primary generalization metric; an AUC near 0.5 does not reopen the freeze. A drainage-area/ecoregion-adjusted coefficient and a regulated-site profile in 0–5, 5–20, 20–50, 50–100, and greater than 100 km nearest-major-dam bins were sensitivities; no threshold was selected.</w:t>
      </w:r>
    </w:p>
    <w:p>
      <w:pPr>
        <w:pStyle w:val="BodyText"/>
      </w:pPr>
      <w:r>
        <w:t xml:space="preserve">A post-hoc diagnosis computed AUC inside each held-out ecoregion because pooled out-of-fold AUC under leave-one-group-out can attribute intercept and base-rate mismatch to discrimination. Single-predictor logistic intercepts are calibrated on complementary folds whose dam rate is near 60%, then scored on held-out ecoregions whose dam rates range from 0 to 0.95. This diagnosis does not replace or reopen the freeze.</w:t>
      </w:r>
    </w:p>
    <w:p>
      <w:pPr>
        <w:pStyle w:val="BodyText"/>
      </w:pPr>
      <w:r>
        <w:t xml:space="preserve">The modern USGS daily API returned HTTP 429 after 26 of 56 atomic batches and no API key was available. Before any panel metric, a transport amendment froze the official legacy</w:t>
      </w:r>
      <w:r>
        <w:t xml:space="preserve"> </w:t>
      </w:r>
      <w:r>
        <w:rPr>
          <w:rStyle w:val="VerbatimChar"/>
        </w:rPr>
        <w:t xml:space="preserve">/dv</w:t>
      </w:r>
      <w:r>
        <w:t xml:space="preserve"> </w:t>
      </w:r>
      <w:r>
        <w:t xml:space="preserve">service as a fallback only for stations having exactly one frozen primary series; 22 multiple-series stations were excluded rather than spliced. Across 1,662,961 station-dates available from both transports, approved values agreed exactly. Results are labelled</w:t>
      </w:r>
      <w:r>
        <w:t xml:space="preserve"> </w:t>
      </w:r>
      <w:r>
        <w:rPr>
          <w:rStyle w:val="VerbatimChar"/>
        </w:rPr>
        <w:t xml:space="preserve">transport_limited_maximum_legal_panel</w:t>
      </w:r>
      <w:r>
        <w:t xml:space="preserve">; they do not claim a complete modern-API roster.</w:t>
      </w:r>
    </w:p>
    <w:bookmarkEnd w:id="21"/>
    <w:bookmarkStart w:id="22" w:name="preregistered-versus-post-hoc-analyses"/>
    <w:p>
      <w:pPr>
        <w:pStyle w:val="Heading3"/>
      </w:pPr>
      <w:r>
        <w:t xml:space="preserve">2.10 Preregistered versus post-hoc analyses</w:t>
      </w:r>
    </w:p>
    <w:p>
      <w:pPr>
        <w:pStyle w:val="FirstParagraph"/>
      </w:pPr>
      <w:r>
        <w:t xml:space="preserve">The table below classifies the analyses that appear in the main text. Frozen items were written before the outcomes they constrain. Post-hoc items are labelled as such wherever they support a claim. The external validation-selected fixed-model rule is post-hoc; it is not preregistered confirmation.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Analysis</w:t>
            </w:r>
          </w:p>
        </w:tc>
        <w:tc>
          <w:tcPr/>
          <w:p>
            <w:pPr>
              <w:pStyle w:val="Compact"/>
            </w:pPr>
            <w:r>
              <w:t xml:space="preserve">Classification</w:t>
            </w:r>
          </w:p>
        </w:tc>
      </w:tr>
      <w:tr>
        <w:tc>
          <w:tcPr/>
          <w:p>
            <w:pPr>
              <w:pStyle w:val="Compact"/>
            </w:pPr>
            <w:r>
              <w:t xml:space="preserve">Jinsha 2006–2015 covariance heuristic and donor/memory type</w:t>
            </w:r>
          </w:p>
        </w:tc>
        <w:tc>
          <w:tcPr/>
          <w:p>
            <w:pPr>
              <w:pStyle w:val="Compact"/>
            </w:pPr>
            <w:r>
              <w:t xml:space="preserve">Frozen; written before dense aggregation</w:t>
            </w:r>
          </w:p>
        </w:tc>
      </w:tr>
      <w:tr>
        <w:tc>
          <w:tcPr/>
          <w:p>
            <w:pPr>
              <w:pStyle w:val="Compact"/>
            </w:pPr>
            <w:r>
              <w:t xml:space="preserve">Formal nine-model roster after stability exclusion</w:t>
            </w:r>
          </w:p>
        </w:tc>
        <w:tc>
          <w:tcPr/>
          <w:p>
            <w:pPr>
              <w:pStyle w:val="Compact"/>
            </w:pPr>
            <w:r>
              <w:t xml:space="preserve">Frozen</w:t>
            </w:r>
          </w:p>
        </w:tc>
      </w:tr>
      <w:tr>
        <w:tc>
          <w:tcPr/>
          <w:p>
            <w:pPr>
              <w:pStyle w:val="Compact"/>
            </w:pPr>
            <w:r>
              <w:t xml:space="preserve">External sites, periods, masks, and train-only predicted curves</w:t>
            </w:r>
          </w:p>
        </w:tc>
        <w:tc>
          <w:tcPr/>
          <w:p>
            <w:pPr>
              <w:pStyle w:val="Compact"/>
            </w:pPr>
            <w:r>
              <w:t xml:space="preserve">Frozen before 2023–2025 outcomes</w:t>
            </w:r>
          </w:p>
        </w:tc>
      </w:tr>
      <w:tr>
        <w:tc>
          <w:tcPr/>
          <w:p>
            <w:pPr>
              <w:pStyle w:val="Compact"/>
            </w:pPr>
            <w:r>
              <w:t xml:space="preserve">Evaluate-once confirmatory lock</w:t>
            </w:r>
          </w:p>
        </w:tc>
        <w:tc>
          <w:tcPr/>
          <w:p>
            <w:pPr>
              <w:pStyle w:val="Compact"/>
            </w:pPr>
            <w:r>
              <w:t xml:space="preserve">Frozen</w:t>
            </w:r>
          </w:p>
        </w:tc>
      </w:tr>
      <w:tr>
        <w:tc>
          <w:tcPr/>
          <w:p>
            <w:pPr>
              <w:pStyle w:val="Compact"/>
            </w:pPr>
            <w:r>
              <w:t xml:space="preserve">National panel freeze v1 and transport amendment</w:t>
            </w:r>
          </w:p>
        </w:tc>
        <w:tc>
          <w:tcPr/>
          <w:p>
            <w:pPr>
              <w:pStyle w:val="Compact"/>
            </w:pPr>
            <w:r>
              <w:t xml:space="preserve">Frozen before any panel metric</w:t>
            </w:r>
          </w:p>
        </w:tc>
      </w:tr>
      <w:tr>
        <w:tc>
          <w:tcPr/>
          <w:p>
            <w:pPr>
              <w:pStyle w:val="Compact"/>
            </w:pPr>
            <w:r>
              <w:t xml:space="preserve">Unadjusted logistic regression and pooled leave-one-ecoregion-out AUC</w:t>
            </w:r>
          </w:p>
        </w:tc>
        <w:tc>
          <w:tcPr/>
          <w:p>
            <w:pPr>
              <w:pStyle w:val="Compact"/>
            </w:pPr>
            <w:r>
              <w:t xml:space="preserve">Frozen primary national analysis</w:t>
            </w:r>
          </w:p>
        </w:tc>
      </w:tr>
      <w:tr>
        <w:tc>
          <w:tcPr/>
          <w:p>
            <w:pPr>
              <w:pStyle w:val="Compact"/>
            </w:pPr>
            <w:r>
              <w:t xml:space="preserve">Drainage-area/ecoregion-adjusted logistic and regulated-site distance profile</w:t>
            </w:r>
          </w:p>
        </w:tc>
        <w:tc>
          <w:tcPr/>
          <w:p>
            <w:pPr>
              <w:pStyle w:val="Compact"/>
            </w:pPr>
            <w:r>
              <w:t xml:space="preserve">Predeclared national sensitivities</w:t>
            </w:r>
          </w:p>
        </w:tc>
      </w:tr>
      <w:tr>
        <w:tc>
          <w:tcPr/>
          <w:p>
            <w:pPr>
              <w:pStyle w:val="Compact"/>
            </w:pPr>
            <w:r>
              <w:t xml:space="preserve">Donor-falsification contrasts</w:t>
            </w:r>
          </w:p>
        </w:tc>
        <w:tc>
          <w:tcPr/>
          <w:p>
            <w:pPr>
              <w:pStyle w:val="Compact"/>
            </w:pPr>
            <w:r>
              <w:t xml:space="preserve">Frozen</w:t>
            </w:r>
          </w:p>
        </w:tc>
      </w:tr>
      <w:tr>
        <w:tc>
          <w:tcPr/>
          <w:p>
            <w:pPr>
              <w:pStyle w:val="Compact"/>
            </w:pPr>
            <w:r>
              <w:t xml:space="preserve">2016–2017 as the model-selection / validation split</w:t>
            </w:r>
          </w:p>
        </w:tc>
        <w:tc>
          <w:tcPr/>
          <w:p>
            <w:pPr>
              <w:pStyle w:val="Compact"/>
            </w:pPr>
            <w:r>
              <w:t xml:space="preserve">Frozen</w:t>
            </w:r>
          </w:p>
        </w:tc>
      </w:tr>
      <w:tr>
        <w:tc>
          <w:tcPr/>
          <w:p>
            <w:pPr>
              <w:pStyle w:val="Compact"/>
            </w:pPr>
            <w:r>
              <w:t xml:space="preserve">2016–2017 heuristic recalculation</w:t>
            </w:r>
          </w:p>
        </w:tc>
        <w:tc>
          <w:tcPr/>
          <w:p>
            <w:pPr>
              <w:pStyle w:val="Compact"/>
            </w:pPr>
            <w:r>
              <w:t xml:space="preserve">Post-hoc; leakage-free bridge</w:t>
            </w:r>
          </w:p>
        </w:tc>
      </w:tr>
      <w:tr>
        <w:tc>
          <w:tcPr/>
          <w:p>
            <w:pPr>
              <w:pStyle w:val="Compact"/>
            </w:pPr>
            <w:r>
              <w:t xml:space="preserve">2016–2020 state-matched heuristic and climatology</w:t>
            </w:r>
          </w:p>
        </w:tc>
        <w:tc>
          <w:tcPr/>
          <w:p>
            <w:pPr>
              <w:pStyle w:val="Compact"/>
            </w:pPr>
            <w:r>
              <w:t xml:space="preserve">Post-hoc</w:t>
            </w:r>
          </w:p>
        </w:tc>
      </w:tr>
      <w:tr>
        <w:tc>
          <w:tcPr/>
          <w:p>
            <w:pPr>
              <w:pStyle w:val="Compact"/>
            </w:pPr>
            <w:r>
              <w:t xml:space="preserve">Annual demeaning</w:t>
            </w:r>
          </w:p>
        </w:tc>
        <w:tc>
          <w:tcPr/>
          <w:p>
            <w:pPr>
              <w:pStyle w:val="Compact"/>
            </w:pPr>
            <w:r>
              <w:t xml:space="preserve">Post-hoc</w:t>
            </w:r>
          </w:p>
        </w:tc>
      </w:tr>
      <w:tr>
        <w:tc>
          <w:tcPr/>
          <w:p>
            <w:pPr>
              <w:pStyle w:val="Compact"/>
            </w:pPr>
            <w:r>
              <w:t xml:space="preserve">Expanded covariate budget</w:t>
            </w:r>
          </w:p>
        </w:tc>
        <w:tc>
          <w:tcPr/>
          <w:p>
            <w:pPr>
              <w:pStyle w:val="Compact"/>
            </w:pPr>
            <w:r>
              <w:t xml:space="preserve">Post-hoc</w:t>
            </w:r>
          </w:p>
        </w:tc>
      </w:tr>
      <w:tr>
        <w:tc>
          <w:tcPr/>
          <w:p>
            <w:pPr>
              <w:pStyle w:val="Compact"/>
            </w:pPr>
            <w:r>
              <w:t xml:space="preserve">P3 Pettitt and least-squares change-date</w:t>
            </w:r>
          </w:p>
        </w:tc>
        <w:tc>
          <w:tcPr/>
          <w:p>
            <w:pPr>
              <w:pStyle w:val="Compact"/>
            </w:pPr>
            <w:r>
              <w:t xml:space="preserve">Post-hoc</w:t>
            </w:r>
          </w:p>
        </w:tc>
      </w:tr>
      <w:tr>
        <w:tc>
          <w:tcPr/>
          <w:p>
            <w:pPr>
              <w:pStyle w:val="Compact"/>
            </w:pPr>
            <w:r>
              <w:t xml:space="preserve">Cross-fitted node importance</w:t>
            </w:r>
          </w:p>
        </w:tc>
        <w:tc>
          <w:tcPr/>
          <w:p>
            <w:pPr>
              <w:pStyle w:val="Compact"/>
            </w:pPr>
            <w:r>
              <w:t xml:space="preserve">Post-hoc</w:t>
            </w:r>
          </w:p>
        </w:tc>
      </w:tr>
      <w:tr>
        <w:tc>
          <w:tcPr/>
          <w:p>
            <w:pPr>
              <w:pStyle w:val="Compact"/>
            </w:pPr>
            <w:r>
              <w:t xml:space="preserve">External validation-selected fixed-model rule</w:t>
            </w:r>
          </w:p>
        </w:tc>
        <w:tc>
          <w:tcPr/>
          <w:p>
            <w:pPr>
              <w:pStyle w:val="Compact"/>
            </w:pPr>
            <w:r>
              <w:t xml:space="preserve">Post-hoc; not preregistered confirmation</w:t>
            </w:r>
          </w:p>
        </w:tc>
      </w:tr>
      <w:tr>
        <w:tc>
          <w:tcPr/>
          <w:p>
            <w:pPr>
              <w:pStyle w:val="Compact"/>
            </w:pPr>
            <w:r>
              <w:t xml:space="preserve">External 20-seed placement SD</w:t>
            </w:r>
          </w:p>
        </w:tc>
        <w:tc>
          <w:tcPr/>
          <w:p>
            <w:pPr>
              <w:pStyle w:val="Compact"/>
            </w:pPr>
            <w:r>
              <w:t xml:space="preserve">Post-hoc</w:t>
            </w:r>
          </w:p>
        </w:tc>
      </w:tr>
      <w:tr>
        <w:tc>
          <w:tcPr/>
          <w:p>
            <w:pPr>
              <w:pStyle w:val="Compact"/>
            </w:pPr>
            <w:r>
              <w:t xml:space="preserve">Within-fold leave-one-ecoregion-out AUC diagnosis</w:t>
            </w:r>
          </w:p>
        </w:tc>
        <w:tc>
          <w:tcPr/>
          <w:p>
            <w:pPr>
              <w:pStyle w:val="Compact"/>
            </w:pPr>
            <w:r>
              <w:t xml:space="preserve">Post-hoc; this revision; does not reopen the freeze</w:t>
            </w:r>
          </w:p>
        </w:tc>
      </w:tr>
    </w:tbl>
    <w:bookmarkEnd w:id="22"/>
    <w:bookmarkEnd w:id="23"/>
    <w:bookmarkStart w:id="30" w:name="results"/>
    <w:p>
      <w:pPr>
        <w:pStyle w:val="Heading2"/>
      </w:pPr>
      <w:r>
        <w:t xml:space="preserve">3. Results</w:t>
      </w:r>
    </w:p>
    <w:bookmarkStart w:id="24" w:name="X211d9bddb4c65a7c61bea4c770eb83cbe4b4061"/>
    <w:p>
      <w:pPr>
        <w:pStyle w:val="Heading3"/>
      </w:pPr>
      <w:r>
        <w:t xml:space="preserve">3.1 A regulation-consistent thermal transition at P3</w:t>
      </w:r>
    </w:p>
    <w:p>
      <w:pPr>
        <w:pStyle w:val="FirstParagraph"/>
      </w:pPr>
      <w:r>
        <w:t xml:space="preserve">P3 annual endpoints shifted in 2015 (Figure 2; Table 2). In 2006–2014, its annual minimum was 8.7–10.3 degrees C and annual amplitude was 11.7–14.1 degrees C. In 2015–2020, minima were 11.5–12.5 degrees C and amplitudes were 9.6–10.7 degrees C. Relative to the 2006–2015 climatology, anomaly SD increased from 0.91 degrees C before impoundment to 1.96 degrees C afterward, and acf30 increased from 0.39 to 0.76. B1 and S2 showed no comparable endpoint shift: their pre/post anomaly SD values were 0.94/0.91 and 0.78/0.81 degrees C, and acf30 remained near 0.14/0.07 and 0.14/0.11. If the P3 transition were a basin-wide climate shift, B1 and S2 would have shown comparable increases in anomaly SD and acf30; they did not.</w:t>
      </w:r>
    </w:p>
    <w:p>
      <w:pPr>
        <w:pStyle w:val="BodyText"/>
      </w:pPr>
      <w:r>
        <w:t xml:space="preserve">The formal daily change date was method-sensitive. Pettitt estimated 26 May 2013 (95% 365-day moving-block residual-bootstrap interval, 14 May 2011 to 22 October 2013). The dependence-aware calendar-year permutation p value was 0.0088, but the interval did not contain 20 December 2014. Least-squares single segmentation instead estimated 18 October 2014 (interval, 16 April 2014 to 1 January 2015; year-block</w:t>
      </w:r>
      <w:r>
        <w:t xml:space="preserve"> </w:t>
      </w:r>
      <m:oMath>
        <m:r>
          <m:t>p</m:t>
        </m:r>
        <m:r>
          <m:rPr>
            <m:sty m:val="p"/>
          </m:rPr>
          <m:t>=</m:t>
        </m:r>
        <m:r>
          <m:t>0.0117</m:t>
        </m:r>
      </m:oMath>
      <w:r>
        <w:t xml:space="preserve">), and that interval did contain first-unit operation. In 2015, annual minimum was 2.8 degrees C above and amplitude 2.4 degrees C below their 2006–2014 medians, but annual Pettitt tests were not significant (</w:t>
      </w:r>
      <m:oMath>
        <m:r>
          <m:t>p</m:t>
        </m:r>
        <m:r>
          <m:rPr>
            <m:sty m:val="p"/>
          </m:rPr>
          <m:t>=</m:t>
        </m:r>
        <m:r>
          <m:t>0.2208</m:t>
        </m:r>
      </m:oMath>
      <w:r>
        <w:t xml:space="preserve"> </w:t>
      </w:r>
      <w:r>
        <w:t xml:space="preserve">and</w:t>
      </w:r>
      <w:r>
        <w:t xml:space="preserve"> </w:t>
      </w:r>
      <m:oMath>
        <m:r>
          <m:t>0.8607</m:t>
        </m:r>
      </m:oMath>
      <w:r>
        <w:t xml:space="preserve">) with only one post-commissioning fitting year. We therefore infer a statistically detectable but method-sensitive state change and temporal consistency in one sensitivity, not precise localization of commissioning or causal attribution by change-point analysis alone.</w:t>
      </w:r>
    </w:p>
    <w:p>
      <w:pPr>
        <w:pStyle w:val="BodyText"/>
      </w:pPr>
      <w:r>
        <w:t xml:space="preserve">The covariance calculation classified B1 and S2 as donor-dominated and P3 as memory-dominated without dam information. The labels were unchanged at 14, 30, 60, and 90 days. P3 ranked first within the Jinsha network on the memory–range index. The same diagnostic selected Chattahoochee site 02334430, immediately below Buford Dam, as the only memory-dominated site at all four horizons. Downstream, observed temperature range increased from 9.9 to 14.8, 18.0, 23.7, and 24.0 degrees C, whereas acf30 declined from 0.762 to 0.397, 0.377, 0.304, and 0.281. That pattern is consistent with, but does not by itself identify, thermal re-equilibration below a regulated release</w:t>
      </w:r>
      <w:r>
        <w:t xml:space="preserve"> </w:t>
      </w:r>
      <w:r>
        <w:t xml:space="preserve">(Zhao et al. 2020; Seyedhashemi et al. 2021)</w:t>
      </w:r>
      <w:r>
        <w:t xml:space="preserve">.</w:t>
      </w:r>
    </w:p>
    <w:bookmarkEnd w:id="24"/>
    <w:bookmarkStart w:id="25" w:name="X76d5772b32b28ed21be6f050746384016b814d2"/>
    <w:p>
      <w:pPr>
        <w:pStyle w:val="Heading3"/>
      </w:pPr>
      <w:r>
        <w:t xml:space="preserve">3.2 The heuristic predicts shape but not a universal ceiling</w:t>
      </w:r>
    </w:p>
    <w:p>
      <w:pPr>
        <w:pStyle w:val="FirstParagraph"/>
      </w:pPr>
      <w:r>
        <w:t xml:space="preserve">The frozen donor</w:t>
      </w:r>
      <w:r>
        <w:t xml:space="preserve"> </w:t>
      </w:r>
      <m:oMath>
        <m:sSup>
          <m:e>
            <m:r>
              <m:t>R</m:t>
            </m:r>
          </m:e>
          <m:sup>
            <m:r>
              <m:t>2</m:t>
            </m:r>
          </m:sup>
        </m:sSup>
      </m:oMath>
      <w:r>
        <w:t xml:space="preserve"> </w:t>
      </w:r>
      <w:r>
        <w:t xml:space="preserve">was 0.464 at B1, 0.470 at S2, and 0.106 at P3. Best-envelope correlations with the predicted curve were 0.72, 0.94, and 0.95; mean absolute skill errors were 0.077, 0.085, and 0.122 (Figure 3). The best model exceeded the point heuristic in 20 of 45 cells. Nine lower confidence bounds exceeded it, all at P3; none did so at B1 or S2. These results support qualitative shape screening at B1/S2 but reject the original interpretation as a universal ceiling.</w:t>
      </w:r>
    </w:p>
    <w:p>
      <w:pPr>
        <w:pStyle w:val="BodyText"/>
      </w:pPr>
      <w:r>
        <w:t xml:space="preserve">The expanded covariate regression raised</w:t>
      </w:r>
      <w:r>
        <w:t xml:space="preserve"> </w:t>
      </w:r>
      <m:oMath>
        <m:sSup>
          <m:e>
            <m:r>
              <m:t>R</m:t>
            </m:r>
          </m:e>
          <m:sup>
            <m:r>
              <m:t>2</m:t>
            </m:r>
          </m:sup>
        </m:sSup>
      </m:oMath>
      <w:r>
        <w:t xml:space="preserve"> </w:t>
      </w:r>
      <w:r>
        <w:t xml:space="preserve">only from 0.464 to 0.537 at B1, 0.470 to 0.532 at S2, and 0.106 to 0.148 at P3. The corresponding P3 long-gap skill approximation rose only from 0.055 to 0.077, excluding omission of measured air temperature and hydraulics as a sufficient explanation.</w:t>
      </w:r>
    </w:p>
    <w:p>
      <w:pPr>
        <w:pStyle w:val="BodyText"/>
      </w:pPr>
      <w:r>
        <w:t xml:space="preserve">State control strongly changed the P3 conclusion. Re-scoring against a 2016–2020 climatology reduced lower-bound exceedances from nine to one; at 365 days, XGBoost changed from skill 0.209 against the old climatology to -0.588 against the state-matched climatology, while the recalibrated heuristic was 0.069. Annual demeaning was less decisive: P3 XGBoost retained skill 0.164 (95% interval 0.130–0.197) at 365 days. Thus the sustained offset explains much of the apparent long-gap advantage, but within-year structure also remains recoverable.</w:t>
      </w:r>
    </w:p>
    <w:bookmarkEnd w:id="25"/>
    <w:bookmarkStart w:id="26" w:name="Xf7fe7737363ca20638832e8b554c8485d344768"/>
    <w:p>
      <w:pPr>
        <w:pStyle w:val="Heading3"/>
      </w:pPr>
      <w:r>
        <w:t xml:space="preserve">3.3 Relative skill represents tenths of a degree</w:t>
      </w:r>
    </w:p>
    <w:p>
      <w:pPr>
        <w:pStyle w:val="FirstParagraph"/>
      </w:pPr>
      <w:r>
        <w:t xml:space="preserve">Training climatology explained 97.0% of B1 temperature variance, 97.2% at S2, and 91.6% at P3. Across the dense design, climatology MAE ranged from 0.681 to 0.771 degrees C at B1, 0.648 to 0.704 degrees C at S2, and 1.218 to 1.347 degrees C at P3 (Figure 4; Table 4). A skill of 0.25 therefore usually represents an improvement of roughly 0.17–0.34 degrees C, not a multi-degree change.</w:t>
      </w:r>
    </w:p>
    <w:p>
      <w:pPr>
        <w:pStyle w:val="BodyText"/>
      </w:pPr>
      <w:r>
        <w:t xml:space="preserve">Using the single corrected frontier path, random forest and XGBoost were right-censored at 365 days at B1 and S2, and XGBoost was right-censored at P3. Interpolation/Kalman frontiers occurred at 7.0–8.8 days at B1, 21.2–22.7 days at S2, and 93.1–160.0 days at P3. No fixed model was robustly superior to the validation-selected best-simple denominator across the full dense curve. Of 24 actual model-versus-climatology hypotheses, 14 passed BH correction. Seven had positive mean skill: random forest and XGBoost at B1; donor regression, random forest, and XGBoost at S2; and Kalman and XGBoost at P3. Seven additional rejections identified methods significantly worse than climatology. These directional results replace the former family of 27 artificial</w:t>
      </w:r>
      <w:r>
        <w:t xml:space="preserve"> </w:t>
      </w:r>
      <m:oMath>
        <m:r>
          <m:t>p</m:t>
        </m:r>
        <m:r>
          <m:rPr>
            <m:sty m:val="p"/>
          </m:rPr>
          <m:t>=</m:t>
        </m:r>
        <m:r>
          <m:t>1</m:t>
        </m:r>
      </m:oMath>
      <w:r>
        <w:t xml:space="preserve"> </w:t>
      </w:r>
      <w:r>
        <w:t xml:space="preserve">values.</w:t>
      </w:r>
    </w:p>
    <w:bookmarkEnd w:id="26"/>
    <w:bookmarkStart w:id="27" w:name="Xab9082070cd35d4efd82011fd4b315fbade709d"/>
    <w:p>
      <w:pPr>
        <w:pStyle w:val="Heading3"/>
      </w:pPr>
      <w:r>
        <w:t xml:space="preserve">3.4 Donor value reflects shared forcing; cross-fitted costs are modest</w:t>
      </w:r>
    </w:p>
    <w:p>
      <w:pPr>
        <w:pStyle w:val="FirstParagraph"/>
      </w:pPr>
      <w:r>
        <w:t xml:space="preserve">Observed same-day donor information exceeded the station-identity permutation by 0.057 skill across 60 paired units (</w:t>
      </w:r>
      <m:oMath>
        <m:r>
          <m:t>p</m:t>
        </m:r>
        <m:r>
          <m:rPr>
            <m:sty m:val="p"/>
          </m:rPr>
          <m:t>=</m:t>
        </m:r>
        <m:r>
          <m:t>0.000179</m:t>
        </m:r>
      </m:oMath>
      <w:r>
        <w:t xml:space="preserve">). However, gain persisted under identity permutation and implausible lags, triggering the preregistered</w:t>
      </w:r>
      <w:r>
        <w:t xml:space="preserve"> </w:t>
      </w:r>
      <w:r>
        <w:rPr>
          <w:rStyle w:val="VerbatimChar"/>
        </w:rPr>
        <w:t xml:space="preserve">falsified_network_propagation</w:t>
      </w:r>
      <w:r>
        <w:t xml:space="preserve"> </w:t>
      </w:r>
      <w:r>
        <w:t xml:space="preserve">decision. Synchronous stations therefore carry shared climatic or regulation information, but the experiment does not identify downstream heat transport.</w:t>
      </w:r>
    </w:p>
    <w:p>
      <w:pPr>
        <w:pStyle w:val="BodyText"/>
      </w:pPr>
      <w:r>
        <w:t xml:space="preserve">The cross-fitted estimator changed both magnitude and interpretation (Figure 5; Table 5). Averaged over four gap lengths, losing S2 increased B1 MAE by 0.105 degrees C (95% bootstrap interval 0.044–0.169). B1 and P3 losses changed B1 MAE by -0.023 (-0.061–0.016) and -0.013 (-0.040–0.016) degrees C. For P3 recovery, B1 and S2 losses increased MAE by 0.058 (0.010–0.119) and 0.054 (0.012–0.113) degrees C. No S2-target contrast excluded zero. These are post-hoc policy sensitivities under leave-one-year-out selection, not causal station values or event-wise oracle minima.</w:t>
      </w:r>
    </w:p>
    <w:bookmarkEnd w:id="27"/>
    <w:bookmarkStart w:id="28" w:name="Xf3338db0e322aac02b99958b57f98094f544d11"/>
    <w:p>
      <w:pPr>
        <w:pStyle w:val="Heading3"/>
      </w:pPr>
      <w:r>
        <w:t xml:space="preserve">3.5 Held-out long-gap ordering transfers, but magnitude does not</w:t>
      </w:r>
    </w:p>
    <w:p>
      <w:pPr>
        <w:pStyle w:val="FirstParagraph"/>
      </w:pPr>
      <w:r>
        <w:t xml:space="preserve">Mean performance over the 2021–2022 validation placements selected XGBoost at all five sites before the fixed-model sensitivity was scored in 2023–2025 (Figure 6). At site 02334430 below Buford Dam, its skill was -0.209, -0.380, and -0.300 at 30, 90, and 180 days. The four donor-dominated sites retained 180-day skill of 0.726, 0.555, 0.746, and 0.724. Thus the memory site was the weakest at both 90 and 180 days under one fixed model, without selecting the best model in each scored cell.</w:t>
      </w:r>
    </w:p>
    <w:p>
      <w:pPr>
        <w:pStyle w:val="BodyText"/>
      </w:pPr>
      <w:r>
        <w:t xml:space="preserve">The 20-placement validation diagnostic showed substantial variation. For the selected XGBoost policy, 180-day skill SD was 0.175 at 02334430 and 0.180, 0.121, 0.058, and 0.043 at the donor sites. These are validation-period noise scales, not uncertainty intervals for the single 2023–2025 placement. The originally frozen best-roster envelope gave 02334430 skill 0.141 at 180 days, illustrating how within-cell outcome selection can make the same site appear more recoverable; that envelope is now descriptive only.</w:t>
      </w:r>
    </w:p>
    <w:p>
      <w:pPr>
        <w:pStyle w:val="BodyText"/>
      </w:pPr>
      <w:r>
        <w:t xml:space="preserve">The heuristic predicted 0.414 skill at 180 days for 02334430 but the selected fixed model achieved -0.300. Exact magnitudes therefore did not transfer. The external result supports long-gap type ordering in one temporal/network evaluation, not a universal frontier or a causal regulation effect.</w:t>
      </w:r>
    </w:p>
    <w:bookmarkEnd w:id="28"/>
    <w:bookmarkStart w:id="29" w:name="Xe0652b0a720e51b62a6084ed5a58fb2185b3109"/>
    <w:p>
      <w:pPr>
        <w:pStyle w:val="Heading3"/>
      </w:pPr>
      <w:r>
        <w:t xml:space="preserve">3.6 National panel supports a distance gradient, not a standalone classifier</w:t>
      </w:r>
    </w:p>
    <w:p>
      <w:pPr>
        <w:pStyle w:val="FirstParagraph"/>
      </w:pPr>
      <w:r>
        <w:t xml:space="preserve">The frozen national flow discovered 5,707 temperature series, found 1,361 exact GAGES-II station overlaps and 1,344 stream sites, and retained 335 eligible stations (209 with and 126 without an upstream major dam). The primary unadjusted association was positive but uncertain: odds ratio 1.23 per index SD (95% CI 0.93–1.61;</w:t>
      </w:r>
      <w:r>
        <w:t xml:space="preserve"> </w:t>
      </w:r>
      <m:oMath>
        <m:r>
          <m:t>p</m:t>
        </m:r>
        <m:r>
          <m:rPr>
            <m:sty m:val="p"/>
          </m:rPr>
          <m:t>=</m:t>
        </m:r>
        <m:r>
          <m:t>0.144</m:t>
        </m:r>
      </m:oMath>
      <w:r>
        <w:t xml:space="preserve">). More importantly, the frozen primary pooled leave-one-ecoregion-out AUC was 0.407 (ecoregion-cluster bootstrap interval 0.222–0.515; Figure 7). The index alone therefore did not generalize as a national major-dam classifier.</w:t>
      </w:r>
    </w:p>
    <w:p>
      <w:pPr>
        <w:pStyle w:val="BodyText"/>
      </w:pPr>
      <w:r>
        <w:t xml:space="preserve">A post-hoc diagnosis then computed AUC inside each held-out ecoregion (Text S15; Table S8). Fold dam rates ranged from 0 (Alaska) to 0.95 (WestPlains). In this post-hoc diagnosis, the correlation between fold base rate and fold out-of-fold probability median was</w:t>
      </w:r>
      <w:r>
        <w:t xml:space="preserve"> </w:t>
      </w:r>
      <m:oMath>
        <m:r>
          <m:rPr>
            <m:sty m:val="p"/>
          </m:rPr>
          <m:t>−</m:t>
        </m:r>
        <m:r>
          <m:t>0.671</m:t>
        </m:r>
      </m:oMath>
      <w:r>
        <w:t xml:space="preserve">: the Alaska fold, with no regulated sites, had the highest median predicted probability (0.722), whereas WestPlains had the lowest (0.559) despite a 0.95 dam rate. Post-hoc mean and median within-fold AUC were 0.526 and 0.513. Four eastern and central folds had AUC 0.614–0.755 (NorthEast 0.755,</w:t>
      </w:r>
      <w:r>
        <w:t xml:space="preserve"> </w:t>
      </w:r>
      <m:oMath>
        <m:r>
          <m:t>n</m:t>
        </m:r>
        <m:r>
          <m:rPr>
            <m:sty m:val="p"/>
          </m:rPr>
          <m:t>=</m:t>
        </m:r>
        <m:r>
          <m:t>33</m:t>
        </m:r>
      </m:oMath>
      <w:r>
        <w:t xml:space="preserve">, base rate 0.727; EastHghlnds 0.742; CntlPlains 0.667; MxWdShld 0.614). The Southeast Plains reversed the case-study direction (AUC 0.132;</w:t>
      </w:r>
      <w:r>
        <w:t xml:space="preserve"> </w:t>
      </w:r>
      <m:oMath>
        <m:r>
          <m:t>n</m:t>
        </m:r>
        <m:r>
          <m:rPr>
            <m:sty m:val="p"/>
          </m:rPr>
          <m:t>=</m:t>
        </m:r>
        <m:r>
          <m:t>63</m:t>
        </m:r>
      </m:oMath>
      <w:r>
        <w:t xml:space="preserve">; base rate 0.508). That reversal is consistent with a mechanism sketch in which natural low-amplitude, long-memory regimes–groundwater influence, sluggish flow, and a warm climate–can reproduce the regulated signature; it is not a causal attribution. The same geography is consistent with within-climate comparisons such as Jinsha and Chattahoochee holding while a national classifier fails. The post-hoc mean of 0.526 is still no national skill and does not replace the frozen primary.</w:t>
      </w:r>
    </w:p>
    <w:p>
      <w:pPr>
        <w:pStyle w:val="BodyText"/>
      </w:pPr>
      <w:r>
        <w:t xml:space="preserve">The frozen sensitivities retained a localized signal. After drainage-area and ecoregion adjustment, the index odds ratio was 2.52 (1.18–5.36;</w:t>
      </w:r>
      <w:r>
        <w:t xml:space="preserve"> </w:t>
      </w:r>
      <m:oMath>
        <m:r>
          <m:t>p</m:t>
        </m:r>
        <m:r>
          <m:rPr>
            <m:sty m:val="p"/>
          </m:rPr>
          <m:t>=</m:t>
        </m:r>
        <m:r>
          <m:t>0.0167</m:t>
        </m:r>
      </m:oMath>
      <w:r>
        <w:t xml:space="preserve">), although a single-class Alaska ecoregion produced a fixed-effect separation warning. Among regulated watersheds, median memory–range index declined from 0.0110 for 83 stations within 5 km of a major dam to 0.00690 at 5–20 km, 0.00611 at 20–50 km, and 0.00463 at 50–100 km; median acf30 declined from 0.262 to 0.135. The greater-than-100-km bin had one station and was not interpreted. Thus case-study direction and the regulated-site distance profile agree, while cross-ecoregion binary discrimination does not.</w:t>
      </w:r>
    </w:p>
    <w:bookmarkEnd w:id="29"/>
    <w:bookmarkEnd w:id="30"/>
    <w:bookmarkStart w:id="35" w:name="discussion"/>
    <w:p>
      <w:pPr>
        <w:pStyle w:val="Heading2"/>
      </w:pPr>
      <w:r>
        <w:t xml:space="preserve">4. Discussion</w:t>
      </w:r>
    </w:p>
    <w:bookmarkStart w:id="31" w:name="Xd690b248cdfd8f9a42b6c294fd13f64e84fe5ef"/>
    <w:p>
      <w:pPr>
        <w:pStyle w:val="Heading3"/>
      </w:pPr>
      <w:r>
        <w:t xml:space="preserve">4.1 Reservoir-associated structure organizes recoverable information</w:t>
      </w:r>
    </w:p>
    <w:p>
      <w:pPr>
        <w:pStyle w:val="FirstParagraph"/>
      </w:pPr>
      <w:r>
        <w:t xml:space="preserve">The two networks show the same association: the dam-proximal station combines compressed seasonal range, extended persistence, and memory-dominated recoverability. Downstream of Buford, range increases and acf30 declines while fixed-model long-gap skill remains high. This direction agrees with observations that release depth and storage change downstream thermal amplitude</w:t>
      </w:r>
      <w:r>
        <w:t xml:space="preserve"> </w:t>
      </w:r>
      <w:r>
        <w:t xml:space="preserve">(Michie et al. 2020)</w:t>
      </w:r>
      <w:r>
        <w:t xml:space="preserve">, that dam effects attenuate longitudinally</w:t>
      </w:r>
      <w:r>
        <w:t xml:space="preserve"> </w:t>
      </w:r>
      <w:r>
        <w:t xml:space="preserve">(Zhao et al. 2020)</w:t>
      </w:r>
      <w:r>
        <w:t xml:space="preserve">, and that regional stream-air indicators can recover dam-like thermal signatures</w:t>
      </w:r>
      <w:r>
        <w:t xml:space="preserve"> </w:t>
      </w:r>
      <w:r>
        <w:t xml:space="preserve">(Seyedhashemi et al. 2021)</w:t>
      </w:r>
      <w:r>
        <w:t xml:space="preserve">. Our additional result is that the same structure anticipates information available during controlled outages. The observational design does not show that regulation alone caused either covariance pattern.</w:t>
      </w:r>
    </w:p>
    <w:p>
      <w:pPr>
        <w:pStyle w:val="BodyText"/>
      </w:pPr>
      <w:r>
        <w:t xml:space="preserve">The donor falsification result sharpens this interpretation. Donor value that survives impossible lags or station relabelling is evidence of common forcing, not advected heat. In a regulated network that shared source may include release schedules and basin-scale weather as well as ordinary seasonality. The Jinsha sites are hundreds of river kilometres apart, so “donor” denotes synchronous predictive information rather than a neighbouring sensor or a travel-time mechanism. Recoverability is an observational probe of network information, not a causal pathway identifier.</w:t>
      </w:r>
    </w:p>
    <w:p>
      <w:pPr>
        <w:pStyle w:val="BodyText"/>
      </w:pPr>
      <w:r>
        <w:t xml:space="preserve">The national panel bounds the generality of this mechanism. The monotone 0–100-km profile is consistent with downstream thermal re-equilibration. The frozen primary pooled leave-one-ecoregion-out AUC of 0.407 is partly a metric defect: pooling fold-calibrated probabilities across ecoregions whose dam rates range from 0 to 0.95 scores intercept mismatch as (anti)discrimination. A post-hoc within-fold diagnosis, however, still finds no national skill (mean AUC 0.526). The informative result of that diagnosis is region-dependent direction, including a reversal in the Southeast Plains. Climate, channel scale, groundwater and sluggish-flow regimes, release depth, dam operation, and network placement can produce overlapping covariance signatures. The adjusted association is supporting evidence, not a rescue of the primary national null.</w:t>
      </w:r>
    </w:p>
    <w:bookmarkEnd w:id="31"/>
    <w:bookmarkStart w:id="32" w:name="what-remains-of-the-covariance-heuristic"/>
    <w:p>
      <w:pPr>
        <w:pStyle w:val="Heading3"/>
      </w:pPr>
      <w:r>
        <w:t xml:space="preserve">4.2 What remains of the covariance heuristic</w:t>
      </w:r>
    </w:p>
    <w:p>
      <w:pPr>
        <w:pStyle w:val="FirstParagraph"/>
      </w:pPr>
      <w:r>
        <w:t xml:space="preserve">The original ceiling language was too strong. All lower-bound exceedances occurred where calibration and evaluation crossed a thermal transition. Once the denominator and heuristic were matched to the later state, almost all disappeared, yet annual demeaning left positive long-gap skill beyond the original prediction. The additive donor-plus-memory form is not an orthogonal variance decomposition, and its MAE conversion requires empirical calibration. It is useful as a qualitative screening curve and stable type label, not as an information-theoretic bound.</w:t>
      </w:r>
    </w:p>
    <w:bookmarkEnd w:id="32"/>
    <w:bookmarkStart w:id="33" w:name="monitoring-network-consequences"/>
    <w:p>
      <w:pPr>
        <w:pStyle w:val="Heading3"/>
      </w:pPr>
      <w:r>
        <w:t xml:space="preserve">4.3 Monitoring-network consequences</w:t>
      </w:r>
    </w:p>
    <w:p>
      <w:pPr>
        <w:pStyle w:val="FirstParagraph"/>
      </w:pPr>
      <w:r>
        <w:t xml:space="preserve">The cross-fitted analysis and the case-study error scale give a limited planning signal rather than a ranking of sensors. In degrees C rather than skill:</w:t>
      </w:r>
    </w:p>
    <w:p>
      <w:pPr>
        <w:pStyle w:val="Compact"/>
        <w:numPr>
          <w:ilvl w:val="0"/>
          <w:numId w:val="1002"/>
        </w:numPr>
      </w:pPr>
      <w:r>
        <w:t xml:space="preserve">Losing S2 raises B1 reconstruction MAE by 0.105 degrees C (95% interval 0.044–0.169).</w:t>
      </w:r>
    </w:p>
    <w:p>
      <w:pPr>
        <w:pStyle w:val="Compact"/>
        <w:numPr>
          <w:ilvl w:val="0"/>
          <w:numId w:val="1002"/>
        </w:numPr>
      </w:pPr>
      <w:r>
        <w:t xml:space="preserve">At memory-dominated reaches, protect observations on both sides of a gap rather than adding a distant donor.</w:t>
      </w:r>
    </w:p>
    <w:p>
      <w:pPr>
        <w:pStyle w:val="Compact"/>
        <w:numPr>
          <w:ilvl w:val="0"/>
          <w:numId w:val="1002"/>
        </w:numPr>
      </w:pPr>
      <w:r>
        <w:t xml:space="preserve">Typical model gains are tenths of a degree against climatology MAE of about 0.65–1.35 degrees C; statistical advantage is not an ecological safety threshold.</w:t>
      </w:r>
    </w:p>
    <w:p>
      <w:pPr>
        <w:pStyle w:val="Compact"/>
        <w:numPr>
          <w:ilvl w:val="0"/>
          <w:numId w:val="1002"/>
        </w:numPr>
      </w:pPr>
      <w:r>
        <w:t xml:space="preserve">Detect thermal state changes; they can invert long-gap skill interpretations (P3 365-day XGBoost 0.209 to</w:t>
      </w:r>
      <w:r>
        <w:t xml:space="preserve"> </w:t>
      </w:r>
      <m:oMath>
        <m:r>
          <m:rPr>
            <m:sty m:val="p"/>
          </m:rPr>
          <m:t>−</m:t>
        </m:r>
        <m:r>
          <m:t>0.588</m:t>
        </m:r>
      </m:oMath>
      <w:r>
        <w:t xml:space="preserve"> </w:t>
      </w:r>
      <w:r>
        <w:t xml:space="preserve">under state-matched climatology).</w:t>
      </w:r>
    </w:p>
    <w:p>
      <w:pPr>
        <w:pStyle w:val="FirstParagraph"/>
      </w:pPr>
      <w:r>
        <w:t xml:space="preserve">These values depend on the three-station roster and post-hoc cross-fitting population. They motivate prospective validation of fallback policies, not immediate station removal or protection decisions. No threshold was declared for habitat, management, or trend use, so no gap length is labelled automatically safe.</w:t>
      </w:r>
    </w:p>
    <w:bookmarkEnd w:id="33"/>
    <w:bookmarkStart w:id="34" w:name="scope-and-limitations"/>
    <w:p>
      <w:pPr>
        <w:pStyle w:val="Heading3"/>
      </w:pPr>
      <w:r>
        <w:t xml:space="preserve">4.4 Scope and limitations</w:t>
      </w:r>
    </w:p>
    <w:p>
      <w:pPr>
        <w:pStyle w:val="FirstParagraph"/>
      </w:pPr>
      <w:r>
        <w:t xml:space="preserve">The Jinsha analysis has three widely separated stations on one river and no natural missing hydrological day. Controlled masks estimate recoverable information under specified outages, not field-failure probability. The 2015 annual endpoint shift is physically consistent with Guanyinyan operation, but the primary daily Pettitt interval predates commissioning and causal attribution remains observational. Provider quality flags were unavailable, the B1 level datum changes, and S2 hydrology has a provenance discrepancy; frozen sensitivities and public aggregates expose rather than resolve those limitations. The external panel has five sites on one mainstem and one scored placement per cell, not five independent basins. The national panel uses 2009 routed dam attributes rather than time-varying release depth or operation. No reservoir operations or release-depth series were obtained, and we do not invert temperature for operations. The Buford operations literature already cited is engineering context, not this study’s data.</w:t>
      </w:r>
    </w:p>
    <w:p>
      <w:pPr>
        <w:pStyle w:val="BodyText"/>
      </w:pPr>
      <w:r>
        <w:t xml:space="preserve">The external train-only curves and donor/memory labels were frozen before 2023–2025 performance was opened, but no numeric effect threshold was frozen. The fixed-model selection rule was formulated afterward using only truncated 2021–2022 validation data. We therefore call it a held-out post-hoc sensitivity, not a preregistered confirmation. The validation-period SD supplies a placement scale rather than a confidence interval. Jinsha state controls, cross-fitted node importance, and the within-fold leave-one-ecoregion-out AUC diagnosis are also post-hoc. Deep models were excluded by stability rules, so no conclusion about their general capability follows.</w:t>
      </w:r>
    </w:p>
    <w:bookmarkEnd w:id="34"/>
    <w:bookmarkEnd w:id="35"/>
    <w:bookmarkStart w:id="36" w:name="conclusions"/>
    <w:p>
      <w:pPr>
        <w:pStyle w:val="Heading2"/>
      </w:pPr>
      <w:r>
        <w:t xml:space="preserve">5. Conclusions</w:t>
      </w:r>
    </w:p>
    <w:p>
      <w:pPr>
        <w:pStyle w:val="FirstParagraph"/>
      </w:pPr>
      <w:r>
        <w:t xml:space="preserve">Reservoir-associated thermal structure contains information about stream-temperature recoverability. In both detailed networks, the dam-proximal station is uniquely memory-dominated from 14- to 90-day horizons, and a fixed validation-selected model performs substantially worse there on long held-out gaps. National discrimination is not supported (frozen pooled leave-one-ecoregion-out AUC 0.407; post-hoc mean within-fold AUC 0.526). A post-hoc diagnosis finds that the fingerprint’s direction is region-dependent, ranging from AUC 0.755 in the Northeast to 0.132 in the Southeast Plains. That reversal is consistent with a mechanism sketch in which natural low-amplitude, long-memory regimes can reproduce the regulated signature; it is not a causal attribution. The same geography is consistent with within-climate case studies holding while a national classifier fails. The covariance heuristic can therefore screen local monitoring structure before model fitting, provided state, geography, and absolute error are calibrated and no causal threshold is inferred from the index alone.</w:t>
      </w:r>
    </w:p>
    <w:bookmarkEnd w:id="36"/>
    <w:bookmarkStart w:id="37" w:name="acknowledgments"/>
    <w:p>
      <w:pPr>
        <w:pStyle w:val="Heading2"/>
      </w:pPr>
      <w:r>
        <w:t xml:space="preserve">Acknowledgments</w:t>
      </w:r>
    </w:p>
    <w:p>
      <w:pPr>
        <w:pStyle w:val="FirstParagraph"/>
      </w:pPr>
      <w:r>
        <w:rPr>
          <w:b/>
          <w:bCs/>
        </w:rPr>
        <w:t xml:space="preserve">AUTHOR INPUT REQUIRED:</w:t>
      </w:r>
      <w:r>
        <w:t xml:space="preserve"> </w:t>
      </w:r>
      <w:r>
        <w:t xml:space="preserve">Insert all funding bodies, grant identifiers, in-kind support, and acknowledged contributors before submission.</w:t>
      </w:r>
    </w:p>
    <w:bookmarkEnd w:id="37"/>
    <w:bookmarkStart w:id="38" w:name="conflict-of-interest"/>
    <w:p>
      <w:pPr>
        <w:pStyle w:val="Heading2"/>
      </w:pPr>
      <w:r>
        <w:t xml:space="preserve">Conflict of Interest</w:t>
      </w:r>
    </w:p>
    <w:p>
      <w:pPr>
        <w:pStyle w:val="FirstParagraph"/>
      </w:pPr>
      <w:r>
        <w:rPr>
          <w:b/>
          <w:bCs/>
        </w:rPr>
        <w:t xml:space="preserve">AUTHOR APPROVAL REQUIRED:</w:t>
      </w:r>
      <w:r>
        <w:t xml:space="preserve"> </w:t>
      </w:r>
      <w:r>
        <w:t xml:space="preserve">Replace this line with the final declaration approved by every author.</w:t>
      </w:r>
    </w:p>
    <w:bookmarkEnd w:id="38"/>
    <w:bookmarkStart w:id="39" w:name="author-contributions"/>
    <w:p>
      <w:pPr>
        <w:pStyle w:val="Heading2"/>
      </w:pPr>
      <w:r>
        <w:t xml:space="preserve">Author Contributions</w:t>
      </w:r>
    </w:p>
    <w:p>
      <w:pPr>
        <w:pStyle w:val="FirstParagraph"/>
      </w:pPr>
      <w:r>
        <w:rPr>
          <w:b/>
          <w:bCs/>
        </w:rPr>
        <w:t xml:space="preserve">AUTHOR INPUT REQUIRED:</w:t>
      </w:r>
      <w:r>
        <w:t xml:space="preserve"> </w:t>
      </w:r>
      <w:r>
        <w:t xml:space="preserve">Insert the approved CRediT contribution statement.</w:t>
      </w:r>
    </w:p>
    <w:bookmarkEnd w:id="39"/>
    <w:bookmarkStart w:id="40" w:name="open-research"/>
    <w:p>
      <w:pPr>
        <w:pStyle w:val="Heading2"/>
      </w:pPr>
      <w:r>
        <w:t xml:space="preserve">6. Open Research</w:t>
      </w:r>
    </w:p>
    <w:p>
      <w:pPr>
        <w:pStyle w:val="FirstParagraph"/>
      </w:pPr>
      <w:r>
        <w:t xml:space="preserve">The analysed Jinsha daily hydrological records were supplied to the project and are attributed to the Chinese Hydrological Yearbook. Permission to redistribute the exact</w:t>
      </w:r>
      <w:r>
        <w:t xml:space="preserve"> </w:t>
      </w:r>
      <m:oMath>
        <m:r>
          <m:t>T</m:t>
        </m:r>
      </m:oMath>
      <w:r>
        <w:t xml:space="preserve">,</w:t>
      </w:r>
      <w:r>
        <w:t xml:space="preserve"> </w:t>
      </w:r>
      <m:oMath>
        <m:r>
          <m:t>F</m:t>
        </m:r>
      </m:oMath>
      <w:r>
        <w:t xml:space="preserve">, and</w:t>
      </w:r>
      <w:r>
        <w:t xml:space="preserve"> </w:t>
      </w:r>
      <m:oMath>
        <m:r>
          <m:t>L</m:t>
        </m:r>
      </m:oMath>
      <w:r>
        <w:t xml:space="preserve"> </w:t>
      </w:r>
      <w:r>
        <w:t xml:space="preserve">files was not established. CMA humidity and sunshine and the WMO/CMA meteorological series are likewise restricted under the rights matrix. Subject to written editor approval of this restricted third-party-data exception, the exact analysis inputs will be provided through AGU GEMS Data Files for Peer Review under the confidential-review workflow; they are not “available upon request.” The paper will not be submitted without that approval. Public aggregate tables and figures do not redistribute daily records.</w:t>
      </w:r>
    </w:p>
    <w:p>
      <w:pPr>
        <w:pStyle w:val="BodyText"/>
      </w:pPr>
      <w:r>
        <w:t xml:space="preserve">USGS and NASA POWER inputs for the Chattahoochee evaluation are public-source observations archived with provenance. Original code is MIT-licensed. The public repository history was rewritten to code-only scope after a verified private bundle and commit map were created; the rights audit reports zero restricted tracked paths. An immutable archival DOI is still required before submission. The</w:t>
      </w:r>
      <w:r>
        <w:t xml:space="preserve"> </w:t>
      </w:r>
      <w:r>
        <w:rPr>
          <w:rStyle w:val="VerbatimChar"/>
        </w:rPr>
        <w:t xml:space="preserve">CITATION.cff</w:t>
      </w:r>
      <w:r>
        <w:t xml:space="preserve"> </w:t>
      </w:r>
      <w:r>
        <w:t xml:space="preserve">DOI remains unset until a real archive record is minted; no DOI is invented in this manuscript.</w:t>
      </w:r>
    </w:p>
    <w:p>
      <w:pPr>
        <w:pStyle w:val="BodyText"/>
      </w:pPr>
      <w:r>
        <w:t xml:space="preserve">The reproducible revision entry point is</w:t>
      </w:r>
      <w:r>
        <w:t xml:space="preserve"> </w:t>
      </w:r>
      <w:r>
        <w:rPr>
          <w:rStyle w:val="VerbatimChar"/>
        </w:rPr>
        <w:t xml:space="preserve">scripts/34_run_major_revision.py</w:t>
      </w:r>
      <w:r>
        <w:t xml:space="preserve">. Formal internal outputs are accepted only when</w:t>
      </w:r>
      <w:r>
        <w:t xml:space="preserve"> </w:t>
      </w:r>
      <w:r>
        <w:rPr>
          <w:rStyle w:val="VerbatimChar"/>
        </w:rPr>
        <w:t xml:space="preserve">results/analysis/analysis_manifest.json</w:t>
      </w:r>
      <w:r>
        <w:t xml:space="preserve"> </w:t>
      </w:r>
      <w:r>
        <w:t xml:space="preserve">is complete; external evidence is accepted only with the complete once-lock and</w:t>
      </w:r>
      <w:r>
        <w:t xml:space="preserve"> </w:t>
      </w:r>
      <w:r>
        <w:rPr>
          <w:rStyle w:val="VerbatimChar"/>
        </w:rPr>
        <w:t xml:space="preserve">completion_manifest.json</w:t>
      </w:r>
      <w:r>
        <w:t xml:space="preserve">. The frozen prediction remains</w:t>
      </w:r>
      <w:r>
        <w:t xml:space="preserve"> </w:t>
      </w:r>
      <w:r>
        <w:rPr>
          <w:rStyle w:val="VerbatimChar"/>
        </w:rPr>
        <w:t xml:space="preserve">results/predictions/recoverability_prediction_v1.json</w:t>
      </w:r>
      <w:r>
        <w:t xml:space="preserve">.</w:t>
      </w:r>
    </w:p>
    <w:bookmarkEnd w:id="40"/>
    <w:bookmarkEnd w:id="41"/>
    <w:bookmarkStart w:id="47" w:name="tables"/>
    <w:p>
      <w:pPr>
        <w:pStyle w:val="Heading1"/>
      </w:pPr>
      <w:r>
        <w:t xml:space="preserve">Tables</w:t>
      </w:r>
    </w:p>
    <w:bookmarkStart w:id="42" w:name="table-1"/>
    <w:p>
      <w:pPr>
        <w:pStyle w:val="Heading2"/>
      </w:pPr>
      <w:r>
        <w:t xml:space="preserve">Table 1</w:t>
      </w:r>
    </w:p>
    <w:tbl>
      <w:tblPr>
        <w:tblStyle w:val="Table"/>
        <w:tblW w:type="pct" w:w="5000"/>
        <w:tblLayout w:type="fixed"/>
        <w:tblLook w:firstRow="1" w:lastRow="0" w:firstColumn="0" w:lastColumn="0" w:noHBand="0" w:noVBand="0" w:val="0020"/>
      </w:tblPr>
      <w:tblGrid>
        <w:gridCol w:w="182"/>
        <w:gridCol w:w="416"/>
        <w:gridCol w:w="416"/>
        <w:gridCol w:w="338"/>
        <w:gridCol w:w="247"/>
        <w:gridCol w:w="117"/>
        <w:gridCol w:w="117"/>
        <w:gridCol w:w="390"/>
        <w:gridCol w:w="156"/>
        <w:gridCol w:w="312"/>
        <w:gridCol w:w="299"/>
        <w:gridCol w:w="299"/>
        <w:gridCol w:w="403"/>
        <w:gridCol w:w="794"/>
        <w:gridCol w:w="468"/>
        <w:gridCol w:w="377"/>
        <w:gridCol w:w="221"/>
        <w:gridCol w:w="677"/>
        <w:gridCol w:w="455"/>
        <w:gridCol w:w="247"/>
        <w:gridCol w:w="976"/>
      </w:tblGrid>
      <w:tr>
        <w:trPr>
          <w:tblHeader w:val="on"/>
        </w:trPr>
        <w:tc>
          <w:tcPr/>
          <w:p>
            <w:pPr>
              <w:pStyle w:val="Compact"/>
              <w:jc w:val="left"/>
            </w:pPr>
            <w:r>
              <w:t xml:space="preserve">station_id</w:t>
            </w:r>
          </w:p>
        </w:tc>
        <w:tc>
          <w:tcPr/>
          <w:p>
            <w:pPr>
              <w:pStyle w:val="Compact"/>
              <w:jc w:val="right"/>
            </w:pPr>
            <w:r>
              <w:t xml:space="preserve">median_annual_amplitude_degC</w:t>
            </w:r>
          </w:p>
        </w:tc>
        <w:tc>
          <w:tcPr/>
          <w:p>
            <w:pPr>
              <w:pStyle w:val="Compact"/>
              <w:jc w:val="right"/>
            </w:pPr>
            <w:r>
              <w:t xml:space="preserve">training_observed_range_degC</w:t>
            </w:r>
          </w:p>
        </w:tc>
        <w:tc>
          <w:tcPr/>
          <w:p>
            <w:pPr>
              <w:pStyle w:val="Compact"/>
              <w:jc w:val="right"/>
            </w:pPr>
            <w:r>
              <w:t xml:space="preserve">climatology_range_degC</w:t>
            </w:r>
          </w:p>
        </w:tc>
        <w:tc>
          <w:tcPr/>
          <w:p>
            <w:pPr>
              <w:pStyle w:val="Compact"/>
              <w:jc w:val="right"/>
            </w:pPr>
            <w:r>
              <w:t xml:space="preserve">anomaly_sd_degC</w:t>
            </w:r>
          </w:p>
        </w:tc>
        <w:tc>
          <w:tcPr/>
          <w:p>
            <w:pPr>
              <w:pStyle w:val="Compact"/>
              <w:jc w:val="right"/>
            </w:pPr>
            <w:r>
              <w:t xml:space="preserve">acf30</w:t>
            </w:r>
          </w:p>
        </w:tc>
        <w:tc>
          <w:tcPr/>
          <w:p>
            <w:pPr>
              <w:pStyle w:val="Compact"/>
              <w:jc w:val="right"/>
            </w:pPr>
            <w:r>
              <w:t xml:space="preserve">acf90</w:t>
            </w:r>
          </w:p>
        </w:tc>
        <w:tc>
          <w:tcPr/>
          <w:p>
            <w:pPr>
              <w:pStyle w:val="Compact"/>
              <w:jc w:val="right"/>
            </w:pPr>
            <w:r>
              <w:t xml:space="preserve">seasonal_variance_fraction</w:t>
            </w:r>
          </w:p>
        </w:tc>
        <w:tc>
          <w:tcPr/>
          <w:p>
            <w:pPr>
              <w:pStyle w:val="Compact"/>
              <w:jc w:val="right"/>
            </w:pPr>
            <w:r>
              <w:t xml:space="preserve">R2_donor</w:t>
            </w:r>
          </w:p>
        </w:tc>
        <w:tc>
          <w:tcPr/>
          <w:p>
            <w:pPr>
              <w:pStyle w:val="Compact"/>
              <w:jc w:val="right"/>
            </w:pPr>
            <w:r>
              <w:t xml:space="preserve">memory_component_30d</w:t>
            </w:r>
          </w:p>
        </w:tc>
        <w:tc>
          <w:tcPr/>
          <w:p>
            <w:pPr>
              <w:pStyle w:val="Compact"/>
              <w:jc w:val="right"/>
            </w:pPr>
            <w:r>
              <w:t xml:space="preserve">donor_component_30d</w:t>
            </w:r>
          </w:p>
        </w:tc>
        <w:tc>
          <w:tcPr/>
          <w:p>
            <w:pPr>
              <w:pStyle w:val="Compact"/>
              <w:jc w:val="left"/>
            </w:pPr>
            <w:r>
              <w:t xml:space="preserve">recoverability_type</w:t>
            </w:r>
          </w:p>
        </w:tc>
        <w:tc>
          <w:tcPr/>
          <w:p>
            <w:pPr>
              <w:pStyle w:val="Compact"/>
              <w:jc w:val="right"/>
            </w:pPr>
            <w:r>
              <w:t xml:space="preserve">memory_range_index_per_degC</w:t>
            </w:r>
          </w:p>
        </w:tc>
        <w:tc>
          <w:tcPr/>
          <w:p>
            <w:pPr>
              <w:pStyle w:val="Compact"/>
              <w:jc w:val="left"/>
            </w:pPr>
            <w:r>
              <w:t xml:space="preserve">memory_range_index_definition</w:t>
            </w:r>
          </w:p>
        </w:tc>
        <w:tc>
          <w:tcPr/>
          <w:p>
            <w:pPr>
              <w:pStyle w:val="Compact"/>
              <w:jc w:val="right"/>
            </w:pPr>
            <w:r>
              <w:t xml:space="preserve">memory_range_rank_within_network</w:t>
            </w:r>
          </w:p>
        </w:tc>
        <w:tc>
          <w:tcPr/>
          <w:p>
            <w:pPr>
              <w:pStyle w:val="Compact"/>
              <w:jc w:val="left"/>
            </w:pPr>
            <w:r>
              <w:t xml:space="preserve">network</w:t>
            </w:r>
          </w:p>
        </w:tc>
        <w:tc>
          <w:tcPr/>
          <w:p>
            <w:pPr>
              <w:pStyle w:val="Compact"/>
              <w:jc w:val="right"/>
            </w:pPr>
            <w:r>
              <w:t xml:space="preserve">network_order</w:t>
            </w:r>
          </w:p>
        </w:tc>
        <w:tc>
          <w:tcPr/>
          <w:p>
            <w:pPr>
              <w:pStyle w:val="Compact"/>
              <w:jc w:val="left"/>
            </w:pPr>
            <w:r>
              <w:t xml:space="preserve">station_name</w:t>
            </w:r>
          </w:p>
        </w:tc>
        <w:tc>
          <w:tcPr/>
          <w:p>
            <w:pPr>
              <w:pStyle w:val="Compact"/>
              <w:jc w:val="left"/>
            </w:pPr>
            <w:r>
              <w:t xml:space="preserve">regulation_context</w:t>
            </w:r>
          </w:p>
        </w:tc>
        <w:tc>
          <w:tcPr/>
          <w:p>
            <w:pPr>
              <w:pStyle w:val="Compact"/>
              <w:jc w:val="left"/>
            </w:pPr>
            <w:r>
              <w:t xml:space="preserve">dam_distance_km</w:t>
            </w:r>
          </w:p>
        </w:tc>
        <w:tc>
          <w:tcPr/>
          <w:p>
            <w:pPr>
              <w:pStyle w:val="Compact"/>
              <w:jc w:val="left"/>
            </w:pPr>
            <w:r>
              <w:t xml:space="preserve">dam_distance_basis</w:t>
            </w:r>
          </w:p>
        </w:tc>
      </w:tr>
      <w:tr>
        <w:tc>
          <w:tcPr/>
          <w:p>
            <w:pPr>
              <w:pStyle w:val="Compact"/>
              <w:jc w:val="left"/>
            </w:pPr>
            <w:r>
              <w:t xml:space="preserve">B1</w:t>
            </w:r>
          </w:p>
        </w:tc>
        <w:tc>
          <w:tcPr/>
          <w:p>
            <w:pPr>
              <w:pStyle w:val="Compact"/>
              <w:jc w:val="right"/>
            </w:pPr>
            <w:r>
              <w:t xml:space="preserve">17.45</w:t>
            </w:r>
          </w:p>
        </w:tc>
        <w:tc>
          <w:tcPr/>
          <w:p>
            <w:pPr>
              <w:pStyle w:val="Compact"/>
              <w:jc w:val="right"/>
            </w:pPr>
            <w:r>
              <w:t xml:space="preserve">20.5</w:t>
            </w:r>
          </w:p>
        </w:tc>
        <w:tc>
          <w:tcPr/>
          <w:p>
            <w:pPr>
              <w:pStyle w:val="Compact"/>
              <w:jc w:val="right"/>
            </w:pPr>
            <w:r>
              <w:t xml:space="preserve">15.2</w:t>
            </w:r>
          </w:p>
        </w:tc>
        <w:tc>
          <w:tcPr/>
          <w:p>
            <w:pPr>
              <w:pStyle w:val="Compact"/>
              <w:jc w:val="right"/>
            </w:pPr>
            <w:r>
              <w:t xml:space="preserve">0.921</w:t>
            </w:r>
          </w:p>
        </w:tc>
        <w:tc>
          <w:tcPr/>
          <w:p>
            <w:pPr>
              <w:pStyle w:val="Compact"/>
              <w:jc w:val="right"/>
            </w:pPr>
            <w:r>
              <w:t xml:space="preserve">0.131</w:t>
            </w:r>
          </w:p>
        </w:tc>
        <w:tc>
          <w:tcPr/>
          <w:p>
            <w:pPr>
              <w:pStyle w:val="Compact"/>
              <w:jc w:val="right"/>
            </w:pPr>
            <w:r>
              <w:t xml:space="preserve">0.138</w:t>
            </w:r>
          </w:p>
        </w:tc>
        <w:tc>
          <w:tcPr/>
          <w:p>
            <w:pPr>
              <w:pStyle w:val="Compact"/>
              <w:jc w:val="right"/>
            </w:pPr>
            <w:r>
              <w:t xml:space="preserve">0.97</w:t>
            </w:r>
          </w:p>
        </w:tc>
        <w:tc>
          <w:tcPr/>
          <w:p>
            <w:pPr>
              <w:pStyle w:val="Compact"/>
              <w:jc w:val="right"/>
            </w:pPr>
            <w:r>
              <w:t xml:space="preserve">0.464</w:t>
            </w:r>
          </w:p>
        </w:tc>
        <w:tc>
          <w:tcPr/>
          <w:p>
            <w:pPr>
              <w:pStyle w:val="Compact"/>
              <w:jc w:val="right"/>
            </w:pPr>
            <w:r>
              <w:t xml:space="preserve">0.058</w:t>
            </w:r>
          </w:p>
        </w:tc>
        <w:tc>
          <w:tcPr/>
          <w:p>
            <w:pPr>
              <w:pStyle w:val="Compact"/>
              <w:jc w:val="right"/>
            </w:pPr>
            <w:r>
              <w:t xml:space="preserve">0.464</w:t>
            </w:r>
          </w:p>
        </w:tc>
        <w:tc>
          <w:tcPr/>
          <w:p>
            <w:pPr>
              <w:pStyle w:val="Compact"/>
              <w:jc w:val="left"/>
            </w:pPr>
            <w:r>
              <w:t xml:space="preserve">donor_dominated</w:t>
            </w:r>
          </w:p>
        </w:tc>
        <w:tc>
          <w:tcPr/>
          <w:p>
            <w:pPr>
              <w:pStyle w:val="Compact"/>
              <w:jc w:val="right"/>
            </w:pPr>
            <w:r>
              <w:t xml:space="preserve">0.006</w:t>
            </w:r>
          </w:p>
        </w:tc>
        <w:tc>
          <w:tcPr/>
          <w:p>
            <w:pPr>
              <w:pStyle w:val="Compact"/>
              <w:jc w:val="left"/>
            </w:pPr>
            <w:r>
              <w:t xml:space="preserve">acf30_divided_by_training_period_observed_temperature_range</w:t>
            </w:r>
          </w:p>
        </w:tc>
        <w:tc>
          <w:tcPr/>
          <w:p>
            <w:pPr>
              <w:pStyle w:val="Compact"/>
              <w:jc w:val="right"/>
            </w:pPr>
            <w:r>
              <w:t xml:space="preserve">3</w:t>
            </w:r>
          </w:p>
        </w:tc>
        <w:tc>
          <w:tcPr/>
          <w:p>
            <w:pPr>
              <w:pStyle w:val="Compact"/>
              <w:jc w:val="left"/>
            </w:pPr>
            <w:r>
              <w:t xml:space="preserve">Upper Jinsha</w:t>
            </w:r>
          </w:p>
        </w:tc>
        <w:tc>
          <w:tcPr/>
          <w:p>
            <w:pPr>
              <w:pStyle w:val="Compact"/>
              <w:jc w:val="right"/>
            </w:pPr>
            <w:r>
              <w:t xml:space="preserve">1</w:t>
            </w:r>
          </w:p>
        </w:tc>
        <w:tc>
          <w:tcPr/>
          <w:p>
            <w:pPr>
              <w:pStyle w:val="Compact"/>
              <w:jc w:val="left"/>
            </w:pPr>
            <w:r>
              <w:t xml:space="preserve">Batang</w:t>
            </w:r>
          </w:p>
        </w:tc>
        <w:tc>
          <w:tcPr/>
          <w:p>
            <w:pPr>
              <w:pStyle w:val="Compact"/>
              <w:jc w:val="left"/>
            </w:pPr>
            <w:r>
              <w:t xml:space="preserve">upstream of Guanyinyan</w:t>
            </w:r>
          </w:p>
        </w:tc>
        <w:tc>
          <w:tcPr/>
          <w:p>
            <w:pPr>
              <w:pStyle w:val="Compact"/>
              <w:jc w:val="left"/>
            </w:pPr>
            <w:r>
              <w:t xml:space="preserve">undefined</w:t>
            </w:r>
          </w:p>
        </w:tc>
        <w:tc>
          <w:tcPr/>
          <w:p>
            <w:pPr>
              <w:pStyle w:val="Compact"/>
              <w:jc w:val="left"/>
            </w:pPr>
            <w:r>
              <w:t xml:space="preserve">upstream; not used as a downstream distance</w:t>
            </w:r>
          </w:p>
        </w:tc>
      </w:tr>
      <w:tr>
        <w:tc>
          <w:tcPr/>
          <w:p>
            <w:pPr>
              <w:pStyle w:val="Compact"/>
              <w:jc w:val="left"/>
            </w:pPr>
            <w:r>
              <w:t xml:space="preserve">S2</w:t>
            </w:r>
          </w:p>
        </w:tc>
        <w:tc>
          <w:tcPr/>
          <w:p>
            <w:pPr>
              <w:pStyle w:val="Compact"/>
              <w:jc w:val="right"/>
            </w:pPr>
            <w:r>
              <w:t xml:space="preserve">14.9</w:t>
            </w:r>
          </w:p>
        </w:tc>
        <w:tc>
          <w:tcPr/>
          <w:p>
            <w:pPr>
              <w:pStyle w:val="Compact"/>
              <w:jc w:val="right"/>
            </w:pPr>
            <w:r>
              <w:t xml:space="preserve">16.5</w:t>
            </w:r>
          </w:p>
        </w:tc>
        <w:tc>
          <w:tcPr/>
          <w:p>
            <w:pPr>
              <w:pStyle w:val="Compact"/>
              <w:jc w:val="right"/>
            </w:pPr>
            <w:r>
              <w:t xml:space="preserve">13.1</w:t>
            </w:r>
          </w:p>
        </w:tc>
        <w:tc>
          <w:tcPr/>
          <w:p>
            <w:pPr>
              <w:pStyle w:val="Compact"/>
              <w:jc w:val="right"/>
            </w:pPr>
            <w:r>
              <w:t xml:space="preserve">0.769</w:t>
            </w:r>
          </w:p>
        </w:tc>
        <w:tc>
          <w:tcPr/>
          <w:p>
            <w:pPr>
              <w:pStyle w:val="Compact"/>
              <w:jc w:val="right"/>
            </w:pPr>
            <w:r>
              <w:t xml:space="preserve">0.141</w:t>
            </w:r>
          </w:p>
        </w:tc>
        <w:tc>
          <w:tcPr/>
          <w:p>
            <w:pPr>
              <w:pStyle w:val="Compact"/>
              <w:jc w:val="right"/>
            </w:pPr>
            <w:r>
              <w:t xml:space="preserve">0.066</w:t>
            </w:r>
          </w:p>
        </w:tc>
        <w:tc>
          <w:tcPr/>
          <w:p>
            <w:pPr>
              <w:pStyle w:val="Compact"/>
              <w:jc w:val="right"/>
            </w:pPr>
            <w:r>
              <w:t xml:space="preserve">0.972</w:t>
            </w:r>
          </w:p>
        </w:tc>
        <w:tc>
          <w:tcPr/>
          <w:p>
            <w:pPr>
              <w:pStyle w:val="Compact"/>
              <w:jc w:val="right"/>
            </w:pPr>
            <w:r>
              <w:t xml:space="preserve">0.47</w:t>
            </w:r>
          </w:p>
        </w:tc>
        <w:tc>
          <w:tcPr/>
          <w:p>
            <w:pPr>
              <w:pStyle w:val="Compact"/>
              <w:jc w:val="right"/>
            </w:pPr>
            <w:r>
              <w:t xml:space="preserve">0.079</w:t>
            </w:r>
          </w:p>
        </w:tc>
        <w:tc>
          <w:tcPr/>
          <w:p>
            <w:pPr>
              <w:pStyle w:val="Compact"/>
              <w:jc w:val="right"/>
            </w:pPr>
            <w:r>
              <w:t xml:space="preserve">0.47</w:t>
            </w:r>
          </w:p>
        </w:tc>
        <w:tc>
          <w:tcPr/>
          <w:p>
            <w:pPr>
              <w:pStyle w:val="Compact"/>
              <w:jc w:val="left"/>
            </w:pPr>
            <w:r>
              <w:t xml:space="preserve">donor_dominated</w:t>
            </w:r>
          </w:p>
        </w:tc>
        <w:tc>
          <w:tcPr/>
          <w:p>
            <w:pPr>
              <w:pStyle w:val="Compact"/>
              <w:jc w:val="right"/>
            </w:pPr>
            <w:r>
              <w:t xml:space="preserve">0.009</w:t>
            </w:r>
          </w:p>
        </w:tc>
        <w:tc>
          <w:tcPr/>
          <w:p>
            <w:pPr>
              <w:pStyle w:val="Compact"/>
              <w:jc w:val="left"/>
            </w:pPr>
            <w:r>
              <w:t xml:space="preserve">acf30_divided_by_training_period_observed_temperature_range</w:t>
            </w:r>
          </w:p>
        </w:tc>
        <w:tc>
          <w:tcPr/>
          <w:p>
            <w:pPr>
              <w:pStyle w:val="Compact"/>
              <w:jc w:val="right"/>
            </w:pPr>
            <w:r>
              <w:t xml:space="preserve">2</w:t>
            </w:r>
          </w:p>
        </w:tc>
        <w:tc>
          <w:tcPr/>
          <w:p>
            <w:pPr>
              <w:pStyle w:val="Compact"/>
              <w:jc w:val="left"/>
            </w:pPr>
            <w:r>
              <w:t xml:space="preserve">Upper Jinsha</w:t>
            </w:r>
          </w:p>
        </w:tc>
        <w:tc>
          <w:tcPr/>
          <w:p>
            <w:pPr>
              <w:pStyle w:val="Compact"/>
              <w:jc w:val="right"/>
            </w:pPr>
            <w:r>
              <w:t xml:space="preserve">2</w:t>
            </w:r>
          </w:p>
        </w:tc>
        <w:tc>
          <w:tcPr/>
          <w:p>
            <w:pPr>
              <w:pStyle w:val="Compact"/>
              <w:jc w:val="left"/>
            </w:pPr>
            <w:r>
              <w:t xml:space="preserve">Shigu</w:t>
            </w:r>
          </w:p>
        </w:tc>
        <w:tc>
          <w:tcPr/>
          <w:p>
            <w:pPr>
              <w:pStyle w:val="Compact"/>
              <w:jc w:val="left"/>
            </w:pPr>
            <w:r>
              <w:t xml:space="preserve">upstream of Guanyinyan</w:t>
            </w:r>
          </w:p>
        </w:tc>
        <w:tc>
          <w:tcPr/>
          <w:p>
            <w:pPr>
              <w:pStyle w:val="Compact"/>
              <w:jc w:val="left"/>
            </w:pPr>
            <w:r>
              <w:t xml:space="preserve">undefined</w:t>
            </w:r>
          </w:p>
        </w:tc>
        <w:tc>
          <w:tcPr/>
          <w:p>
            <w:pPr>
              <w:pStyle w:val="Compact"/>
              <w:jc w:val="left"/>
            </w:pPr>
            <w:r>
              <w:t xml:space="preserve">upstream; not used as a downstream distance</w:t>
            </w:r>
          </w:p>
        </w:tc>
      </w:tr>
      <w:tr>
        <w:tc>
          <w:tcPr/>
          <w:p>
            <w:pPr>
              <w:pStyle w:val="Compact"/>
              <w:jc w:val="left"/>
            </w:pPr>
            <w:r>
              <w:t xml:space="preserve">P3</w:t>
            </w:r>
          </w:p>
        </w:tc>
        <w:tc>
          <w:tcPr/>
          <w:p>
            <w:pPr>
              <w:pStyle w:val="Compact"/>
              <w:jc w:val="right"/>
            </w:pPr>
            <w:r>
              <w:t xml:space="preserve">13</w:t>
            </w:r>
          </w:p>
        </w:tc>
        <w:tc>
          <w:tcPr/>
          <w:p>
            <w:pPr>
              <w:pStyle w:val="Compact"/>
              <w:jc w:val="right"/>
            </w:pPr>
            <w:r>
              <w:t xml:space="preserve">14.5</w:t>
            </w:r>
          </w:p>
        </w:tc>
        <w:tc>
          <w:tcPr/>
          <w:p>
            <w:pPr>
              <w:pStyle w:val="Compact"/>
              <w:jc w:val="right"/>
            </w:pPr>
            <w:r>
              <w:t xml:space="preserve">11.75</w:t>
            </w:r>
          </w:p>
        </w:tc>
        <w:tc>
          <w:tcPr/>
          <w:p>
            <w:pPr>
              <w:pStyle w:val="Compact"/>
              <w:jc w:val="right"/>
            </w:pPr>
            <w:r>
              <w:t xml:space="preserve">1.159</w:t>
            </w:r>
          </w:p>
        </w:tc>
        <w:tc>
          <w:tcPr/>
          <w:p>
            <w:pPr>
              <w:pStyle w:val="Compact"/>
              <w:jc w:val="right"/>
            </w:pPr>
            <w:r>
              <w:t xml:space="preserve">0.59</w:t>
            </w:r>
          </w:p>
        </w:tc>
        <w:tc>
          <w:tcPr/>
          <w:p>
            <w:pPr>
              <w:pStyle w:val="Compact"/>
              <w:jc w:val="right"/>
            </w:pPr>
            <w:r>
              <w:t xml:space="preserve">0.125</w:t>
            </w:r>
          </w:p>
        </w:tc>
        <w:tc>
          <w:tcPr/>
          <w:p>
            <w:pPr>
              <w:pStyle w:val="Compact"/>
              <w:jc w:val="right"/>
            </w:pPr>
            <w:r>
              <w:t xml:space="preserve">0.916</w:t>
            </w:r>
          </w:p>
        </w:tc>
        <w:tc>
          <w:tcPr/>
          <w:p>
            <w:pPr>
              <w:pStyle w:val="Compact"/>
              <w:jc w:val="right"/>
            </w:pPr>
            <w:r>
              <w:t xml:space="preserve">0.106</w:t>
            </w:r>
          </w:p>
        </w:tc>
        <w:tc>
          <w:tcPr/>
          <w:p>
            <w:pPr>
              <w:pStyle w:val="Compact"/>
              <w:jc w:val="right"/>
            </w:pPr>
            <w:r>
              <w:t xml:space="preserve">0.553</w:t>
            </w:r>
          </w:p>
        </w:tc>
        <w:tc>
          <w:tcPr/>
          <w:p>
            <w:pPr>
              <w:pStyle w:val="Compact"/>
              <w:jc w:val="right"/>
            </w:pPr>
            <w:r>
              <w:t xml:space="preserve">0.106</w:t>
            </w:r>
          </w:p>
        </w:tc>
        <w:tc>
          <w:tcPr/>
          <w:p>
            <w:pPr>
              <w:pStyle w:val="Compact"/>
              <w:jc w:val="left"/>
            </w:pPr>
            <w:r>
              <w:t xml:space="preserve">memory_dominated</w:t>
            </w:r>
          </w:p>
        </w:tc>
        <w:tc>
          <w:tcPr/>
          <w:p>
            <w:pPr>
              <w:pStyle w:val="Compact"/>
              <w:jc w:val="right"/>
            </w:pPr>
            <w:r>
              <w:t xml:space="preserve">0.041</w:t>
            </w:r>
          </w:p>
        </w:tc>
        <w:tc>
          <w:tcPr/>
          <w:p>
            <w:pPr>
              <w:pStyle w:val="Compact"/>
              <w:jc w:val="left"/>
            </w:pPr>
            <w:r>
              <w:t xml:space="preserve">acf30_divided_by_training_period_observed_temperature_range</w:t>
            </w:r>
          </w:p>
        </w:tc>
        <w:tc>
          <w:tcPr/>
          <w:p>
            <w:pPr>
              <w:pStyle w:val="Compact"/>
              <w:jc w:val="right"/>
            </w:pPr>
            <w:r>
              <w:t xml:space="preserve">1</w:t>
            </w:r>
          </w:p>
        </w:tc>
        <w:tc>
          <w:tcPr/>
          <w:p>
            <w:pPr>
              <w:pStyle w:val="Compact"/>
              <w:jc w:val="left"/>
            </w:pPr>
            <w:r>
              <w:t xml:space="preserve">Upper Jinsha</w:t>
            </w:r>
          </w:p>
        </w:tc>
        <w:tc>
          <w:tcPr/>
          <w:p>
            <w:pPr>
              <w:pStyle w:val="Compact"/>
              <w:jc w:val="right"/>
            </w:pPr>
            <w:r>
              <w:t xml:space="preserve">3</w:t>
            </w:r>
          </w:p>
        </w:tc>
        <w:tc>
          <w:tcPr/>
          <w:p>
            <w:pPr>
              <w:pStyle w:val="Compact"/>
              <w:jc w:val="left"/>
            </w:pPr>
            <w:r>
              <w:t xml:space="preserve">Panzhihua</w:t>
            </w:r>
          </w:p>
        </w:tc>
        <w:tc>
          <w:tcPr/>
          <w:p>
            <w:pPr>
              <w:pStyle w:val="Compact"/>
              <w:jc w:val="left"/>
            </w:pPr>
            <w:r>
              <w:t xml:space="preserve">27 km downstream of Guanyinyan</w:t>
            </w:r>
          </w:p>
        </w:tc>
        <w:tc>
          <w:tcPr/>
          <w:p>
            <w:pPr>
              <w:pStyle w:val="Compact"/>
              <w:jc w:val="left"/>
            </w:pPr>
            <w:r>
              <w:t xml:space="preserve">27.0</w:t>
            </w:r>
          </w:p>
        </w:tc>
        <w:tc>
          <w:tcPr/>
          <w:p>
            <w:pPr>
              <w:pStyle w:val="Compact"/>
              <w:jc w:val="left"/>
            </w:pPr>
            <w:r>
              <w:t xml:space="preserve">MEE project description</w:t>
            </w:r>
          </w:p>
        </w:tc>
      </w:tr>
      <w:tr>
        <w:tc>
          <w:tcPr/>
          <w:p>
            <w:pPr>
              <w:pStyle w:val="Compact"/>
              <w:jc w:val="left"/>
            </w:pPr>
            <w:r>
              <w:t xml:space="preserve">02334430</w:t>
            </w:r>
          </w:p>
        </w:tc>
        <w:tc>
          <w:tcPr/>
          <w:p>
            <w:pPr>
              <w:pStyle w:val="Compact"/>
              <w:jc w:val="right"/>
            </w:pPr>
            <w:r>
              <w:t xml:space="preserve">5.3</w:t>
            </w:r>
          </w:p>
        </w:tc>
        <w:tc>
          <w:tcPr/>
          <w:p>
            <w:pPr>
              <w:pStyle w:val="Compact"/>
              <w:jc w:val="right"/>
            </w:pPr>
            <w:r>
              <w:t xml:space="preserve">9.9</w:t>
            </w:r>
          </w:p>
        </w:tc>
        <w:tc>
          <w:tcPr/>
          <w:p>
            <w:pPr>
              <w:pStyle w:val="Compact"/>
              <w:jc w:val="right"/>
            </w:pPr>
            <w:r>
              <w:t xml:space="preserve">4.2</w:t>
            </w:r>
          </w:p>
        </w:tc>
        <w:tc>
          <w:tcPr/>
          <w:p>
            <w:pPr>
              <w:pStyle w:val="Compact"/>
              <w:jc w:val="right"/>
            </w:pPr>
            <w:r>
              <w:t xml:space="preserve">0.936</w:t>
            </w:r>
          </w:p>
        </w:tc>
        <w:tc>
          <w:tcPr/>
          <w:p>
            <w:pPr>
              <w:pStyle w:val="Compact"/>
              <w:jc w:val="right"/>
            </w:pPr>
            <w:r>
              <w:t xml:space="preserve">0.762</w:t>
            </w:r>
          </w:p>
        </w:tc>
        <w:tc>
          <w:tcPr/>
          <w:p>
            <w:pPr>
              <w:pStyle w:val="Compact"/>
              <w:jc w:val="right"/>
            </w:pPr>
            <w:r>
              <w:t xml:space="preserve">0.516</w:t>
            </w:r>
          </w:p>
        </w:tc>
        <w:tc>
          <w:tcPr/>
          <w:p>
            <w:pPr>
              <w:pStyle w:val="Compact"/>
              <w:jc w:val="right"/>
            </w:pPr>
            <w:r>
              <w:t xml:space="preserve">0.616</w:t>
            </w:r>
          </w:p>
        </w:tc>
        <w:tc>
          <w:tcPr/>
          <w:p>
            <w:pPr>
              <w:pStyle w:val="Compact"/>
              <w:jc w:val="right"/>
            </w:pPr>
            <w:r>
              <w:t xml:space="preserve">0.367</w:t>
            </w:r>
          </w:p>
        </w:tc>
        <w:tc>
          <w:tcPr/>
          <w:p>
            <w:pPr>
              <w:pStyle w:val="Compact"/>
              <w:jc w:val="right"/>
            </w:pPr>
            <w:r>
              <w:t xml:space="preserve">0.507</w:t>
            </w:r>
          </w:p>
        </w:tc>
        <w:tc>
          <w:tcPr/>
          <w:p>
            <w:pPr>
              <w:pStyle w:val="Compact"/>
              <w:jc w:val="right"/>
            </w:pPr>
            <w:r>
              <w:t xml:space="preserve">0.367</w:t>
            </w:r>
          </w:p>
        </w:tc>
        <w:tc>
          <w:tcPr/>
          <w:p>
            <w:pPr>
              <w:pStyle w:val="Compact"/>
              <w:jc w:val="left"/>
            </w:pPr>
            <w:r>
              <w:t xml:space="preserve">memory_dominated</w:t>
            </w:r>
          </w:p>
        </w:tc>
        <w:tc>
          <w:tcPr/>
          <w:p>
            <w:pPr>
              <w:pStyle w:val="Compact"/>
              <w:jc w:val="right"/>
            </w:pPr>
            <w:r>
              <w:t xml:space="preserve">0.077</w:t>
            </w:r>
          </w:p>
        </w:tc>
        <w:tc>
          <w:tcPr/>
          <w:p>
            <w:pPr>
              <w:pStyle w:val="Compact"/>
              <w:jc w:val="left"/>
            </w:pPr>
            <w:r>
              <w:t xml:space="preserve">acf30_divided_by_training_period_observed_temperature_range</w:t>
            </w:r>
          </w:p>
        </w:tc>
        <w:tc>
          <w:tcPr/>
          <w:p>
            <w:pPr>
              <w:pStyle w:val="Compact"/>
              <w:jc w:val="right"/>
            </w:pPr>
            <w:r>
              <w:t xml:space="preserve">1</w:t>
            </w:r>
          </w:p>
        </w:tc>
        <w:tc>
          <w:tcPr/>
          <w:p>
            <w:pPr>
              <w:pStyle w:val="Compact"/>
              <w:jc w:val="left"/>
            </w:pPr>
            <w:r>
              <w:t xml:space="preserve">Upper–Middle Chattahoochee</w:t>
            </w:r>
          </w:p>
        </w:tc>
        <w:tc>
          <w:tcPr/>
          <w:p>
            <w:pPr>
              <w:pStyle w:val="Compact"/>
              <w:jc w:val="right"/>
            </w:pPr>
            <w:r>
              <w:t xml:space="preserve">1</w:t>
            </w:r>
          </w:p>
        </w:tc>
        <w:tc>
          <w:tcPr/>
          <w:p>
            <w:pPr>
              <w:pStyle w:val="Compact"/>
              <w:jc w:val="left"/>
            </w:pPr>
            <w:r>
              <w:t xml:space="preserve">CHATTAHOOCHEE RIVER AT BUFORD DAM, NEAR BUFORD, GA</w:t>
            </w:r>
          </w:p>
        </w:tc>
        <w:tc>
          <w:tcPr/>
          <w:p>
            <w:pPr>
              <w:pStyle w:val="Compact"/>
              <w:jc w:val="left"/>
            </w:pPr>
            <w:r>
              <w:t xml:space="preserve">0.366 km below Buford Dam</w:t>
            </w:r>
          </w:p>
        </w:tc>
        <w:tc>
          <w:tcPr/>
          <w:p>
            <w:pPr>
              <w:pStyle w:val="Compact"/>
              <w:jc w:val="left"/>
            </w:pPr>
            <w:r>
              <w:t xml:space="preserve">0.366</w:t>
            </w:r>
          </w:p>
        </w:tc>
        <w:tc>
          <w:tcPr/>
          <w:p>
            <w:pPr>
              <w:pStyle w:val="Compact"/>
              <w:jc w:val="left"/>
            </w:pPr>
            <w:r>
              <w:t xml:space="preserve">USGS 0.366 km for 02334430; otherwise straight-line proxy from that gauge</w:t>
            </w:r>
          </w:p>
        </w:tc>
      </w:tr>
      <w:tr>
        <w:tc>
          <w:tcPr/>
          <w:p>
            <w:pPr>
              <w:pStyle w:val="Compact"/>
              <w:jc w:val="left"/>
            </w:pPr>
            <w:r>
              <w:t xml:space="preserve">02335000</w:t>
            </w:r>
          </w:p>
        </w:tc>
        <w:tc>
          <w:tcPr/>
          <w:p>
            <w:pPr>
              <w:pStyle w:val="Compact"/>
              <w:jc w:val="right"/>
            </w:pPr>
            <w:r>
              <w:t xml:space="preserve">12.2</w:t>
            </w:r>
          </w:p>
        </w:tc>
        <w:tc>
          <w:tcPr/>
          <w:p>
            <w:pPr>
              <w:pStyle w:val="Compact"/>
              <w:jc w:val="right"/>
            </w:pPr>
            <w:r>
              <w:t xml:space="preserve">14.8</w:t>
            </w:r>
          </w:p>
        </w:tc>
        <w:tc>
          <w:tcPr/>
          <w:p>
            <w:pPr>
              <w:pStyle w:val="Compact"/>
              <w:jc w:val="right"/>
            </w:pPr>
            <w:r>
              <w:t xml:space="preserve">6.1</w:t>
            </w:r>
          </w:p>
        </w:tc>
        <w:tc>
          <w:tcPr/>
          <w:p>
            <w:pPr>
              <w:pStyle w:val="Compact"/>
              <w:jc w:val="right"/>
            </w:pPr>
            <w:r>
              <w:t xml:space="preserve">1.465</w:t>
            </w:r>
          </w:p>
        </w:tc>
        <w:tc>
          <w:tcPr/>
          <w:p>
            <w:pPr>
              <w:pStyle w:val="Compact"/>
              <w:jc w:val="right"/>
            </w:pPr>
            <w:r>
              <w:t xml:space="preserve">0.397</w:t>
            </w:r>
          </w:p>
        </w:tc>
        <w:tc>
          <w:tcPr/>
          <w:p>
            <w:pPr>
              <w:pStyle w:val="Compact"/>
              <w:jc w:val="right"/>
            </w:pPr>
            <w:r>
              <w:t xml:space="preserve">0.282</w:t>
            </w:r>
          </w:p>
        </w:tc>
        <w:tc>
          <w:tcPr/>
          <w:p>
            <w:pPr>
              <w:pStyle w:val="Compact"/>
              <w:jc w:val="right"/>
            </w:pPr>
            <w:r>
              <w:t xml:space="preserve">0.649</w:t>
            </w:r>
          </w:p>
        </w:tc>
        <w:tc>
          <w:tcPr/>
          <w:p>
            <w:pPr>
              <w:pStyle w:val="Compact"/>
              <w:jc w:val="right"/>
            </w:pPr>
            <w:r>
              <w:t xml:space="preserve">0.853</w:t>
            </w:r>
          </w:p>
        </w:tc>
        <w:tc>
          <w:tcPr/>
          <w:p>
            <w:pPr>
              <w:pStyle w:val="Compact"/>
              <w:jc w:val="right"/>
            </w:pPr>
            <w:r>
              <w:t xml:space="preserve">0.043</w:t>
            </w:r>
          </w:p>
        </w:tc>
        <w:tc>
          <w:tcPr/>
          <w:p>
            <w:pPr>
              <w:pStyle w:val="Compact"/>
              <w:jc w:val="right"/>
            </w:pPr>
            <w:r>
              <w:t xml:space="preserve">0.853</w:t>
            </w:r>
          </w:p>
        </w:tc>
        <w:tc>
          <w:tcPr/>
          <w:p>
            <w:pPr>
              <w:pStyle w:val="Compact"/>
              <w:jc w:val="left"/>
            </w:pPr>
            <w:r>
              <w:t xml:space="preserve">donor_dominated</w:t>
            </w:r>
          </w:p>
        </w:tc>
        <w:tc>
          <w:tcPr/>
          <w:p>
            <w:pPr>
              <w:pStyle w:val="Compact"/>
              <w:jc w:val="right"/>
            </w:pPr>
            <w:r>
              <w:t xml:space="preserve">0.027</w:t>
            </w:r>
          </w:p>
        </w:tc>
        <w:tc>
          <w:tcPr/>
          <w:p>
            <w:pPr>
              <w:pStyle w:val="Compact"/>
              <w:jc w:val="left"/>
            </w:pPr>
            <w:r>
              <w:t xml:space="preserve">acf30_divided_by_training_period_observed_temperature_range</w:t>
            </w:r>
          </w:p>
        </w:tc>
        <w:tc>
          <w:tcPr/>
          <w:p>
            <w:pPr>
              <w:pStyle w:val="Compact"/>
              <w:jc w:val="right"/>
            </w:pPr>
            <w:r>
              <w:t xml:space="preserve">2</w:t>
            </w:r>
          </w:p>
        </w:tc>
        <w:tc>
          <w:tcPr/>
          <w:p>
            <w:pPr>
              <w:pStyle w:val="Compact"/>
              <w:jc w:val="left"/>
            </w:pPr>
            <w:r>
              <w:t xml:space="preserve">Upper–Middle Chattahoochee</w:t>
            </w:r>
          </w:p>
        </w:tc>
        <w:tc>
          <w:tcPr/>
          <w:p>
            <w:pPr>
              <w:pStyle w:val="Compact"/>
              <w:jc w:val="right"/>
            </w:pPr>
            <w:r>
              <w:t xml:space="preserve">2</w:t>
            </w:r>
          </w:p>
        </w:tc>
        <w:tc>
          <w:tcPr/>
          <w:p>
            <w:pPr>
              <w:pStyle w:val="Compact"/>
              <w:jc w:val="left"/>
            </w:pPr>
            <w:r>
              <w:t xml:space="preserve">CHATTAHOOCHEE RIVER NEAR NORCROSS, GA</w:t>
            </w:r>
          </w:p>
        </w:tc>
        <w:tc>
          <w:tcPr/>
          <w:p>
            <w:pPr>
              <w:pStyle w:val="Compact"/>
              <w:jc w:val="left"/>
            </w:pPr>
            <w:r>
              <w:t xml:space="preserve">downstream re-equilibration reach</w:t>
            </w:r>
          </w:p>
        </w:tc>
        <w:tc>
          <w:tcPr/>
          <w:p>
            <w:pPr>
              <w:pStyle w:val="Compact"/>
              <w:jc w:val="left"/>
            </w:pPr>
            <w:r>
              <w:t xml:space="preserve">21.432</w:t>
            </w:r>
          </w:p>
        </w:tc>
        <w:tc>
          <w:tcPr/>
          <w:p>
            <w:pPr>
              <w:pStyle w:val="Compact"/>
              <w:jc w:val="left"/>
            </w:pPr>
            <w:r>
              <w:t xml:space="preserve">USGS 0.366 km for 02334430; otherwise straight-line proxy from that gauge</w:t>
            </w:r>
          </w:p>
        </w:tc>
      </w:tr>
      <w:tr>
        <w:tc>
          <w:tcPr/>
          <w:p>
            <w:pPr>
              <w:pStyle w:val="Compact"/>
              <w:jc w:val="left"/>
            </w:pPr>
            <w:r>
              <w:t xml:space="preserve">02335450</w:t>
            </w:r>
          </w:p>
        </w:tc>
        <w:tc>
          <w:tcPr/>
          <w:p>
            <w:pPr>
              <w:pStyle w:val="Compact"/>
              <w:jc w:val="right"/>
            </w:pPr>
            <w:r>
              <w:t xml:space="preserve">13.2</w:t>
            </w:r>
          </w:p>
        </w:tc>
        <w:tc>
          <w:tcPr/>
          <w:p>
            <w:pPr>
              <w:pStyle w:val="Compact"/>
              <w:jc w:val="right"/>
            </w:pPr>
            <w:r>
              <w:t xml:space="preserve">18</w:t>
            </w:r>
          </w:p>
        </w:tc>
        <w:tc>
          <w:tcPr/>
          <w:p>
            <w:pPr>
              <w:pStyle w:val="Compact"/>
              <w:jc w:val="right"/>
            </w:pPr>
            <w:r>
              <w:t xml:space="preserve">7.9</w:t>
            </w:r>
          </w:p>
        </w:tc>
        <w:tc>
          <w:tcPr/>
          <w:p>
            <w:pPr>
              <w:pStyle w:val="Compact"/>
              <w:jc w:val="right"/>
            </w:pPr>
            <w:r>
              <w:t xml:space="preserve">1.772</w:t>
            </w:r>
          </w:p>
        </w:tc>
        <w:tc>
          <w:tcPr/>
          <w:p>
            <w:pPr>
              <w:pStyle w:val="Compact"/>
              <w:jc w:val="right"/>
            </w:pPr>
            <w:r>
              <w:t xml:space="preserve">0.377</w:t>
            </w:r>
          </w:p>
        </w:tc>
        <w:tc>
          <w:tcPr/>
          <w:p>
            <w:pPr>
              <w:pStyle w:val="Compact"/>
              <w:jc w:val="right"/>
            </w:pPr>
            <w:r>
              <w:t xml:space="preserve">0.276</w:t>
            </w:r>
          </w:p>
        </w:tc>
        <w:tc>
          <w:tcPr/>
          <w:p>
            <w:pPr>
              <w:pStyle w:val="Compact"/>
              <w:jc w:val="right"/>
            </w:pPr>
            <w:r>
              <w:t xml:space="preserve">0.687</w:t>
            </w:r>
          </w:p>
        </w:tc>
        <w:tc>
          <w:tcPr/>
          <w:p>
            <w:pPr>
              <w:pStyle w:val="Compact"/>
              <w:jc w:val="right"/>
            </w:pPr>
            <w:r>
              <w:t xml:space="preserve">0.913</w:t>
            </w:r>
          </w:p>
        </w:tc>
        <w:tc>
          <w:tcPr/>
          <w:p>
            <w:pPr>
              <w:pStyle w:val="Compact"/>
              <w:jc w:val="right"/>
            </w:pPr>
            <w:r>
              <w:t xml:space="preserve">0.027</w:t>
            </w:r>
          </w:p>
        </w:tc>
        <w:tc>
          <w:tcPr/>
          <w:p>
            <w:pPr>
              <w:pStyle w:val="Compact"/>
              <w:jc w:val="right"/>
            </w:pPr>
            <w:r>
              <w:t xml:space="preserve">0.913</w:t>
            </w:r>
          </w:p>
        </w:tc>
        <w:tc>
          <w:tcPr/>
          <w:p>
            <w:pPr>
              <w:pStyle w:val="Compact"/>
              <w:jc w:val="left"/>
            </w:pPr>
            <w:r>
              <w:t xml:space="preserve">donor_dominated</w:t>
            </w:r>
          </w:p>
        </w:tc>
        <w:tc>
          <w:tcPr/>
          <w:p>
            <w:pPr>
              <w:pStyle w:val="Compact"/>
              <w:jc w:val="right"/>
            </w:pPr>
            <w:r>
              <w:t xml:space="preserve">0.021</w:t>
            </w:r>
          </w:p>
        </w:tc>
        <w:tc>
          <w:tcPr/>
          <w:p>
            <w:pPr>
              <w:pStyle w:val="Compact"/>
              <w:jc w:val="left"/>
            </w:pPr>
            <w:r>
              <w:t xml:space="preserve">acf30_divided_by_training_period_observed_temperature_range</w:t>
            </w:r>
          </w:p>
        </w:tc>
        <w:tc>
          <w:tcPr/>
          <w:p>
            <w:pPr>
              <w:pStyle w:val="Compact"/>
              <w:jc w:val="right"/>
            </w:pPr>
            <w:r>
              <w:t xml:space="preserve">3</w:t>
            </w:r>
          </w:p>
        </w:tc>
        <w:tc>
          <w:tcPr/>
          <w:p>
            <w:pPr>
              <w:pStyle w:val="Compact"/>
              <w:jc w:val="left"/>
            </w:pPr>
            <w:r>
              <w:t xml:space="preserve">Upper–Middle Chattahoochee</w:t>
            </w:r>
          </w:p>
        </w:tc>
        <w:tc>
          <w:tcPr/>
          <w:p>
            <w:pPr>
              <w:pStyle w:val="Compact"/>
              <w:jc w:val="right"/>
            </w:pPr>
            <w:r>
              <w:t xml:space="preserve">3</w:t>
            </w:r>
          </w:p>
        </w:tc>
        <w:tc>
          <w:tcPr/>
          <w:p>
            <w:pPr>
              <w:pStyle w:val="Compact"/>
              <w:jc w:val="left"/>
            </w:pPr>
            <w:r>
              <w:t xml:space="preserve">CHATTAHOOCHEE RIVER ABOVE ROSWELL, GA</w:t>
            </w:r>
          </w:p>
        </w:tc>
        <w:tc>
          <w:tcPr/>
          <w:p>
            <w:pPr>
              <w:pStyle w:val="Compact"/>
              <w:jc w:val="left"/>
            </w:pPr>
            <w:r>
              <w:t xml:space="preserve">downstream re-equilibration reach</w:t>
            </w:r>
          </w:p>
        </w:tc>
        <w:tc>
          <w:tcPr/>
          <w:p>
            <w:pPr>
              <w:pStyle w:val="Compact"/>
              <w:jc w:val="left"/>
            </w:pPr>
            <w:r>
              <w:t xml:space="preserve">29.325</w:t>
            </w:r>
          </w:p>
        </w:tc>
        <w:tc>
          <w:tcPr/>
          <w:p>
            <w:pPr>
              <w:pStyle w:val="Compact"/>
              <w:jc w:val="left"/>
            </w:pPr>
            <w:r>
              <w:t xml:space="preserve">USGS 0.366 km for 02334430; otherwise straight-line proxy from that gauge</w:t>
            </w:r>
          </w:p>
        </w:tc>
      </w:tr>
      <w:tr>
        <w:tc>
          <w:tcPr/>
          <w:p>
            <w:pPr>
              <w:pStyle w:val="Compact"/>
              <w:jc w:val="left"/>
            </w:pPr>
            <w:r>
              <w:t xml:space="preserve">02336000</w:t>
            </w:r>
          </w:p>
        </w:tc>
        <w:tc>
          <w:tcPr/>
          <w:p>
            <w:pPr>
              <w:pStyle w:val="Compact"/>
              <w:jc w:val="right"/>
            </w:pPr>
            <w:r>
              <w:t xml:space="preserve">19.2</w:t>
            </w:r>
          </w:p>
        </w:tc>
        <w:tc>
          <w:tcPr/>
          <w:p>
            <w:pPr>
              <w:pStyle w:val="Compact"/>
              <w:jc w:val="right"/>
            </w:pPr>
            <w:r>
              <w:t xml:space="preserve">23.7</w:t>
            </w:r>
          </w:p>
        </w:tc>
        <w:tc>
          <w:tcPr/>
          <w:p>
            <w:pPr>
              <w:pStyle w:val="Compact"/>
              <w:jc w:val="right"/>
            </w:pPr>
            <w:r>
              <w:t xml:space="preserve">13</w:t>
            </w:r>
          </w:p>
        </w:tc>
        <w:tc>
          <w:tcPr/>
          <w:p>
            <w:pPr>
              <w:pStyle w:val="Compact"/>
              <w:jc w:val="right"/>
            </w:pPr>
            <w:r>
              <w:t xml:space="preserve">2.219</w:t>
            </w:r>
          </w:p>
        </w:tc>
        <w:tc>
          <w:tcPr/>
          <w:p>
            <w:pPr>
              <w:pStyle w:val="Compact"/>
              <w:jc w:val="right"/>
            </w:pPr>
            <w:r>
              <w:t xml:space="preserve">0.304</w:t>
            </w:r>
          </w:p>
        </w:tc>
        <w:tc>
          <w:tcPr/>
          <w:p>
            <w:pPr>
              <w:pStyle w:val="Compact"/>
              <w:jc w:val="right"/>
            </w:pPr>
            <w:r>
              <w:t xml:space="preserve">0.236</w:t>
            </w:r>
          </w:p>
        </w:tc>
        <w:tc>
          <w:tcPr/>
          <w:p>
            <w:pPr>
              <w:pStyle w:val="Compact"/>
              <w:jc w:val="right"/>
            </w:pPr>
            <w:r>
              <w:t xml:space="preserve">0.79</w:t>
            </w:r>
          </w:p>
        </w:tc>
        <w:tc>
          <w:tcPr/>
          <w:p>
            <w:pPr>
              <w:pStyle w:val="Compact"/>
              <w:jc w:val="right"/>
            </w:pPr>
            <w:r>
              <w:t xml:space="preserve">0.925</w:t>
            </w:r>
          </w:p>
        </w:tc>
        <w:tc>
          <w:tcPr/>
          <w:p>
            <w:pPr>
              <w:pStyle w:val="Compact"/>
              <w:jc w:val="right"/>
            </w:pPr>
            <w:r>
              <w:t xml:space="preserve">0.019</w:t>
            </w:r>
          </w:p>
        </w:tc>
        <w:tc>
          <w:tcPr/>
          <w:p>
            <w:pPr>
              <w:pStyle w:val="Compact"/>
              <w:jc w:val="right"/>
            </w:pPr>
            <w:r>
              <w:t xml:space="preserve">0.925</w:t>
            </w:r>
          </w:p>
        </w:tc>
        <w:tc>
          <w:tcPr/>
          <w:p>
            <w:pPr>
              <w:pStyle w:val="Compact"/>
              <w:jc w:val="left"/>
            </w:pPr>
            <w:r>
              <w:t xml:space="preserve">donor_dominated</w:t>
            </w:r>
          </w:p>
        </w:tc>
        <w:tc>
          <w:tcPr/>
          <w:p>
            <w:pPr>
              <w:pStyle w:val="Compact"/>
              <w:jc w:val="right"/>
            </w:pPr>
            <w:r>
              <w:t xml:space="preserve">0.013</w:t>
            </w:r>
          </w:p>
        </w:tc>
        <w:tc>
          <w:tcPr/>
          <w:p>
            <w:pPr>
              <w:pStyle w:val="Compact"/>
              <w:jc w:val="left"/>
            </w:pPr>
            <w:r>
              <w:t xml:space="preserve">acf30_divided_by_training_period_observed_temperature_range</w:t>
            </w:r>
          </w:p>
        </w:tc>
        <w:tc>
          <w:tcPr/>
          <w:p>
            <w:pPr>
              <w:pStyle w:val="Compact"/>
              <w:jc w:val="right"/>
            </w:pPr>
            <w:r>
              <w:t xml:space="preserve">4</w:t>
            </w:r>
          </w:p>
        </w:tc>
        <w:tc>
          <w:tcPr/>
          <w:p>
            <w:pPr>
              <w:pStyle w:val="Compact"/>
              <w:jc w:val="left"/>
            </w:pPr>
            <w:r>
              <w:t xml:space="preserve">Upper–Middle Chattahoochee</w:t>
            </w:r>
          </w:p>
        </w:tc>
        <w:tc>
          <w:tcPr/>
          <w:p>
            <w:pPr>
              <w:pStyle w:val="Compact"/>
              <w:jc w:val="right"/>
            </w:pPr>
            <w:r>
              <w:t xml:space="preserve">4</w:t>
            </w:r>
          </w:p>
        </w:tc>
        <w:tc>
          <w:tcPr/>
          <w:p>
            <w:pPr>
              <w:pStyle w:val="Compact"/>
              <w:jc w:val="left"/>
            </w:pPr>
            <w:r>
              <w:t xml:space="preserve">CHATTAHOOCHEE RIVER AT ATLANTA, GA</w:t>
            </w:r>
          </w:p>
        </w:tc>
        <w:tc>
          <w:tcPr/>
          <w:p>
            <w:pPr>
              <w:pStyle w:val="Compact"/>
              <w:jc w:val="left"/>
            </w:pPr>
            <w:r>
              <w:t xml:space="preserve">downstream re-equilibration reach</w:t>
            </w:r>
          </w:p>
        </w:tc>
        <w:tc>
          <w:tcPr/>
          <w:p>
            <w:pPr>
              <w:pStyle w:val="Compact"/>
              <w:jc w:val="left"/>
            </w:pPr>
            <w:r>
              <w:t xml:space="preserve">48.279</w:t>
            </w:r>
          </w:p>
        </w:tc>
        <w:tc>
          <w:tcPr/>
          <w:p>
            <w:pPr>
              <w:pStyle w:val="Compact"/>
              <w:jc w:val="left"/>
            </w:pPr>
            <w:r>
              <w:t xml:space="preserve">USGS 0.366 km for 02334430; otherwise straight-line proxy from that gauge</w:t>
            </w:r>
          </w:p>
        </w:tc>
      </w:tr>
      <w:tr>
        <w:tc>
          <w:tcPr/>
          <w:p>
            <w:pPr>
              <w:pStyle w:val="Compact"/>
              <w:jc w:val="left"/>
            </w:pPr>
            <w:r>
              <w:t xml:space="preserve">02337170</w:t>
            </w:r>
          </w:p>
        </w:tc>
        <w:tc>
          <w:tcPr/>
          <w:p>
            <w:pPr>
              <w:pStyle w:val="Compact"/>
              <w:jc w:val="right"/>
            </w:pPr>
            <w:r>
              <w:t xml:space="preserve">20.6</w:t>
            </w:r>
          </w:p>
        </w:tc>
        <w:tc>
          <w:tcPr/>
          <w:p>
            <w:pPr>
              <w:pStyle w:val="Compact"/>
              <w:jc w:val="right"/>
            </w:pPr>
            <w:r>
              <w:t xml:space="preserve">24</w:t>
            </w:r>
          </w:p>
        </w:tc>
        <w:tc>
          <w:tcPr/>
          <w:p>
            <w:pPr>
              <w:pStyle w:val="Compact"/>
              <w:jc w:val="right"/>
            </w:pPr>
            <w:r>
              <w:t xml:space="preserve">15</w:t>
            </w:r>
          </w:p>
        </w:tc>
        <w:tc>
          <w:tcPr/>
          <w:p>
            <w:pPr>
              <w:pStyle w:val="Compact"/>
              <w:jc w:val="right"/>
            </w:pPr>
            <w:r>
              <w:t xml:space="preserve">2.207</w:t>
            </w:r>
          </w:p>
        </w:tc>
        <w:tc>
          <w:tcPr/>
          <w:p>
            <w:pPr>
              <w:pStyle w:val="Compact"/>
              <w:jc w:val="right"/>
            </w:pPr>
            <w:r>
              <w:t xml:space="preserve">0.281</w:t>
            </w:r>
          </w:p>
        </w:tc>
        <w:tc>
          <w:tcPr/>
          <w:p>
            <w:pPr>
              <w:pStyle w:val="Compact"/>
              <w:jc w:val="right"/>
            </w:pPr>
            <w:r>
              <w:t xml:space="preserve">0.261</w:t>
            </w:r>
          </w:p>
        </w:tc>
        <w:tc>
          <w:tcPr/>
          <w:p>
            <w:pPr>
              <w:pStyle w:val="Compact"/>
              <w:jc w:val="right"/>
            </w:pPr>
            <w:r>
              <w:t xml:space="preserve">0.837</w:t>
            </w:r>
          </w:p>
        </w:tc>
        <w:tc>
          <w:tcPr/>
          <w:p>
            <w:pPr>
              <w:pStyle w:val="Compact"/>
              <w:jc w:val="right"/>
            </w:pPr>
            <w:r>
              <w:t xml:space="preserve">0.868</w:t>
            </w:r>
          </w:p>
        </w:tc>
        <w:tc>
          <w:tcPr/>
          <w:p>
            <w:pPr>
              <w:pStyle w:val="Compact"/>
              <w:jc w:val="right"/>
            </w:pPr>
            <w:r>
              <w:t xml:space="preserve">0.031</w:t>
            </w:r>
          </w:p>
        </w:tc>
        <w:tc>
          <w:tcPr/>
          <w:p>
            <w:pPr>
              <w:pStyle w:val="Compact"/>
              <w:jc w:val="right"/>
            </w:pPr>
            <w:r>
              <w:t xml:space="preserve">0.868</w:t>
            </w:r>
          </w:p>
        </w:tc>
        <w:tc>
          <w:tcPr/>
          <w:p>
            <w:pPr>
              <w:pStyle w:val="Compact"/>
              <w:jc w:val="left"/>
            </w:pPr>
            <w:r>
              <w:t xml:space="preserve">donor_dominated</w:t>
            </w:r>
          </w:p>
        </w:tc>
        <w:tc>
          <w:tcPr/>
          <w:p>
            <w:pPr>
              <w:pStyle w:val="Compact"/>
              <w:jc w:val="right"/>
            </w:pPr>
            <w:r>
              <w:t xml:space="preserve">0.012</w:t>
            </w:r>
          </w:p>
        </w:tc>
        <w:tc>
          <w:tcPr/>
          <w:p>
            <w:pPr>
              <w:pStyle w:val="Compact"/>
              <w:jc w:val="left"/>
            </w:pPr>
            <w:r>
              <w:t xml:space="preserve">acf30_divided_by_training_period_observed_temperature_range</w:t>
            </w:r>
          </w:p>
        </w:tc>
        <w:tc>
          <w:tcPr/>
          <w:p>
            <w:pPr>
              <w:pStyle w:val="Compact"/>
              <w:jc w:val="right"/>
            </w:pPr>
            <w:r>
              <w:t xml:space="preserve">5</w:t>
            </w:r>
          </w:p>
        </w:tc>
        <w:tc>
          <w:tcPr/>
          <w:p>
            <w:pPr>
              <w:pStyle w:val="Compact"/>
              <w:jc w:val="left"/>
            </w:pPr>
            <w:r>
              <w:t xml:space="preserve">Upper–Middle Chattahoochee</w:t>
            </w:r>
          </w:p>
        </w:tc>
        <w:tc>
          <w:tcPr/>
          <w:p>
            <w:pPr>
              <w:pStyle w:val="Compact"/>
              <w:jc w:val="right"/>
            </w:pPr>
            <w:r>
              <w:t xml:space="preserve">5</w:t>
            </w:r>
          </w:p>
        </w:tc>
        <w:tc>
          <w:tcPr/>
          <w:p>
            <w:pPr>
              <w:pStyle w:val="Compact"/>
              <w:jc w:val="left"/>
            </w:pPr>
            <w:r>
              <w:t xml:space="preserve">CHATTAHOOCHEE RIVER NEAR FAIRBURN, GA</w:t>
            </w:r>
          </w:p>
        </w:tc>
        <w:tc>
          <w:tcPr/>
          <w:p>
            <w:pPr>
              <w:pStyle w:val="Compact"/>
              <w:jc w:val="left"/>
            </w:pPr>
            <w:r>
              <w:t xml:space="preserve">downstream re-equilibration reach</w:t>
            </w:r>
          </w:p>
        </w:tc>
        <w:tc>
          <w:tcPr/>
          <w:p>
            <w:pPr>
              <w:pStyle w:val="Compact"/>
              <w:jc w:val="left"/>
            </w:pPr>
            <w:r>
              <w:t xml:space="preserve">78.521</w:t>
            </w:r>
          </w:p>
        </w:tc>
        <w:tc>
          <w:tcPr/>
          <w:p>
            <w:pPr>
              <w:pStyle w:val="Compact"/>
              <w:jc w:val="left"/>
            </w:pPr>
            <w:r>
              <w:t xml:space="preserve">USGS 0.366 km for 02334430; otherwise straight-line proxy from that gauge</w:t>
            </w:r>
          </w:p>
        </w:tc>
      </w:tr>
    </w:tbl>
    <w:p>
      <w:pPr>
        <w:pStyle w:val="BodyText"/>
      </w:pPr>
      <w:r>
        <w:rPr>
          <w:i/>
          <w:iCs/>
        </w:rPr>
        <w:t xml:space="preserve">Table 1. Eight-station regulation fingerprint.. Fitting-period observed range, climatological range, anomaly variability and memory, donor and memory budget components, covariance type, within-network memory–range rank, station order, and dam context.</w:t>
      </w:r>
    </w:p>
    <w:bookmarkEnd w:id="42"/>
    <w:bookmarkStart w:id="43" w:name="table-2"/>
    <w:p>
      <w:pPr>
        <w:pStyle w:val="Heading2"/>
      </w:pPr>
      <w:r>
        <w:t xml:space="preserve">Table 2</w:t>
      </w:r>
    </w:p>
    <w:tbl>
      <w:tblPr>
        <w:tblStyle w:val="Table"/>
        <w:tblW w:type="pct" w:w="5000"/>
        <w:tblLayout w:type="fixed"/>
        <w:tblLook w:firstRow="1" w:lastRow="0" w:firstColumn="0" w:lastColumn="0" w:noHBand="0" w:noVBand="0" w:val="0020"/>
      </w:tblPr>
      <w:tblGrid>
        <w:gridCol w:w="901"/>
        <w:gridCol w:w="515"/>
        <w:gridCol w:w="1480"/>
        <w:gridCol w:w="1480"/>
        <w:gridCol w:w="1287"/>
        <w:gridCol w:w="1609"/>
        <w:gridCol w:w="643"/>
      </w:tblGrid>
      <w:tr>
        <w:trPr>
          <w:tblHeader w:val="on"/>
        </w:trPr>
        <w:tc>
          <w:tcPr/>
          <w:p>
            <w:pPr>
              <w:pStyle w:val="Compact"/>
              <w:jc w:val="left"/>
            </w:pPr>
            <w:r>
              <w:t xml:space="preserve">station_id</w:t>
            </w:r>
          </w:p>
        </w:tc>
        <w:tc>
          <w:tcPr/>
          <w:p>
            <w:pPr>
              <w:pStyle w:val="Compact"/>
              <w:jc w:val="right"/>
            </w:pPr>
            <w:r>
              <w:t xml:space="preserve">year</w:t>
            </w:r>
          </w:p>
        </w:tc>
        <w:tc>
          <w:tcPr/>
          <w:p>
            <w:pPr>
              <w:pStyle w:val="Compact"/>
              <w:jc w:val="right"/>
            </w:pPr>
            <w:r>
              <w:t xml:space="preserve">annual_minimum_degC</w:t>
            </w:r>
          </w:p>
        </w:tc>
        <w:tc>
          <w:tcPr/>
          <w:p>
            <w:pPr>
              <w:pStyle w:val="Compact"/>
              <w:jc w:val="right"/>
            </w:pPr>
            <w:r>
              <w:t xml:space="preserve">annual_maximum_degC</w:t>
            </w:r>
          </w:p>
        </w:tc>
        <w:tc>
          <w:tcPr/>
          <w:p>
            <w:pPr>
              <w:pStyle w:val="Compact"/>
              <w:jc w:val="right"/>
            </w:pPr>
            <w:r>
              <w:t xml:space="preserve">annual_mean_degC</w:t>
            </w:r>
          </w:p>
        </w:tc>
        <w:tc>
          <w:tcPr/>
          <w:p>
            <w:pPr>
              <w:pStyle w:val="Compact"/>
              <w:jc w:val="right"/>
            </w:pPr>
            <w:r>
              <w:t xml:space="preserve">annual_amplitude_degC</w:t>
            </w:r>
          </w:p>
        </w:tc>
        <w:tc>
          <w:tcPr/>
          <w:p>
            <w:pPr>
              <w:pStyle w:val="Compact"/>
              <w:jc w:val="right"/>
            </w:pPr>
            <w:r>
              <w:t xml:space="preserve">n_days</w:t>
            </w:r>
          </w:p>
        </w:tc>
      </w:tr>
      <w:tr>
        <w:tc>
          <w:tcPr/>
          <w:p>
            <w:pPr>
              <w:pStyle w:val="Compact"/>
              <w:jc w:val="left"/>
            </w:pPr>
            <w:r>
              <w:t xml:space="preserve">B1</w:t>
            </w:r>
          </w:p>
        </w:tc>
        <w:tc>
          <w:tcPr/>
          <w:p>
            <w:pPr>
              <w:pStyle w:val="Compact"/>
              <w:jc w:val="right"/>
            </w:pPr>
            <w:r>
              <w:t xml:space="preserve">2006</w:t>
            </w:r>
          </w:p>
        </w:tc>
        <w:tc>
          <w:tcPr/>
          <w:p>
            <w:pPr>
              <w:pStyle w:val="Compact"/>
              <w:jc w:val="right"/>
            </w:pPr>
            <w:r>
              <w:t xml:space="preserve">1</w:t>
            </w:r>
          </w:p>
        </w:tc>
        <w:tc>
          <w:tcPr/>
          <w:p>
            <w:pPr>
              <w:pStyle w:val="Compact"/>
              <w:jc w:val="right"/>
            </w:pPr>
            <w:r>
              <w:t xml:space="preserve">20.6</w:t>
            </w:r>
          </w:p>
        </w:tc>
        <w:tc>
          <w:tcPr/>
          <w:p>
            <w:pPr>
              <w:pStyle w:val="Compact"/>
              <w:jc w:val="right"/>
            </w:pPr>
            <w:r>
              <w:t xml:space="preserve">10.254</w:t>
            </w:r>
          </w:p>
        </w:tc>
        <w:tc>
          <w:tcPr/>
          <w:p>
            <w:pPr>
              <w:pStyle w:val="Compact"/>
              <w:jc w:val="right"/>
            </w:pPr>
            <w:r>
              <w:t xml:space="preserve">19.6</w:t>
            </w:r>
          </w:p>
        </w:tc>
        <w:tc>
          <w:tcPr/>
          <w:p>
            <w:pPr>
              <w:pStyle w:val="Compact"/>
              <w:jc w:val="right"/>
            </w:pPr>
            <w:r>
              <w:t xml:space="preserve">365</w:t>
            </w:r>
          </w:p>
        </w:tc>
      </w:tr>
      <w:tr>
        <w:tc>
          <w:tcPr/>
          <w:p>
            <w:pPr>
              <w:pStyle w:val="Compact"/>
              <w:jc w:val="left"/>
            </w:pPr>
            <w:r>
              <w:t xml:space="preserve">B1</w:t>
            </w:r>
          </w:p>
        </w:tc>
        <w:tc>
          <w:tcPr/>
          <w:p>
            <w:pPr>
              <w:pStyle w:val="Compact"/>
              <w:jc w:val="right"/>
            </w:pPr>
            <w:r>
              <w:t xml:space="preserve">2007</w:t>
            </w:r>
          </w:p>
        </w:tc>
        <w:tc>
          <w:tcPr/>
          <w:p>
            <w:pPr>
              <w:pStyle w:val="Compact"/>
              <w:jc w:val="right"/>
            </w:pPr>
            <w:r>
              <w:t xml:space="preserve">1.6</w:t>
            </w:r>
          </w:p>
        </w:tc>
        <w:tc>
          <w:tcPr/>
          <w:p>
            <w:pPr>
              <w:pStyle w:val="Compact"/>
              <w:jc w:val="right"/>
            </w:pPr>
            <w:r>
              <w:t xml:space="preserve">18</w:t>
            </w:r>
          </w:p>
        </w:tc>
        <w:tc>
          <w:tcPr/>
          <w:p>
            <w:pPr>
              <w:pStyle w:val="Compact"/>
              <w:jc w:val="right"/>
            </w:pPr>
            <w:r>
              <w:t xml:space="preserve">9.761</w:t>
            </w:r>
          </w:p>
        </w:tc>
        <w:tc>
          <w:tcPr/>
          <w:p>
            <w:pPr>
              <w:pStyle w:val="Compact"/>
              <w:jc w:val="right"/>
            </w:pPr>
            <w:r>
              <w:t xml:space="preserve">16.4</w:t>
            </w:r>
          </w:p>
        </w:tc>
        <w:tc>
          <w:tcPr/>
          <w:p>
            <w:pPr>
              <w:pStyle w:val="Compact"/>
              <w:jc w:val="right"/>
            </w:pPr>
            <w:r>
              <w:t xml:space="preserve">365</w:t>
            </w:r>
          </w:p>
        </w:tc>
      </w:tr>
      <w:tr>
        <w:tc>
          <w:tcPr/>
          <w:p>
            <w:pPr>
              <w:pStyle w:val="Compact"/>
              <w:jc w:val="left"/>
            </w:pPr>
            <w:r>
              <w:t xml:space="preserve">B1</w:t>
            </w:r>
          </w:p>
        </w:tc>
        <w:tc>
          <w:tcPr/>
          <w:p>
            <w:pPr>
              <w:pStyle w:val="Compact"/>
              <w:jc w:val="right"/>
            </w:pPr>
            <w:r>
              <w:t xml:space="preserve">2008</w:t>
            </w:r>
          </w:p>
        </w:tc>
        <w:tc>
          <w:tcPr/>
          <w:p>
            <w:pPr>
              <w:pStyle w:val="Compact"/>
              <w:jc w:val="right"/>
            </w:pPr>
            <w:r>
              <w:t xml:space="preserve">0.6</w:t>
            </w:r>
          </w:p>
        </w:tc>
        <w:tc>
          <w:tcPr/>
          <w:p>
            <w:pPr>
              <w:pStyle w:val="Compact"/>
              <w:jc w:val="right"/>
            </w:pPr>
            <w:r>
              <w:t xml:space="preserve">18.1</w:t>
            </w:r>
          </w:p>
        </w:tc>
        <w:tc>
          <w:tcPr/>
          <w:p>
            <w:pPr>
              <w:pStyle w:val="Compact"/>
              <w:jc w:val="right"/>
            </w:pPr>
            <w:r>
              <w:t xml:space="preserve">9.028</w:t>
            </w:r>
          </w:p>
        </w:tc>
        <w:tc>
          <w:tcPr/>
          <w:p>
            <w:pPr>
              <w:pStyle w:val="Compact"/>
              <w:jc w:val="right"/>
            </w:pPr>
            <w:r>
              <w:t xml:space="preserve">17.5</w:t>
            </w:r>
          </w:p>
        </w:tc>
        <w:tc>
          <w:tcPr/>
          <w:p>
            <w:pPr>
              <w:pStyle w:val="Compact"/>
              <w:jc w:val="right"/>
            </w:pPr>
            <w:r>
              <w:t xml:space="preserve">366</w:t>
            </w:r>
          </w:p>
        </w:tc>
      </w:tr>
      <w:tr>
        <w:tc>
          <w:tcPr/>
          <w:p>
            <w:pPr>
              <w:pStyle w:val="Compact"/>
              <w:jc w:val="left"/>
            </w:pPr>
            <w:r>
              <w:t xml:space="preserve">B1</w:t>
            </w:r>
          </w:p>
        </w:tc>
        <w:tc>
          <w:tcPr/>
          <w:p>
            <w:pPr>
              <w:pStyle w:val="Compact"/>
              <w:jc w:val="right"/>
            </w:pPr>
            <w:r>
              <w:t xml:space="preserve">2009</w:t>
            </w:r>
          </w:p>
        </w:tc>
        <w:tc>
          <w:tcPr/>
          <w:p>
            <w:pPr>
              <w:pStyle w:val="Compact"/>
              <w:jc w:val="right"/>
            </w:pPr>
            <w:r>
              <w:t xml:space="preserve">0.1</w:t>
            </w:r>
          </w:p>
        </w:tc>
        <w:tc>
          <w:tcPr/>
          <w:p>
            <w:pPr>
              <w:pStyle w:val="Compact"/>
              <w:jc w:val="right"/>
            </w:pPr>
            <w:r>
              <w:t xml:space="preserve">18.5</w:t>
            </w:r>
          </w:p>
        </w:tc>
        <w:tc>
          <w:tcPr/>
          <w:p>
            <w:pPr>
              <w:pStyle w:val="Compact"/>
              <w:jc w:val="right"/>
            </w:pPr>
            <w:r>
              <w:t xml:space="preserve">9.482</w:t>
            </w:r>
          </w:p>
        </w:tc>
        <w:tc>
          <w:tcPr/>
          <w:p>
            <w:pPr>
              <w:pStyle w:val="Compact"/>
              <w:jc w:val="right"/>
            </w:pPr>
            <w:r>
              <w:t xml:space="preserve">18.4</w:t>
            </w:r>
          </w:p>
        </w:tc>
        <w:tc>
          <w:tcPr/>
          <w:p>
            <w:pPr>
              <w:pStyle w:val="Compact"/>
              <w:jc w:val="right"/>
            </w:pPr>
            <w:r>
              <w:t xml:space="preserve">365</w:t>
            </w:r>
          </w:p>
        </w:tc>
      </w:tr>
      <w:tr>
        <w:tc>
          <w:tcPr/>
          <w:p>
            <w:pPr>
              <w:pStyle w:val="Compact"/>
              <w:jc w:val="left"/>
            </w:pPr>
            <w:r>
              <w:t xml:space="preserve">B1</w:t>
            </w:r>
          </w:p>
        </w:tc>
        <w:tc>
          <w:tcPr/>
          <w:p>
            <w:pPr>
              <w:pStyle w:val="Compact"/>
              <w:jc w:val="right"/>
            </w:pPr>
            <w:r>
              <w:t xml:space="preserve">2010</w:t>
            </w:r>
          </w:p>
        </w:tc>
        <w:tc>
          <w:tcPr/>
          <w:p>
            <w:pPr>
              <w:pStyle w:val="Compact"/>
              <w:jc w:val="right"/>
            </w:pPr>
            <w:r>
              <w:t xml:space="preserve">0.4</w:t>
            </w:r>
          </w:p>
        </w:tc>
        <w:tc>
          <w:tcPr/>
          <w:p>
            <w:pPr>
              <w:pStyle w:val="Compact"/>
              <w:jc w:val="right"/>
            </w:pPr>
            <w:r>
              <w:t xml:space="preserve">18.6</w:t>
            </w:r>
          </w:p>
        </w:tc>
        <w:tc>
          <w:tcPr/>
          <w:p>
            <w:pPr>
              <w:pStyle w:val="Compact"/>
              <w:jc w:val="right"/>
            </w:pPr>
            <w:r>
              <w:t xml:space="preserve">9.369</w:t>
            </w:r>
          </w:p>
        </w:tc>
        <w:tc>
          <w:tcPr/>
          <w:p>
            <w:pPr>
              <w:pStyle w:val="Compact"/>
              <w:jc w:val="right"/>
            </w:pPr>
            <w:r>
              <w:t xml:space="preserve">18.2</w:t>
            </w:r>
          </w:p>
        </w:tc>
        <w:tc>
          <w:tcPr/>
          <w:p>
            <w:pPr>
              <w:pStyle w:val="Compact"/>
              <w:jc w:val="right"/>
            </w:pPr>
            <w:r>
              <w:t xml:space="preserve">365</w:t>
            </w:r>
          </w:p>
        </w:tc>
      </w:tr>
      <w:tr>
        <w:tc>
          <w:tcPr/>
          <w:p>
            <w:pPr>
              <w:pStyle w:val="Compact"/>
              <w:jc w:val="left"/>
            </w:pPr>
            <w:r>
              <w:t xml:space="preserve">B1</w:t>
            </w:r>
          </w:p>
        </w:tc>
        <w:tc>
          <w:tcPr/>
          <w:p>
            <w:pPr>
              <w:pStyle w:val="Compact"/>
              <w:jc w:val="right"/>
            </w:pPr>
            <w:r>
              <w:t xml:space="preserve">2011</w:t>
            </w:r>
          </w:p>
        </w:tc>
        <w:tc>
          <w:tcPr/>
          <w:p>
            <w:pPr>
              <w:pStyle w:val="Compact"/>
              <w:jc w:val="right"/>
            </w:pPr>
            <w:r>
              <w:t xml:space="preserve">1</w:t>
            </w:r>
          </w:p>
        </w:tc>
        <w:tc>
          <w:tcPr/>
          <w:p>
            <w:pPr>
              <w:pStyle w:val="Compact"/>
              <w:jc w:val="right"/>
            </w:pPr>
            <w:r>
              <w:t xml:space="preserve">17.7</w:t>
            </w:r>
          </w:p>
        </w:tc>
        <w:tc>
          <w:tcPr/>
          <w:p>
            <w:pPr>
              <w:pStyle w:val="Compact"/>
              <w:jc w:val="right"/>
            </w:pPr>
            <w:r>
              <w:t xml:space="preserve">9.18</w:t>
            </w:r>
          </w:p>
        </w:tc>
        <w:tc>
          <w:tcPr/>
          <w:p>
            <w:pPr>
              <w:pStyle w:val="Compact"/>
              <w:jc w:val="right"/>
            </w:pPr>
            <w:r>
              <w:t xml:space="preserve">16.7</w:t>
            </w:r>
          </w:p>
        </w:tc>
        <w:tc>
          <w:tcPr/>
          <w:p>
            <w:pPr>
              <w:pStyle w:val="Compact"/>
              <w:jc w:val="right"/>
            </w:pPr>
            <w:r>
              <w:t xml:space="preserve">365</w:t>
            </w:r>
          </w:p>
        </w:tc>
      </w:tr>
      <w:tr>
        <w:tc>
          <w:tcPr/>
          <w:p>
            <w:pPr>
              <w:pStyle w:val="Compact"/>
              <w:jc w:val="left"/>
            </w:pPr>
            <w:r>
              <w:t xml:space="preserve">B1</w:t>
            </w:r>
          </w:p>
        </w:tc>
        <w:tc>
          <w:tcPr/>
          <w:p>
            <w:pPr>
              <w:pStyle w:val="Compact"/>
              <w:jc w:val="right"/>
            </w:pPr>
            <w:r>
              <w:t xml:space="preserve">2012</w:t>
            </w:r>
          </w:p>
        </w:tc>
        <w:tc>
          <w:tcPr/>
          <w:p>
            <w:pPr>
              <w:pStyle w:val="Compact"/>
              <w:jc w:val="right"/>
            </w:pPr>
            <w:r>
              <w:t xml:space="preserve">1.1</w:t>
            </w:r>
          </w:p>
        </w:tc>
        <w:tc>
          <w:tcPr/>
          <w:p>
            <w:pPr>
              <w:pStyle w:val="Compact"/>
              <w:jc w:val="right"/>
            </w:pPr>
            <w:r>
              <w:t xml:space="preserve">18.2</w:t>
            </w:r>
          </w:p>
        </w:tc>
        <w:tc>
          <w:tcPr/>
          <w:p>
            <w:pPr>
              <w:pStyle w:val="Compact"/>
              <w:jc w:val="right"/>
            </w:pPr>
            <w:r>
              <w:t xml:space="preserve">9.398</w:t>
            </w:r>
          </w:p>
        </w:tc>
        <w:tc>
          <w:tcPr/>
          <w:p>
            <w:pPr>
              <w:pStyle w:val="Compact"/>
              <w:jc w:val="right"/>
            </w:pPr>
            <w:r>
              <w:t xml:space="preserve">17.1</w:t>
            </w:r>
          </w:p>
        </w:tc>
        <w:tc>
          <w:tcPr/>
          <w:p>
            <w:pPr>
              <w:pStyle w:val="Compact"/>
              <w:jc w:val="right"/>
            </w:pPr>
            <w:r>
              <w:t xml:space="preserve">366</w:t>
            </w:r>
          </w:p>
        </w:tc>
      </w:tr>
      <w:tr>
        <w:tc>
          <w:tcPr/>
          <w:p>
            <w:pPr>
              <w:pStyle w:val="Compact"/>
              <w:jc w:val="left"/>
            </w:pPr>
            <w:r>
              <w:t xml:space="preserve">B1</w:t>
            </w:r>
          </w:p>
        </w:tc>
        <w:tc>
          <w:tcPr/>
          <w:p>
            <w:pPr>
              <w:pStyle w:val="Compact"/>
              <w:jc w:val="right"/>
            </w:pPr>
            <w:r>
              <w:t xml:space="preserve">2013</w:t>
            </w:r>
          </w:p>
        </w:tc>
        <w:tc>
          <w:tcPr/>
          <w:p>
            <w:pPr>
              <w:pStyle w:val="Compact"/>
              <w:jc w:val="right"/>
            </w:pPr>
            <w:r>
              <w:t xml:space="preserve">0.2</w:t>
            </w:r>
          </w:p>
        </w:tc>
        <w:tc>
          <w:tcPr/>
          <w:p>
            <w:pPr>
              <w:pStyle w:val="Compact"/>
              <w:jc w:val="right"/>
            </w:pPr>
            <w:r>
              <w:t xml:space="preserve">18.2</w:t>
            </w:r>
          </w:p>
        </w:tc>
        <w:tc>
          <w:tcPr/>
          <w:p>
            <w:pPr>
              <w:pStyle w:val="Compact"/>
              <w:jc w:val="right"/>
            </w:pPr>
            <w:r>
              <w:t xml:space="preserve">9.625</w:t>
            </w:r>
          </w:p>
        </w:tc>
        <w:tc>
          <w:tcPr/>
          <w:p>
            <w:pPr>
              <w:pStyle w:val="Compact"/>
              <w:jc w:val="right"/>
            </w:pPr>
            <w:r>
              <w:t xml:space="preserve">18</w:t>
            </w:r>
          </w:p>
        </w:tc>
        <w:tc>
          <w:tcPr/>
          <w:p>
            <w:pPr>
              <w:pStyle w:val="Compact"/>
              <w:jc w:val="right"/>
            </w:pPr>
            <w:r>
              <w:t xml:space="preserve">365</w:t>
            </w:r>
          </w:p>
        </w:tc>
      </w:tr>
      <w:tr>
        <w:tc>
          <w:tcPr/>
          <w:p>
            <w:pPr>
              <w:pStyle w:val="Compact"/>
              <w:jc w:val="left"/>
            </w:pPr>
            <w:r>
              <w:t xml:space="preserve">B1</w:t>
            </w:r>
          </w:p>
        </w:tc>
        <w:tc>
          <w:tcPr/>
          <w:p>
            <w:pPr>
              <w:pStyle w:val="Compact"/>
              <w:jc w:val="right"/>
            </w:pPr>
            <w:r>
              <w:t xml:space="preserve">2014</w:t>
            </w:r>
          </w:p>
        </w:tc>
        <w:tc>
          <w:tcPr/>
          <w:p>
            <w:pPr>
              <w:pStyle w:val="Compact"/>
              <w:jc w:val="right"/>
            </w:pPr>
            <w:r>
              <w:t xml:space="preserve">1.4</w:t>
            </w:r>
          </w:p>
        </w:tc>
        <w:tc>
          <w:tcPr/>
          <w:p>
            <w:pPr>
              <w:pStyle w:val="Compact"/>
              <w:jc w:val="right"/>
            </w:pPr>
            <w:r>
              <w:t xml:space="preserve">18</w:t>
            </w:r>
          </w:p>
        </w:tc>
        <w:tc>
          <w:tcPr/>
          <w:p>
            <w:pPr>
              <w:pStyle w:val="Compact"/>
              <w:jc w:val="right"/>
            </w:pPr>
            <w:r>
              <w:t xml:space="preserve">9.282</w:t>
            </w:r>
          </w:p>
        </w:tc>
        <w:tc>
          <w:tcPr/>
          <w:p>
            <w:pPr>
              <w:pStyle w:val="Compact"/>
              <w:jc w:val="right"/>
            </w:pPr>
            <w:r>
              <w:t xml:space="preserve">16.6</w:t>
            </w:r>
          </w:p>
        </w:tc>
        <w:tc>
          <w:tcPr/>
          <w:p>
            <w:pPr>
              <w:pStyle w:val="Compact"/>
              <w:jc w:val="right"/>
            </w:pPr>
            <w:r>
              <w:t xml:space="preserve">365</w:t>
            </w:r>
          </w:p>
        </w:tc>
      </w:tr>
      <w:tr>
        <w:tc>
          <w:tcPr/>
          <w:p>
            <w:pPr>
              <w:pStyle w:val="Compact"/>
              <w:jc w:val="left"/>
            </w:pPr>
            <w:r>
              <w:t xml:space="preserve">B1</w:t>
            </w:r>
          </w:p>
        </w:tc>
        <w:tc>
          <w:tcPr/>
          <w:p>
            <w:pPr>
              <w:pStyle w:val="Compact"/>
              <w:jc w:val="right"/>
            </w:pPr>
            <w:r>
              <w:t xml:space="preserve">2015</w:t>
            </w:r>
          </w:p>
        </w:tc>
        <w:tc>
          <w:tcPr/>
          <w:p>
            <w:pPr>
              <w:pStyle w:val="Compact"/>
              <w:jc w:val="right"/>
            </w:pPr>
            <w:r>
              <w:t xml:space="preserve">1</w:t>
            </w:r>
          </w:p>
        </w:tc>
        <w:tc>
          <w:tcPr/>
          <w:p>
            <w:pPr>
              <w:pStyle w:val="Compact"/>
              <w:jc w:val="right"/>
            </w:pPr>
            <w:r>
              <w:t xml:space="preserve">18.4</w:t>
            </w:r>
          </w:p>
        </w:tc>
        <w:tc>
          <w:tcPr/>
          <w:p>
            <w:pPr>
              <w:pStyle w:val="Compact"/>
              <w:jc w:val="right"/>
            </w:pPr>
            <w:r>
              <w:t xml:space="preserve">9.633</w:t>
            </w:r>
          </w:p>
        </w:tc>
        <w:tc>
          <w:tcPr/>
          <w:p>
            <w:pPr>
              <w:pStyle w:val="Compact"/>
              <w:jc w:val="right"/>
            </w:pPr>
            <w:r>
              <w:t xml:space="preserve">17.4</w:t>
            </w:r>
          </w:p>
        </w:tc>
        <w:tc>
          <w:tcPr/>
          <w:p>
            <w:pPr>
              <w:pStyle w:val="Compact"/>
              <w:jc w:val="right"/>
            </w:pPr>
            <w:r>
              <w:t xml:space="preserve">365</w:t>
            </w:r>
          </w:p>
        </w:tc>
      </w:tr>
      <w:tr>
        <w:tc>
          <w:tcPr/>
          <w:p>
            <w:pPr>
              <w:pStyle w:val="Compact"/>
              <w:jc w:val="left"/>
            </w:pPr>
            <w:r>
              <w:t xml:space="preserve">B1</w:t>
            </w:r>
          </w:p>
        </w:tc>
        <w:tc>
          <w:tcPr/>
          <w:p>
            <w:pPr>
              <w:pStyle w:val="Compact"/>
              <w:jc w:val="right"/>
            </w:pPr>
            <w:r>
              <w:t xml:space="preserve">2016</w:t>
            </w:r>
          </w:p>
        </w:tc>
        <w:tc>
          <w:tcPr/>
          <w:p>
            <w:pPr>
              <w:pStyle w:val="Compact"/>
              <w:jc w:val="right"/>
            </w:pPr>
            <w:r>
              <w:t xml:space="preserve">1.1</w:t>
            </w:r>
          </w:p>
        </w:tc>
        <w:tc>
          <w:tcPr/>
          <w:p>
            <w:pPr>
              <w:pStyle w:val="Compact"/>
              <w:jc w:val="right"/>
            </w:pPr>
            <w:r>
              <w:t xml:space="preserve">18.6</w:t>
            </w:r>
          </w:p>
        </w:tc>
        <w:tc>
          <w:tcPr/>
          <w:p>
            <w:pPr>
              <w:pStyle w:val="Compact"/>
              <w:jc w:val="right"/>
            </w:pPr>
            <w:r>
              <w:t xml:space="preserve">9.956</w:t>
            </w:r>
          </w:p>
        </w:tc>
        <w:tc>
          <w:tcPr/>
          <w:p>
            <w:pPr>
              <w:pStyle w:val="Compact"/>
              <w:jc w:val="right"/>
            </w:pPr>
            <w:r>
              <w:t xml:space="preserve">17.5</w:t>
            </w:r>
          </w:p>
        </w:tc>
        <w:tc>
          <w:tcPr/>
          <w:p>
            <w:pPr>
              <w:pStyle w:val="Compact"/>
              <w:jc w:val="right"/>
            </w:pPr>
            <w:r>
              <w:t xml:space="preserve">366</w:t>
            </w:r>
          </w:p>
        </w:tc>
      </w:tr>
      <w:tr>
        <w:tc>
          <w:tcPr/>
          <w:p>
            <w:pPr>
              <w:pStyle w:val="Compact"/>
              <w:jc w:val="left"/>
            </w:pPr>
            <w:r>
              <w:t xml:space="preserve">B1</w:t>
            </w:r>
          </w:p>
        </w:tc>
        <w:tc>
          <w:tcPr/>
          <w:p>
            <w:pPr>
              <w:pStyle w:val="Compact"/>
              <w:jc w:val="right"/>
            </w:pPr>
            <w:r>
              <w:t xml:space="preserve">2017</w:t>
            </w:r>
          </w:p>
        </w:tc>
        <w:tc>
          <w:tcPr/>
          <w:p>
            <w:pPr>
              <w:pStyle w:val="Compact"/>
              <w:jc w:val="right"/>
            </w:pPr>
            <w:r>
              <w:t xml:space="preserve">1.8</w:t>
            </w:r>
          </w:p>
        </w:tc>
        <w:tc>
          <w:tcPr/>
          <w:p>
            <w:pPr>
              <w:pStyle w:val="Compact"/>
              <w:jc w:val="right"/>
            </w:pPr>
            <w:r>
              <w:t xml:space="preserve">18.5</w:t>
            </w:r>
          </w:p>
        </w:tc>
        <w:tc>
          <w:tcPr/>
          <w:p>
            <w:pPr>
              <w:pStyle w:val="Compact"/>
              <w:jc w:val="right"/>
            </w:pPr>
            <w:r>
              <w:t xml:space="preserve">9.858</w:t>
            </w:r>
          </w:p>
        </w:tc>
        <w:tc>
          <w:tcPr/>
          <w:p>
            <w:pPr>
              <w:pStyle w:val="Compact"/>
              <w:jc w:val="right"/>
            </w:pPr>
            <w:r>
              <w:t xml:space="preserve">16.7</w:t>
            </w:r>
          </w:p>
        </w:tc>
        <w:tc>
          <w:tcPr/>
          <w:p>
            <w:pPr>
              <w:pStyle w:val="Compact"/>
              <w:jc w:val="right"/>
            </w:pPr>
            <w:r>
              <w:t xml:space="preserve">365</w:t>
            </w:r>
          </w:p>
        </w:tc>
      </w:tr>
      <w:tr>
        <w:tc>
          <w:tcPr/>
          <w:p>
            <w:pPr>
              <w:pStyle w:val="Compact"/>
              <w:jc w:val="left"/>
            </w:pPr>
            <w:r>
              <w:t xml:space="preserve">B1</w:t>
            </w:r>
          </w:p>
        </w:tc>
        <w:tc>
          <w:tcPr/>
          <w:p>
            <w:pPr>
              <w:pStyle w:val="Compact"/>
              <w:jc w:val="right"/>
            </w:pPr>
            <w:r>
              <w:t xml:space="preserve">2018</w:t>
            </w:r>
          </w:p>
        </w:tc>
        <w:tc>
          <w:tcPr/>
          <w:p>
            <w:pPr>
              <w:pStyle w:val="Compact"/>
              <w:jc w:val="right"/>
            </w:pPr>
            <w:r>
              <w:t xml:space="preserve">1.6</w:t>
            </w:r>
          </w:p>
        </w:tc>
        <w:tc>
          <w:tcPr/>
          <w:p>
            <w:pPr>
              <w:pStyle w:val="Compact"/>
              <w:jc w:val="right"/>
            </w:pPr>
            <w:r>
              <w:t xml:space="preserve">17.7</w:t>
            </w:r>
          </w:p>
        </w:tc>
        <w:tc>
          <w:tcPr/>
          <w:p>
            <w:pPr>
              <w:pStyle w:val="Compact"/>
              <w:jc w:val="right"/>
            </w:pPr>
            <w:r>
              <w:t xml:space="preserve">9.895</w:t>
            </w:r>
          </w:p>
        </w:tc>
        <w:tc>
          <w:tcPr/>
          <w:p>
            <w:pPr>
              <w:pStyle w:val="Compact"/>
              <w:jc w:val="right"/>
            </w:pPr>
            <w:r>
              <w:t xml:space="preserve">16.1</w:t>
            </w:r>
          </w:p>
        </w:tc>
        <w:tc>
          <w:tcPr/>
          <w:p>
            <w:pPr>
              <w:pStyle w:val="Compact"/>
              <w:jc w:val="right"/>
            </w:pPr>
            <w:r>
              <w:t xml:space="preserve">365</w:t>
            </w:r>
          </w:p>
        </w:tc>
      </w:tr>
      <w:tr>
        <w:tc>
          <w:tcPr/>
          <w:p>
            <w:pPr>
              <w:pStyle w:val="Compact"/>
              <w:jc w:val="left"/>
            </w:pPr>
            <w:r>
              <w:t xml:space="preserve">B1</w:t>
            </w:r>
          </w:p>
        </w:tc>
        <w:tc>
          <w:tcPr/>
          <w:p>
            <w:pPr>
              <w:pStyle w:val="Compact"/>
              <w:jc w:val="right"/>
            </w:pPr>
            <w:r>
              <w:t xml:space="preserve">2019</w:t>
            </w:r>
          </w:p>
        </w:tc>
        <w:tc>
          <w:tcPr/>
          <w:p>
            <w:pPr>
              <w:pStyle w:val="Compact"/>
              <w:jc w:val="right"/>
            </w:pPr>
            <w:r>
              <w:t xml:space="preserve">1.6</w:t>
            </w:r>
          </w:p>
        </w:tc>
        <w:tc>
          <w:tcPr/>
          <w:p>
            <w:pPr>
              <w:pStyle w:val="Compact"/>
              <w:jc w:val="right"/>
            </w:pPr>
            <w:r>
              <w:t xml:space="preserve">18.6</w:t>
            </w:r>
          </w:p>
        </w:tc>
        <w:tc>
          <w:tcPr/>
          <w:p>
            <w:pPr>
              <w:pStyle w:val="Compact"/>
              <w:jc w:val="right"/>
            </w:pPr>
            <w:r>
              <w:t xml:space="preserve">9.792</w:t>
            </w:r>
          </w:p>
        </w:tc>
        <w:tc>
          <w:tcPr/>
          <w:p>
            <w:pPr>
              <w:pStyle w:val="Compact"/>
              <w:jc w:val="right"/>
            </w:pPr>
            <w:r>
              <w:t xml:space="preserve">17</w:t>
            </w:r>
          </w:p>
        </w:tc>
        <w:tc>
          <w:tcPr/>
          <w:p>
            <w:pPr>
              <w:pStyle w:val="Compact"/>
              <w:jc w:val="right"/>
            </w:pPr>
            <w:r>
              <w:t xml:space="preserve">365</w:t>
            </w:r>
          </w:p>
        </w:tc>
      </w:tr>
      <w:tr>
        <w:tc>
          <w:tcPr/>
          <w:p>
            <w:pPr>
              <w:pStyle w:val="Compact"/>
              <w:jc w:val="left"/>
            </w:pPr>
            <w:r>
              <w:t xml:space="preserve">B1</w:t>
            </w:r>
          </w:p>
        </w:tc>
        <w:tc>
          <w:tcPr/>
          <w:p>
            <w:pPr>
              <w:pStyle w:val="Compact"/>
              <w:jc w:val="right"/>
            </w:pPr>
            <w:r>
              <w:t xml:space="preserve">2020</w:t>
            </w:r>
          </w:p>
        </w:tc>
        <w:tc>
          <w:tcPr/>
          <w:p>
            <w:pPr>
              <w:pStyle w:val="Compact"/>
              <w:jc w:val="right"/>
            </w:pPr>
            <w:r>
              <w:t xml:space="preserve">1.5</w:t>
            </w:r>
          </w:p>
        </w:tc>
        <w:tc>
          <w:tcPr/>
          <w:p>
            <w:pPr>
              <w:pStyle w:val="Compact"/>
              <w:jc w:val="right"/>
            </w:pPr>
            <w:r>
              <w:t xml:space="preserve">18.1</w:t>
            </w:r>
          </w:p>
        </w:tc>
        <w:tc>
          <w:tcPr/>
          <w:p>
            <w:pPr>
              <w:pStyle w:val="Compact"/>
              <w:jc w:val="right"/>
            </w:pPr>
            <w:r>
              <w:t xml:space="preserve">9.759</w:t>
            </w:r>
          </w:p>
        </w:tc>
        <w:tc>
          <w:tcPr/>
          <w:p>
            <w:pPr>
              <w:pStyle w:val="Compact"/>
              <w:jc w:val="right"/>
            </w:pPr>
            <w:r>
              <w:t xml:space="preserve">16.6</w:t>
            </w:r>
          </w:p>
        </w:tc>
        <w:tc>
          <w:tcPr/>
          <w:p>
            <w:pPr>
              <w:pStyle w:val="Compact"/>
              <w:jc w:val="right"/>
            </w:pPr>
            <w:r>
              <w:t xml:space="preserve">366</w:t>
            </w:r>
          </w:p>
        </w:tc>
      </w:tr>
      <w:tr>
        <w:tc>
          <w:tcPr/>
          <w:p>
            <w:pPr>
              <w:pStyle w:val="Compact"/>
              <w:jc w:val="left"/>
            </w:pPr>
            <w:r>
              <w:t xml:space="preserve">S2</w:t>
            </w:r>
          </w:p>
        </w:tc>
        <w:tc>
          <w:tcPr/>
          <w:p>
            <w:pPr>
              <w:pStyle w:val="Compact"/>
              <w:jc w:val="right"/>
            </w:pPr>
            <w:r>
              <w:t xml:space="preserve">2006</w:t>
            </w:r>
          </w:p>
        </w:tc>
        <w:tc>
          <w:tcPr/>
          <w:p>
            <w:pPr>
              <w:pStyle w:val="Compact"/>
              <w:jc w:val="right"/>
            </w:pPr>
            <w:r>
              <w:t xml:space="preserve">5.2</w:t>
            </w:r>
          </w:p>
        </w:tc>
        <w:tc>
          <w:tcPr/>
          <w:p>
            <w:pPr>
              <w:pStyle w:val="Compact"/>
              <w:jc w:val="right"/>
            </w:pPr>
            <w:r>
              <w:t xml:space="preserve">20.5</w:t>
            </w:r>
          </w:p>
        </w:tc>
        <w:tc>
          <w:tcPr/>
          <w:p>
            <w:pPr>
              <w:pStyle w:val="Compact"/>
              <w:jc w:val="right"/>
            </w:pPr>
            <w:r>
              <w:t xml:space="preserve">12.706</w:t>
            </w:r>
          </w:p>
        </w:tc>
        <w:tc>
          <w:tcPr/>
          <w:p>
            <w:pPr>
              <w:pStyle w:val="Compact"/>
              <w:jc w:val="right"/>
            </w:pPr>
            <w:r>
              <w:t xml:space="preserve">15.3</w:t>
            </w:r>
          </w:p>
        </w:tc>
        <w:tc>
          <w:tcPr/>
          <w:p>
            <w:pPr>
              <w:pStyle w:val="Compact"/>
              <w:jc w:val="right"/>
            </w:pPr>
            <w:r>
              <w:t xml:space="preserve">365</w:t>
            </w:r>
          </w:p>
        </w:tc>
      </w:tr>
      <w:tr>
        <w:tc>
          <w:tcPr/>
          <w:p>
            <w:pPr>
              <w:pStyle w:val="Compact"/>
              <w:jc w:val="left"/>
            </w:pPr>
            <w:r>
              <w:t xml:space="preserve">S2</w:t>
            </w:r>
          </w:p>
        </w:tc>
        <w:tc>
          <w:tcPr/>
          <w:p>
            <w:pPr>
              <w:pStyle w:val="Compact"/>
              <w:jc w:val="right"/>
            </w:pPr>
            <w:r>
              <w:t xml:space="preserve">2007</w:t>
            </w:r>
          </w:p>
        </w:tc>
        <w:tc>
          <w:tcPr/>
          <w:p>
            <w:pPr>
              <w:pStyle w:val="Compact"/>
              <w:jc w:val="right"/>
            </w:pPr>
            <w:r>
              <w:t xml:space="preserve">5.4</w:t>
            </w:r>
          </w:p>
        </w:tc>
        <w:tc>
          <w:tcPr/>
          <w:p>
            <w:pPr>
              <w:pStyle w:val="Compact"/>
              <w:jc w:val="right"/>
            </w:pPr>
            <w:r>
              <w:t xml:space="preserve">19.5</w:t>
            </w:r>
          </w:p>
        </w:tc>
        <w:tc>
          <w:tcPr/>
          <w:p>
            <w:pPr>
              <w:pStyle w:val="Compact"/>
              <w:jc w:val="right"/>
            </w:pPr>
            <w:r>
              <w:t xml:space="preserve">12.613</w:t>
            </w:r>
          </w:p>
        </w:tc>
        <w:tc>
          <w:tcPr/>
          <w:p>
            <w:pPr>
              <w:pStyle w:val="Compact"/>
              <w:jc w:val="right"/>
            </w:pPr>
            <w:r>
              <w:t xml:space="preserve">14.1</w:t>
            </w:r>
          </w:p>
        </w:tc>
        <w:tc>
          <w:tcPr/>
          <w:p>
            <w:pPr>
              <w:pStyle w:val="Compact"/>
              <w:jc w:val="right"/>
            </w:pPr>
            <w:r>
              <w:t xml:space="preserve">365</w:t>
            </w:r>
          </w:p>
        </w:tc>
      </w:tr>
      <w:tr>
        <w:tc>
          <w:tcPr/>
          <w:p>
            <w:pPr>
              <w:pStyle w:val="Compact"/>
              <w:jc w:val="left"/>
            </w:pPr>
            <w:r>
              <w:t xml:space="preserve">S2</w:t>
            </w:r>
          </w:p>
        </w:tc>
        <w:tc>
          <w:tcPr/>
          <w:p>
            <w:pPr>
              <w:pStyle w:val="Compact"/>
              <w:jc w:val="right"/>
            </w:pPr>
            <w:r>
              <w:t xml:space="preserve">2008</w:t>
            </w:r>
          </w:p>
        </w:tc>
        <w:tc>
          <w:tcPr/>
          <w:p>
            <w:pPr>
              <w:pStyle w:val="Compact"/>
              <w:jc w:val="right"/>
            </w:pPr>
            <w:r>
              <w:t xml:space="preserve">6</w:t>
            </w:r>
          </w:p>
        </w:tc>
        <w:tc>
          <w:tcPr/>
          <w:p>
            <w:pPr>
              <w:pStyle w:val="Compact"/>
              <w:jc w:val="right"/>
            </w:pPr>
            <w:r>
              <w:t xml:space="preserve">18.5</w:t>
            </w:r>
          </w:p>
        </w:tc>
        <w:tc>
          <w:tcPr/>
          <w:p>
            <w:pPr>
              <w:pStyle w:val="Compact"/>
              <w:jc w:val="right"/>
            </w:pPr>
            <w:r>
              <w:t xml:space="preserve">12.064</w:t>
            </w:r>
          </w:p>
        </w:tc>
        <w:tc>
          <w:tcPr/>
          <w:p>
            <w:pPr>
              <w:pStyle w:val="Compact"/>
              <w:jc w:val="right"/>
            </w:pPr>
            <w:r>
              <w:t xml:space="preserve">12.5</w:t>
            </w:r>
          </w:p>
        </w:tc>
        <w:tc>
          <w:tcPr/>
          <w:p>
            <w:pPr>
              <w:pStyle w:val="Compact"/>
              <w:jc w:val="right"/>
            </w:pPr>
            <w:r>
              <w:t xml:space="preserve">366</w:t>
            </w:r>
          </w:p>
        </w:tc>
      </w:tr>
      <w:tr>
        <w:tc>
          <w:tcPr/>
          <w:p>
            <w:pPr>
              <w:pStyle w:val="Compact"/>
              <w:jc w:val="left"/>
            </w:pPr>
            <w:r>
              <w:t xml:space="preserve">S2</w:t>
            </w:r>
          </w:p>
        </w:tc>
        <w:tc>
          <w:tcPr/>
          <w:p>
            <w:pPr>
              <w:pStyle w:val="Compact"/>
              <w:jc w:val="right"/>
            </w:pPr>
            <w:r>
              <w:t xml:space="preserve">2009</w:t>
            </w:r>
          </w:p>
        </w:tc>
        <w:tc>
          <w:tcPr/>
          <w:p>
            <w:pPr>
              <w:pStyle w:val="Compact"/>
              <w:jc w:val="right"/>
            </w:pPr>
            <w:r>
              <w:t xml:space="preserve">4.8</w:t>
            </w:r>
          </w:p>
        </w:tc>
        <w:tc>
          <w:tcPr/>
          <w:p>
            <w:pPr>
              <w:pStyle w:val="Compact"/>
              <w:jc w:val="right"/>
            </w:pPr>
            <w:r>
              <w:t xml:space="preserve">20.3</w:t>
            </w:r>
          </w:p>
        </w:tc>
        <w:tc>
          <w:tcPr/>
          <w:p>
            <w:pPr>
              <w:pStyle w:val="Compact"/>
              <w:jc w:val="right"/>
            </w:pPr>
            <w:r>
              <w:t xml:space="preserve">12.677</w:t>
            </w:r>
          </w:p>
        </w:tc>
        <w:tc>
          <w:tcPr/>
          <w:p>
            <w:pPr>
              <w:pStyle w:val="Compact"/>
              <w:jc w:val="right"/>
            </w:pPr>
            <w:r>
              <w:t xml:space="preserve">15.5</w:t>
            </w:r>
          </w:p>
        </w:tc>
        <w:tc>
          <w:tcPr/>
          <w:p>
            <w:pPr>
              <w:pStyle w:val="Compact"/>
              <w:jc w:val="right"/>
            </w:pPr>
            <w:r>
              <w:t xml:space="preserve">365</w:t>
            </w:r>
          </w:p>
        </w:tc>
      </w:tr>
      <w:tr>
        <w:tc>
          <w:tcPr/>
          <w:p>
            <w:pPr>
              <w:pStyle w:val="Compact"/>
              <w:jc w:val="left"/>
            </w:pPr>
            <w:r>
              <w:t xml:space="preserve">S2</w:t>
            </w:r>
          </w:p>
        </w:tc>
        <w:tc>
          <w:tcPr/>
          <w:p>
            <w:pPr>
              <w:pStyle w:val="Compact"/>
              <w:jc w:val="right"/>
            </w:pPr>
            <w:r>
              <w:t xml:space="preserve">2010</w:t>
            </w:r>
          </w:p>
        </w:tc>
        <w:tc>
          <w:tcPr/>
          <w:p>
            <w:pPr>
              <w:pStyle w:val="Compact"/>
              <w:jc w:val="right"/>
            </w:pPr>
            <w:r>
              <w:t xml:space="preserve">4.6</w:t>
            </w:r>
          </w:p>
        </w:tc>
        <w:tc>
          <w:tcPr/>
          <w:p>
            <w:pPr>
              <w:pStyle w:val="Compact"/>
              <w:jc w:val="right"/>
            </w:pPr>
            <w:r>
              <w:t xml:space="preserve">19.9</w:t>
            </w:r>
          </w:p>
        </w:tc>
        <w:tc>
          <w:tcPr/>
          <w:p>
            <w:pPr>
              <w:pStyle w:val="Compact"/>
              <w:jc w:val="right"/>
            </w:pPr>
            <w:r>
              <w:t xml:space="preserve">12.378</w:t>
            </w:r>
          </w:p>
        </w:tc>
        <w:tc>
          <w:tcPr/>
          <w:p>
            <w:pPr>
              <w:pStyle w:val="Compact"/>
              <w:jc w:val="right"/>
            </w:pPr>
            <w:r>
              <w:t xml:space="preserve">15.3</w:t>
            </w:r>
          </w:p>
        </w:tc>
        <w:tc>
          <w:tcPr/>
          <w:p>
            <w:pPr>
              <w:pStyle w:val="Compact"/>
              <w:jc w:val="right"/>
            </w:pPr>
            <w:r>
              <w:t xml:space="preserve">365</w:t>
            </w:r>
          </w:p>
        </w:tc>
      </w:tr>
      <w:tr>
        <w:tc>
          <w:tcPr/>
          <w:p>
            <w:pPr>
              <w:pStyle w:val="Compact"/>
              <w:jc w:val="left"/>
            </w:pPr>
            <w:r>
              <w:t xml:space="preserve">S2</w:t>
            </w:r>
          </w:p>
        </w:tc>
        <w:tc>
          <w:tcPr/>
          <w:p>
            <w:pPr>
              <w:pStyle w:val="Compact"/>
              <w:jc w:val="right"/>
            </w:pPr>
            <w:r>
              <w:t xml:space="preserve">2011</w:t>
            </w:r>
          </w:p>
        </w:tc>
        <w:tc>
          <w:tcPr/>
          <w:p>
            <w:pPr>
              <w:pStyle w:val="Compact"/>
              <w:jc w:val="right"/>
            </w:pPr>
            <w:r>
              <w:t xml:space="preserve">4.8</w:t>
            </w:r>
          </w:p>
        </w:tc>
        <w:tc>
          <w:tcPr/>
          <w:p>
            <w:pPr>
              <w:pStyle w:val="Compact"/>
              <w:jc w:val="right"/>
            </w:pPr>
            <w:r>
              <w:t xml:space="preserve">19.3</w:t>
            </w:r>
          </w:p>
        </w:tc>
        <w:tc>
          <w:tcPr/>
          <w:p>
            <w:pPr>
              <w:pStyle w:val="Compact"/>
              <w:jc w:val="right"/>
            </w:pPr>
            <w:r>
              <w:t xml:space="preserve">12.294</w:t>
            </w:r>
          </w:p>
        </w:tc>
        <w:tc>
          <w:tcPr/>
          <w:p>
            <w:pPr>
              <w:pStyle w:val="Compact"/>
              <w:jc w:val="right"/>
            </w:pPr>
            <w:r>
              <w:t xml:space="preserve">14.5</w:t>
            </w:r>
          </w:p>
        </w:tc>
        <w:tc>
          <w:tcPr/>
          <w:p>
            <w:pPr>
              <w:pStyle w:val="Compact"/>
              <w:jc w:val="right"/>
            </w:pPr>
            <w:r>
              <w:t xml:space="preserve">365</w:t>
            </w:r>
          </w:p>
        </w:tc>
      </w:tr>
      <w:tr>
        <w:tc>
          <w:tcPr/>
          <w:p>
            <w:pPr>
              <w:pStyle w:val="Compact"/>
              <w:jc w:val="left"/>
            </w:pPr>
            <w:r>
              <w:t xml:space="preserve">S2</w:t>
            </w:r>
          </w:p>
        </w:tc>
        <w:tc>
          <w:tcPr/>
          <w:p>
            <w:pPr>
              <w:pStyle w:val="Compact"/>
              <w:jc w:val="right"/>
            </w:pPr>
            <w:r>
              <w:t xml:space="preserve">2012</w:t>
            </w:r>
          </w:p>
        </w:tc>
        <w:tc>
          <w:tcPr/>
          <w:p>
            <w:pPr>
              <w:pStyle w:val="Compact"/>
              <w:jc w:val="right"/>
            </w:pPr>
            <w:r>
              <w:t xml:space="preserve">4.8</w:t>
            </w:r>
          </w:p>
        </w:tc>
        <w:tc>
          <w:tcPr/>
          <w:p>
            <w:pPr>
              <w:pStyle w:val="Compact"/>
              <w:jc w:val="right"/>
            </w:pPr>
            <w:r>
              <w:t xml:space="preserve">19.7</w:t>
            </w:r>
          </w:p>
        </w:tc>
        <w:tc>
          <w:tcPr/>
          <w:p>
            <w:pPr>
              <w:pStyle w:val="Compact"/>
              <w:jc w:val="right"/>
            </w:pPr>
            <w:r>
              <w:t xml:space="preserve">12.133</w:t>
            </w:r>
          </w:p>
        </w:tc>
        <w:tc>
          <w:tcPr/>
          <w:p>
            <w:pPr>
              <w:pStyle w:val="Compact"/>
              <w:jc w:val="right"/>
            </w:pPr>
            <w:r>
              <w:t xml:space="preserve">14.9</w:t>
            </w:r>
          </w:p>
        </w:tc>
        <w:tc>
          <w:tcPr/>
          <w:p>
            <w:pPr>
              <w:pStyle w:val="Compact"/>
              <w:jc w:val="right"/>
            </w:pPr>
            <w:r>
              <w:t xml:space="preserve">366</w:t>
            </w:r>
          </w:p>
        </w:tc>
      </w:tr>
      <w:tr>
        <w:tc>
          <w:tcPr/>
          <w:p>
            <w:pPr>
              <w:pStyle w:val="Compact"/>
              <w:jc w:val="left"/>
            </w:pPr>
            <w:r>
              <w:t xml:space="preserve">S2</w:t>
            </w:r>
          </w:p>
        </w:tc>
        <w:tc>
          <w:tcPr/>
          <w:p>
            <w:pPr>
              <w:pStyle w:val="Compact"/>
              <w:jc w:val="right"/>
            </w:pPr>
            <w:r>
              <w:t xml:space="preserve">2013</w:t>
            </w:r>
          </w:p>
        </w:tc>
        <w:tc>
          <w:tcPr/>
          <w:p>
            <w:pPr>
              <w:pStyle w:val="Compact"/>
              <w:jc w:val="right"/>
            </w:pPr>
            <w:r>
              <w:t xml:space="preserve">4.8</w:t>
            </w:r>
          </w:p>
        </w:tc>
        <w:tc>
          <w:tcPr/>
          <w:p>
            <w:pPr>
              <w:pStyle w:val="Compact"/>
              <w:jc w:val="right"/>
            </w:pPr>
            <w:r>
              <w:t xml:space="preserve">19.7</w:t>
            </w:r>
          </w:p>
        </w:tc>
        <w:tc>
          <w:tcPr/>
          <w:p>
            <w:pPr>
              <w:pStyle w:val="Compact"/>
              <w:jc w:val="right"/>
            </w:pPr>
            <w:r>
              <w:t xml:space="preserve">12.253</w:t>
            </w:r>
          </w:p>
        </w:tc>
        <w:tc>
          <w:tcPr/>
          <w:p>
            <w:pPr>
              <w:pStyle w:val="Compact"/>
              <w:jc w:val="right"/>
            </w:pPr>
            <w:r>
              <w:t xml:space="preserve">14.9</w:t>
            </w:r>
          </w:p>
        </w:tc>
        <w:tc>
          <w:tcPr/>
          <w:p>
            <w:pPr>
              <w:pStyle w:val="Compact"/>
              <w:jc w:val="right"/>
            </w:pPr>
            <w:r>
              <w:t xml:space="preserve">365</w:t>
            </w:r>
          </w:p>
        </w:tc>
      </w:tr>
      <w:tr>
        <w:tc>
          <w:tcPr/>
          <w:p>
            <w:pPr>
              <w:pStyle w:val="Compact"/>
              <w:jc w:val="left"/>
            </w:pPr>
            <w:r>
              <w:t xml:space="preserve">S2</w:t>
            </w:r>
          </w:p>
        </w:tc>
        <w:tc>
          <w:tcPr/>
          <w:p>
            <w:pPr>
              <w:pStyle w:val="Compact"/>
              <w:jc w:val="right"/>
            </w:pPr>
            <w:r>
              <w:t xml:space="preserve">2014</w:t>
            </w:r>
          </w:p>
        </w:tc>
        <w:tc>
          <w:tcPr/>
          <w:p>
            <w:pPr>
              <w:pStyle w:val="Compact"/>
              <w:jc w:val="right"/>
            </w:pPr>
            <w:r>
              <w:t xml:space="preserve">4.6</w:t>
            </w:r>
          </w:p>
        </w:tc>
        <w:tc>
          <w:tcPr/>
          <w:p>
            <w:pPr>
              <w:pStyle w:val="Compact"/>
              <w:jc w:val="right"/>
            </w:pPr>
            <w:r>
              <w:t xml:space="preserve">19.3</w:t>
            </w:r>
          </w:p>
        </w:tc>
        <w:tc>
          <w:tcPr/>
          <w:p>
            <w:pPr>
              <w:pStyle w:val="Compact"/>
              <w:jc w:val="right"/>
            </w:pPr>
            <w:r>
              <w:t xml:space="preserve">12.304</w:t>
            </w:r>
          </w:p>
        </w:tc>
        <w:tc>
          <w:tcPr/>
          <w:p>
            <w:pPr>
              <w:pStyle w:val="Compact"/>
              <w:jc w:val="right"/>
            </w:pPr>
            <w:r>
              <w:t xml:space="preserve">14.7</w:t>
            </w:r>
          </w:p>
        </w:tc>
        <w:tc>
          <w:tcPr/>
          <w:p>
            <w:pPr>
              <w:pStyle w:val="Compact"/>
              <w:jc w:val="right"/>
            </w:pPr>
            <w:r>
              <w:t xml:space="preserve">365</w:t>
            </w:r>
          </w:p>
        </w:tc>
      </w:tr>
      <w:tr>
        <w:tc>
          <w:tcPr/>
          <w:p>
            <w:pPr>
              <w:pStyle w:val="Compact"/>
              <w:jc w:val="left"/>
            </w:pPr>
            <w:r>
              <w:t xml:space="preserve">S2</w:t>
            </w:r>
          </w:p>
        </w:tc>
        <w:tc>
          <w:tcPr/>
          <w:p>
            <w:pPr>
              <w:pStyle w:val="Compact"/>
              <w:jc w:val="right"/>
            </w:pPr>
            <w:r>
              <w:t xml:space="preserve">2015</w:t>
            </w:r>
          </w:p>
        </w:tc>
        <w:tc>
          <w:tcPr/>
          <w:p>
            <w:pPr>
              <w:pStyle w:val="Compact"/>
              <w:jc w:val="right"/>
            </w:pPr>
            <w:r>
              <w:t xml:space="preserve">4</w:t>
            </w:r>
          </w:p>
        </w:tc>
        <w:tc>
          <w:tcPr/>
          <w:p>
            <w:pPr>
              <w:pStyle w:val="Compact"/>
              <w:jc w:val="right"/>
            </w:pPr>
            <w:r>
              <w:t xml:space="preserve">19.6</w:t>
            </w:r>
          </w:p>
        </w:tc>
        <w:tc>
          <w:tcPr/>
          <w:p>
            <w:pPr>
              <w:pStyle w:val="Compact"/>
              <w:jc w:val="right"/>
            </w:pPr>
            <w:r>
              <w:t xml:space="preserve">12.65</w:t>
            </w:r>
          </w:p>
        </w:tc>
        <w:tc>
          <w:tcPr/>
          <w:p>
            <w:pPr>
              <w:pStyle w:val="Compact"/>
              <w:jc w:val="right"/>
            </w:pPr>
            <w:r>
              <w:t xml:space="preserve">15.6</w:t>
            </w:r>
          </w:p>
        </w:tc>
        <w:tc>
          <w:tcPr/>
          <w:p>
            <w:pPr>
              <w:pStyle w:val="Compact"/>
              <w:jc w:val="right"/>
            </w:pPr>
            <w:r>
              <w:t xml:space="preserve">365</w:t>
            </w:r>
          </w:p>
        </w:tc>
      </w:tr>
      <w:tr>
        <w:tc>
          <w:tcPr/>
          <w:p>
            <w:pPr>
              <w:pStyle w:val="Compact"/>
              <w:jc w:val="left"/>
            </w:pPr>
            <w:r>
              <w:t xml:space="preserve">S2</w:t>
            </w:r>
          </w:p>
        </w:tc>
        <w:tc>
          <w:tcPr/>
          <w:p>
            <w:pPr>
              <w:pStyle w:val="Compact"/>
              <w:jc w:val="right"/>
            </w:pPr>
            <w:r>
              <w:t xml:space="preserve">2016</w:t>
            </w:r>
          </w:p>
        </w:tc>
        <w:tc>
          <w:tcPr/>
          <w:p>
            <w:pPr>
              <w:pStyle w:val="Compact"/>
              <w:jc w:val="right"/>
            </w:pPr>
            <w:r>
              <w:t xml:space="preserve">4.2</w:t>
            </w:r>
          </w:p>
        </w:tc>
        <w:tc>
          <w:tcPr/>
          <w:p>
            <w:pPr>
              <w:pStyle w:val="Compact"/>
              <w:jc w:val="right"/>
            </w:pPr>
            <w:r>
              <w:t xml:space="preserve">19.3</w:t>
            </w:r>
          </w:p>
        </w:tc>
        <w:tc>
          <w:tcPr/>
          <w:p>
            <w:pPr>
              <w:pStyle w:val="Compact"/>
              <w:jc w:val="right"/>
            </w:pPr>
            <w:r>
              <w:t xml:space="preserve">12.539</w:t>
            </w:r>
          </w:p>
        </w:tc>
        <w:tc>
          <w:tcPr/>
          <w:p>
            <w:pPr>
              <w:pStyle w:val="Compact"/>
              <w:jc w:val="right"/>
            </w:pPr>
            <w:r>
              <w:t xml:space="preserve">15.1</w:t>
            </w:r>
          </w:p>
        </w:tc>
        <w:tc>
          <w:tcPr/>
          <w:p>
            <w:pPr>
              <w:pStyle w:val="Compact"/>
              <w:jc w:val="right"/>
            </w:pPr>
            <w:r>
              <w:t xml:space="preserve">366</w:t>
            </w:r>
          </w:p>
        </w:tc>
      </w:tr>
      <w:tr>
        <w:tc>
          <w:tcPr/>
          <w:p>
            <w:pPr>
              <w:pStyle w:val="Compact"/>
              <w:jc w:val="left"/>
            </w:pPr>
            <w:r>
              <w:t xml:space="preserve">S2</w:t>
            </w:r>
          </w:p>
        </w:tc>
        <w:tc>
          <w:tcPr/>
          <w:p>
            <w:pPr>
              <w:pStyle w:val="Compact"/>
              <w:jc w:val="right"/>
            </w:pPr>
            <w:r>
              <w:t xml:space="preserve">2017</w:t>
            </w:r>
          </w:p>
        </w:tc>
        <w:tc>
          <w:tcPr/>
          <w:p>
            <w:pPr>
              <w:pStyle w:val="Compact"/>
              <w:jc w:val="right"/>
            </w:pPr>
            <w:r>
              <w:t xml:space="preserve">5</w:t>
            </w:r>
          </w:p>
        </w:tc>
        <w:tc>
          <w:tcPr/>
          <w:p>
            <w:pPr>
              <w:pStyle w:val="Compact"/>
              <w:jc w:val="right"/>
            </w:pPr>
            <w:r>
              <w:t xml:space="preserve">19</w:t>
            </w:r>
          </w:p>
        </w:tc>
        <w:tc>
          <w:tcPr/>
          <w:p>
            <w:pPr>
              <w:pStyle w:val="Compact"/>
              <w:jc w:val="right"/>
            </w:pPr>
            <w:r>
              <w:t xml:space="preserve">12.486</w:t>
            </w:r>
          </w:p>
        </w:tc>
        <w:tc>
          <w:tcPr/>
          <w:p>
            <w:pPr>
              <w:pStyle w:val="Compact"/>
              <w:jc w:val="right"/>
            </w:pPr>
            <w:r>
              <w:t xml:space="preserve">14</w:t>
            </w:r>
          </w:p>
        </w:tc>
        <w:tc>
          <w:tcPr/>
          <w:p>
            <w:pPr>
              <w:pStyle w:val="Compact"/>
              <w:jc w:val="right"/>
            </w:pPr>
            <w:r>
              <w:t xml:space="preserve">365</w:t>
            </w:r>
          </w:p>
        </w:tc>
      </w:tr>
      <w:tr>
        <w:tc>
          <w:tcPr/>
          <w:p>
            <w:pPr>
              <w:pStyle w:val="Compact"/>
              <w:jc w:val="left"/>
            </w:pPr>
            <w:r>
              <w:t xml:space="preserve">S2</w:t>
            </w:r>
          </w:p>
        </w:tc>
        <w:tc>
          <w:tcPr/>
          <w:p>
            <w:pPr>
              <w:pStyle w:val="Compact"/>
              <w:jc w:val="right"/>
            </w:pPr>
            <w:r>
              <w:t xml:space="preserve">2018</w:t>
            </w:r>
          </w:p>
        </w:tc>
        <w:tc>
          <w:tcPr/>
          <w:p>
            <w:pPr>
              <w:pStyle w:val="Compact"/>
              <w:jc w:val="right"/>
            </w:pPr>
            <w:r>
              <w:t xml:space="preserve">4.5</w:t>
            </w:r>
          </w:p>
        </w:tc>
        <w:tc>
          <w:tcPr/>
          <w:p>
            <w:pPr>
              <w:pStyle w:val="Compact"/>
              <w:jc w:val="right"/>
            </w:pPr>
            <w:r>
              <w:t xml:space="preserve">19.1</w:t>
            </w:r>
          </w:p>
        </w:tc>
        <w:tc>
          <w:tcPr/>
          <w:p>
            <w:pPr>
              <w:pStyle w:val="Compact"/>
              <w:jc w:val="right"/>
            </w:pPr>
            <w:r>
              <w:t xml:space="preserve">12.422</w:t>
            </w:r>
          </w:p>
        </w:tc>
        <w:tc>
          <w:tcPr/>
          <w:p>
            <w:pPr>
              <w:pStyle w:val="Compact"/>
              <w:jc w:val="right"/>
            </w:pPr>
            <w:r>
              <w:t xml:space="preserve">14.6</w:t>
            </w:r>
          </w:p>
        </w:tc>
        <w:tc>
          <w:tcPr/>
          <w:p>
            <w:pPr>
              <w:pStyle w:val="Compact"/>
              <w:jc w:val="right"/>
            </w:pPr>
            <w:r>
              <w:t xml:space="preserve">365</w:t>
            </w:r>
          </w:p>
        </w:tc>
      </w:tr>
      <w:tr>
        <w:tc>
          <w:tcPr/>
          <w:p>
            <w:pPr>
              <w:pStyle w:val="Compact"/>
              <w:jc w:val="left"/>
            </w:pPr>
            <w:r>
              <w:t xml:space="preserve">S2</w:t>
            </w:r>
          </w:p>
        </w:tc>
        <w:tc>
          <w:tcPr/>
          <w:p>
            <w:pPr>
              <w:pStyle w:val="Compact"/>
              <w:jc w:val="right"/>
            </w:pPr>
            <w:r>
              <w:t xml:space="preserve">2019</w:t>
            </w:r>
          </w:p>
        </w:tc>
        <w:tc>
          <w:tcPr/>
          <w:p>
            <w:pPr>
              <w:pStyle w:val="Compact"/>
              <w:jc w:val="right"/>
            </w:pPr>
            <w:r>
              <w:t xml:space="preserve">4</w:t>
            </w:r>
          </w:p>
        </w:tc>
        <w:tc>
          <w:tcPr/>
          <w:p>
            <w:pPr>
              <w:pStyle w:val="Compact"/>
              <w:jc w:val="right"/>
            </w:pPr>
            <w:r>
              <w:t xml:space="preserve">19.5</w:t>
            </w:r>
          </w:p>
        </w:tc>
        <w:tc>
          <w:tcPr/>
          <w:p>
            <w:pPr>
              <w:pStyle w:val="Compact"/>
              <w:jc w:val="right"/>
            </w:pPr>
            <w:r>
              <w:t xml:space="preserve">12.293</w:t>
            </w:r>
          </w:p>
        </w:tc>
        <w:tc>
          <w:tcPr/>
          <w:p>
            <w:pPr>
              <w:pStyle w:val="Compact"/>
              <w:jc w:val="right"/>
            </w:pPr>
            <w:r>
              <w:t xml:space="preserve">15.5</w:t>
            </w:r>
          </w:p>
        </w:tc>
        <w:tc>
          <w:tcPr/>
          <w:p>
            <w:pPr>
              <w:pStyle w:val="Compact"/>
              <w:jc w:val="right"/>
            </w:pPr>
            <w:r>
              <w:t xml:space="preserve">365</w:t>
            </w:r>
          </w:p>
        </w:tc>
      </w:tr>
      <w:tr>
        <w:tc>
          <w:tcPr/>
          <w:p>
            <w:pPr>
              <w:pStyle w:val="Compact"/>
              <w:jc w:val="left"/>
            </w:pPr>
            <w:r>
              <w:t xml:space="preserve">S2</w:t>
            </w:r>
          </w:p>
        </w:tc>
        <w:tc>
          <w:tcPr/>
          <w:p>
            <w:pPr>
              <w:pStyle w:val="Compact"/>
              <w:jc w:val="right"/>
            </w:pPr>
            <w:r>
              <w:t xml:space="preserve">2020</w:t>
            </w:r>
          </w:p>
        </w:tc>
        <w:tc>
          <w:tcPr/>
          <w:p>
            <w:pPr>
              <w:pStyle w:val="Compact"/>
              <w:jc w:val="right"/>
            </w:pPr>
            <w:r>
              <w:t xml:space="preserve">5</w:t>
            </w:r>
          </w:p>
        </w:tc>
        <w:tc>
          <w:tcPr/>
          <w:p>
            <w:pPr>
              <w:pStyle w:val="Compact"/>
              <w:jc w:val="right"/>
            </w:pPr>
            <w:r>
              <w:t xml:space="preserve">18.9</w:t>
            </w:r>
          </w:p>
        </w:tc>
        <w:tc>
          <w:tcPr/>
          <w:p>
            <w:pPr>
              <w:pStyle w:val="Compact"/>
              <w:jc w:val="right"/>
            </w:pPr>
            <w:r>
              <w:t xml:space="preserve">12.417</w:t>
            </w:r>
          </w:p>
        </w:tc>
        <w:tc>
          <w:tcPr/>
          <w:p>
            <w:pPr>
              <w:pStyle w:val="Compact"/>
              <w:jc w:val="right"/>
            </w:pPr>
            <w:r>
              <w:t xml:space="preserve">13.9</w:t>
            </w:r>
          </w:p>
        </w:tc>
        <w:tc>
          <w:tcPr/>
          <w:p>
            <w:pPr>
              <w:pStyle w:val="Compact"/>
              <w:jc w:val="right"/>
            </w:pPr>
            <w:r>
              <w:t xml:space="preserve">366</w:t>
            </w:r>
          </w:p>
        </w:tc>
      </w:tr>
      <w:tr>
        <w:tc>
          <w:tcPr/>
          <w:p>
            <w:pPr>
              <w:pStyle w:val="Compact"/>
              <w:jc w:val="left"/>
            </w:pPr>
            <w:r>
              <w:t xml:space="preserve">P3</w:t>
            </w:r>
          </w:p>
        </w:tc>
        <w:tc>
          <w:tcPr/>
          <w:p>
            <w:pPr>
              <w:pStyle w:val="Compact"/>
              <w:jc w:val="right"/>
            </w:pPr>
            <w:r>
              <w:t xml:space="preserve">2006</w:t>
            </w:r>
          </w:p>
        </w:tc>
        <w:tc>
          <w:tcPr/>
          <w:p>
            <w:pPr>
              <w:pStyle w:val="Compact"/>
              <w:jc w:val="right"/>
            </w:pPr>
            <w:r>
              <w:t xml:space="preserve">9.5</w:t>
            </w:r>
          </w:p>
        </w:tc>
        <w:tc>
          <w:tcPr/>
          <w:p>
            <w:pPr>
              <w:pStyle w:val="Compact"/>
              <w:jc w:val="right"/>
            </w:pPr>
            <w:r>
              <w:t xml:space="preserve">23</w:t>
            </w:r>
          </w:p>
        </w:tc>
        <w:tc>
          <w:tcPr/>
          <w:p>
            <w:pPr>
              <w:pStyle w:val="Compact"/>
              <w:jc w:val="right"/>
            </w:pPr>
            <w:r>
              <w:t xml:space="preserve">16.494</w:t>
            </w:r>
          </w:p>
        </w:tc>
        <w:tc>
          <w:tcPr/>
          <w:p>
            <w:pPr>
              <w:pStyle w:val="Compact"/>
              <w:jc w:val="right"/>
            </w:pPr>
            <w:r>
              <w:t xml:space="preserve">13.5</w:t>
            </w:r>
          </w:p>
        </w:tc>
        <w:tc>
          <w:tcPr/>
          <w:p>
            <w:pPr>
              <w:pStyle w:val="Compact"/>
              <w:jc w:val="right"/>
            </w:pPr>
            <w:r>
              <w:t xml:space="preserve">365</w:t>
            </w:r>
          </w:p>
        </w:tc>
      </w:tr>
      <w:tr>
        <w:tc>
          <w:tcPr/>
          <w:p>
            <w:pPr>
              <w:pStyle w:val="Compact"/>
              <w:jc w:val="left"/>
            </w:pPr>
            <w:r>
              <w:t xml:space="preserve">P3</w:t>
            </w:r>
          </w:p>
        </w:tc>
        <w:tc>
          <w:tcPr/>
          <w:p>
            <w:pPr>
              <w:pStyle w:val="Compact"/>
              <w:jc w:val="right"/>
            </w:pPr>
            <w:r>
              <w:t xml:space="preserve">2007</w:t>
            </w:r>
          </w:p>
        </w:tc>
        <w:tc>
          <w:tcPr/>
          <w:p>
            <w:pPr>
              <w:pStyle w:val="Compact"/>
              <w:jc w:val="right"/>
            </w:pPr>
            <w:r>
              <w:t xml:space="preserve">9.7</w:t>
            </w:r>
          </w:p>
        </w:tc>
        <w:tc>
          <w:tcPr/>
          <w:p>
            <w:pPr>
              <w:pStyle w:val="Compact"/>
              <w:jc w:val="right"/>
            </w:pPr>
            <w:r>
              <w:t xml:space="preserve">22.6</w:t>
            </w:r>
          </w:p>
        </w:tc>
        <w:tc>
          <w:tcPr/>
          <w:p>
            <w:pPr>
              <w:pStyle w:val="Compact"/>
              <w:jc w:val="right"/>
            </w:pPr>
            <w:r>
              <w:t xml:space="preserve">16.264</w:t>
            </w:r>
          </w:p>
        </w:tc>
        <w:tc>
          <w:tcPr/>
          <w:p>
            <w:pPr>
              <w:pStyle w:val="Compact"/>
              <w:jc w:val="right"/>
            </w:pPr>
            <w:r>
              <w:t xml:space="preserve">12.9</w:t>
            </w:r>
          </w:p>
        </w:tc>
        <w:tc>
          <w:tcPr/>
          <w:p>
            <w:pPr>
              <w:pStyle w:val="Compact"/>
              <w:jc w:val="right"/>
            </w:pPr>
            <w:r>
              <w:t xml:space="preserve">365</w:t>
            </w:r>
          </w:p>
        </w:tc>
      </w:tr>
      <w:tr>
        <w:tc>
          <w:tcPr/>
          <w:p>
            <w:pPr>
              <w:pStyle w:val="Compact"/>
              <w:jc w:val="left"/>
            </w:pPr>
            <w:r>
              <w:t xml:space="preserve">P3</w:t>
            </w:r>
          </w:p>
        </w:tc>
        <w:tc>
          <w:tcPr/>
          <w:p>
            <w:pPr>
              <w:pStyle w:val="Compact"/>
              <w:jc w:val="right"/>
            </w:pPr>
            <w:r>
              <w:t xml:space="preserve">2008</w:t>
            </w:r>
          </w:p>
        </w:tc>
        <w:tc>
          <w:tcPr/>
          <w:p>
            <w:pPr>
              <w:pStyle w:val="Compact"/>
              <w:jc w:val="right"/>
            </w:pPr>
            <w:r>
              <w:t xml:space="preserve">9.9</w:t>
            </w:r>
          </w:p>
        </w:tc>
        <w:tc>
          <w:tcPr/>
          <w:p>
            <w:pPr>
              <w:pStyle w:val="Compact"/>
              <w:jc w:val="right"/>
            </w:pPr>
            <w:r>
              <w:t xml:space="preserve">21.6</w:t>
            </w:r>
          </w:p>
        </w:tc>
        <w:tc>
          <w:tcPr/>
          <w:p>
            <w:pPr>
              <w:pStyle w:val="Compact"/>
              <w:jc w:val="right"/>
            </w:pPr>
            <w:r>
              <w:t xml:space="preserve">15.81</w:t>
            </w:r>
          </w:p>
        </w:tc>
        <w:tc>
          <w:tcPr/>
          <w:p>
            <w:pPr>
              <w:pStyle w:val="Compact"/>
              <w:jc w:val="right"/>
            </w:pPr>
            <w:r>
              <w:t xml:space="preserve">11.7</w:t>
            </w:r>
          </w:p>
        </w:tc>
        <w:tc>
          <w:tcPr/>
          <w:p>
            <w:pPr>
              <w:pStyle w:val="Compact"/>
              <w:jc w:val="right"/>
            </w:pPr>
            <w:r>
              <w:t xml:space="preserve">366</w:t>
            </w:r>
          </w:p>
        </w:tc>
      </w:tr>
      <w:tr>
        <w:tc>
          <w:tcPr/>
          <w:p>
            <w:pPr>
              <w:pStyle w:val="Compact"/>
              <w:jc w:val="left"/>
            </w:pPr>
            <w:r>
              <w:t xml:space="preserve">P3</w:t>
            </w:r>
          </w:p>
        </w:tc>
        <w:tc>
          <w:tcPr/>
          <w:p>
            <w:pPr>
              <w:pStyle w:val="Compact"/>
              <w:jc w:val="right"/>
            </w:pPr>
            <w:r>
              <w:t xml:space="preserve">2009</w:t>
            </w:r>
          </w:p>
        </w:tc>
        <w:tc>
          <w:tcPr/>
          <w:p>
            <w:pPr>
              <w:pStyle w:val="Compact"/>
              <w:jc w:val="right"/>
            </w:pPr>
            <w:r>
              <w:t xml:space="preserve">9.1</w:t>
            </w:r>
          </w:p>
        </w:tc>
        <w:tc>
          <w:tcPr/>
          <w:p>
            <w:pPr>
              <w:pStyle w:val="Compact"/>
              <w:jc w:val="right"/>
            </w:pPr>
            <w:r>
              <w:t xml:space="preserve">22.2</w:t>
            </w:r>
          </w:p>
        </w:tc>
        <w:tc>
          <w:tcPr/>
          <w:p>
            <w:pPr>
              <w:pStyle w:val="Compact"/>
              <w:jc w:val="right"/>
            </w:pPr>
            <w:r>
              <w:t xml:space="preserve">16.219</w:t>
            </w:r>
          </w:p>
        </w:tc>
        <w:tc>
          <w:tcPr/>
          <w:p>
            <w:pPr>
              <w:pStyle w:val="Compact"/>
              <w:jc w:val="right"/>
            </w:pPr>
            <w:r>
              <w:t xml:space="preserve">13.1</w:t>
            </w:r>
          </w:p>
        </w:tc>
        <w:tc>
          <w:tcPr/>
          <w:p>
            <w:pPr>
              <w:pStyle w:val="Compact"/>
              <w:jc w:val="right"/>
            </w:pPr>
            <w:r>
              <w:t xml:space="preserve">365</w:t>
            </w:r>
          </w:p>
        </w:tc>
      </w:tr>
      <w:tr>
        <w:tc>
          <w:tcPr/>
          <w:p>
            <w:pPr>
              <w:pStyle w:val="Compact"/>
              <w:jc w:val="left"/>
            </w:pPr>
            <w:r>
              <w:t xml:space="preserve">P3</w:t>
            </w:r>
          </w:p>
        </w:tc>
        <w:tc>
          <w:tcPr/>
          <w:p>
            <w:pPr>
              <w:pStyle w:val="Compact"/>
              <w:jc w:val="right"/>
            </w:pPr>
            <w:r>
              <w:t xml:space="preserve">2010</w:t>
            </w:r>
          </w:p>
        </w:tc>
        <w:tc>
          <w:tcPr/>
          <w:p>
            <w:pPr>
              <w:pStyle w:val="Compact"/>
              <w:jc w:val="right"/>
            </w:pPr>
            <w:r>
              <w:t xml:space="preserve">8.7</w:t>
            </w:r>
          </w:p>
        </w:tc>
        <w:tc>
          <w:tcPr/>
          <w:p>
            <w:pPr>
              <w:pStyle w:val="Compact"/>
              <w:jc w:val="right"/>
            </w:pPr>
            <w:r>
              <w:t xml:space="preserve">22.8</w:t>
            </w:r>
          </w:p>
        </w:tc>
        <w:tc>
          <w:tcPr/>
          <w:p>
            <w:pPr>
              <w:pStyle w:val="Compact"/>
              <w:jc w:val="right"/>
            </w:pPr>
            <w:r>
              <w:t xml:space="preserve">16.135</w:t>
            </w:r>
          </w:p>
        </w:tc>
        <w:tc>
          <w:tcPr/>
          <w:p>
            <w:pPr>
              <w:pStyle w:val="Compact"/>
              <w:jc w:val="right"/>
            </w:pPr>
            <w:r>
              <w:t xml:space="preserve">14.1</w:t>
            </w:r>
          </w:p>
        </w:tc>
        <w:tc>
          <w:tcPr/>
          <w:p>
            <w:pPr>
              <w:pStyle w:val="Compact"/>
              <w:jc w:val="right"/>
            </w:pPr>
            <w:r>
              <w:t xml:space="preserve">365</w:t>
            </w:r>
          </w:p>
        </w:tc>
      </w:tr>
      <w:tr>
        <w:tc>
          <w:tcPr/>
          <w:p>
            <w:pPr>
              <w:pStyle w:val="Compact"/>
              <w:jc w:val="left"/>
            </w:pPr>
            <w:r>
              <w:t xml:space="preserve">P3</w:t>
            </w:r>
          </w:p>
        </w:tc>
        <w:tc>
          <w:tcPr/>
          <w:p>
            <w:pPr>
              <w:pStyle w:val="Compact"/>
              <w:jc w:val="right"/>
            </w:pPr>
            <w:r>
              <w:t xml:space="preserve">2011</w:t>
            </w:r>
          </w:p>
        </w:tc>
        <w:tc>
          <w:tcPr/>
          <w:p>
            <w:pPr>
              <w:pStyle w:val="Compact"/>
              <w:jc w:val="right"/>
            </w:pPr>
            <w:r>
              <w:t xml:space="preserve">9.3</w:t>
            </w:r>
          </w:p>
        </w:tc>
        <w:tc>
          <w:tcPr/>
          <w:p>
            <w:pPr>
              <w:pStyle w:val="Compact"/>
              <w:jc w:val="right"/>
            </w:pPr>
            <w:r>
              <w:t xml:space="preserve">21.6</w:t>
            </w:r>
          </w:p>
        </w:tc>
        <w:tc>
          <w:tcPr/>
          <w:p>
            <w:pPr>
              <w:pStyle w:val="Compact"/>
              <w:jc w:val="right"/>
            </w:pPr>
            <w:r>
              <w:t xml:space="preserve">16.173</w:t>
            </w:r>
          </w:p>
        </w:tc>
        <w:tc>
          <w:tcPr/>
          <w:p>
            <w:pPr>
              <w:pStyle w:val="Compact"/>
              <w:jc w:val="right"/>
            </w:pPr>
            <w:r>
              <w:t xml:space="preserve">12.3</w:t>
            </w:r>
          </w:p>
        </w:tc>
        <w:tc>
          <w:tcPr/>
          <w:p>
            <w:pPr>
              <w:pStyle w:val="Compact"/>
              <w:jc w:val="right"/>
            </w:pPr>
            <w:r>
              <w:t xml:space="preserve">365</w:t>
            </w:r>
          </w:p>
        </w:tc>
      </w:tr>
      <w:tr>
        <w:tc>
          <w:tcPr/>
          <w:p>
            <w:pPr>
              <w:pStyle w:val="Compact"/>
              <w:jc w:val="left"/>
            </w:pPr>
            <w:r>
              <w:t xml:space="preserve">P3</w:t>
            </w:r>
          </w:p>
        </w:tc>
        <w:tc>
          <w:tcPr/>
          <w:p>
            <w:pPr>
              <w:pStyle w:val="Compact"/>
              <w:jc w:val="right"/>
            </w:pPr>
            <w:r>
              <w:t xml:space="preserve">2012</w:t>
            </w:r>
          </w:p>
        </w:tc>
        <w:tc>
          <w:tcPr/>
          <w:p>
            <w:pPr>
              <w:pStyle w:val="Compact"/>
              <w:jc w:val="right"/>
            </w:pPr>
            <w:r>
              <w:t xml:space="preserve">10.3</w:t>
            </w:r>
          </w:p>
        </w:tc>
        <w:tc>
          <w:tcPr/>
          <w:p>
            <w:pPr>
              <w:pStyle w:val="Compact"/>
              <w:jc w:val="right"/>
            </w:pPr>
            <w:r>
              <w:t xml:space="preserve">22</w:t>
            </w:r>
          </w:p>
        </w:tc>
        <w:tc>
          <w:tcPr/>
          <w:p>
            <w:pPr>
              <w:pStyle w:val="Compact"/>
              <w:jc w:val="right"/>
            </w:pPr>
            <w:r>
              <w:t xml:space="preserve">16.048</w:t>
            </w:r>
          </w:p>
        </w:tc>
        <w:tc>
          <w:tcPr/>
          <w:p>
            <w:pPr>
              <w:pStyle w:val="Compact"/>
              <w:jc w:val="right"/>
            </w:pPr>
            <w:r>
              <w:t xml:space="preserve">11.7</w:t>
            </w:r>
          </w:p>
        </w:tc>
        <w:tc>
          <w:tcPr/>
          <w:p>
            <w:pPr>
              <w:pStyle w:val="Compact"/>
              <w:jc w:val="right"/>
            </w:pPr>
            <w:r>
              <w:t xml:space="preserve">366</w:t>
            </w:r>
          </w:p>
        </w:tc>
      </w:tr>
      <w:tr>
        <w:tc>
          <w:tcPr/>
          <w:p>
            <w:pPr>
              <w:pStyle w:val="Compact"/>
              <w:jc w:val="left"/>
            </w:pPr>
            <w:r>
              <w:t xml:space="preserve">P3</w:t>
            </w:r>
          </w:p>
        </w:tc>
        <w:tc>
          <w:tcPr/>
          <w:p>
            <w:pPr>
              <w:pStyle w:val="Compact"/>
              <w:jc w:val="right"/>
            </w:pPr>
            <w:r>
              <w:t xml:space="preserve">2013</w:t>
            </w:r>
          </w:p>
        </w:tc>
        <w:tc>
          <w:tcPr/>
          <w:p>
            <w:pPr>
              <w:pStyle w:val="Compact"/>
              <w:jc w:val="right"/>
            </w:pPr>
            <w:r>
              <w:t xml:space="preserve">9.7</w:t>
            </w:r>
          </w:p>
        </w:tc>
        <w:tc>
          <w:tcPr/>
          <w:p>
            <w:pPr>
              <w:pStyle w:val="Compact"/>
              <w:jc w:val="right"/>
            </w:pPr>
            <w:r>
              <w:t xml:space="preserve">22.9</w:t>
            </w:r>
          </w:p>
        </w:tc>
        <w:tc>
          <w:tcPr/>
          <w:p>
            <w:pPr>
              <w:pStyle w:val="Compact"/>
              <w:jc w:val="right"/>
            </w:pPr>
            <w:r>
              <w:t xml:space="preserve">16.696</w:t>
            </w:r>
          </w:p>
        </w:tc>
        <w:tc>
          <w:tcPr/>
          <w:p>
            <w:pPr>
              <w:pStyle w:val="Compact"/>
              <w:jc w:val="right"/>
            </w:pPr>
            <w:r>
              <w:t xml:space="preserve">13.2</w:t>
            </w:r>
          </w:p>
        </w:tc>
        <w:tc>
          <w:tcPr/>
          <w:p>
            <w:pPr>
              <w:pStyle w:val="Compact"/>
              <w:jc w:val="right"/>
            </w:pPr>
            <w:r>
              <w:t xml:space="preserve">365</w:t>
            </w:r>
          </w:p>
        </w:tc>
      </w:tr>
      <w:tr>
        <w:tc>
          <w:tcPr/>
          <w:p>
            <w:pPr>
              <w:pStyle w:val="Compact"/>
              <w:jc w:val="left"/>
            </w:pPr>
            <w:r>
              <w:t xml:space="preserve">P3</w:t>
            </w:r>
          </w:p>
        </w:tc>
        <w:tc>
          <w:tcPr/>
          <w:p>
            <w:pPr>
              <w:pStyle w:val="Compact"/>
              <w:jc w:val="right"/>
            </w:pPr>
            <w:r>
              <w:t xml:space="preserve">2014</w:t>
            </w:r>
          </w:p>
        </w:tc>
        <w:tc>
          <w:tcPr/>
          <w:p>
            <w:pPr>
              <w:pStyle w:val="Compact"/>
              <w:jc w:val="right"/>
            </w:pPr>
            <w:r>
              <w:t xml:space="preserve">9.6</w:t>
            </w:r>
          </w:p>
        </w:tc>
        <w:tc>
          <w:tcPr/>
          <w:p>
            <w:pPr>
              <w:pStyle w:val="Compact"/>
              <w:jc w:val="right"/>
            </w:pPr>
            <w:r>
              <w:t xml:space="preserve">23.2</w:t>
            </w:r>
          </w:p>
        </w:tc>
        <w:tc>
          <w:tcPr/>
          <w:p>
            <w:pPr>
              <w:pStyle w:val="Compact"/>
              <w:jc w:val="right"/>
            </w:pPr>
            <w:r>
              <w:t xml:space="preserve">16.946</w:t>
            </w:r>
          </w:p>
        </w:tc>
        <w:tc>
          <w:tcPr/>
          <w:p>
            <w:pPr>
              <w:pStyle w:val="Compact"/>
              <w:jc w:val="right"/>
            </w:pPr>
            <w:r>
              <w:t xml:space="preserve">13.6</w:t>
            </w:r>
          </w:p>
        </w:tc>
        <w:tc>
          <w:tcPr/>
          <w:p>
            <w:pPr>
              <w:pStyle w:val="Compact"/>
              <w:jc w:val="right"/>
            </w:pPr>
            <w:r>
              <w:t xml:space="preserve">365</w:t>
            </w:r>
          </w:p>
        </w:tc>
      </w:tr>
      <w:tr>
        <w:tc>
          <w:tcPr/>
          <w:p>
            <w:pPr>
              <w:pStyle w:val="Compact"/>
              <w:jc w:val="left"/>
            </w:pPr>
            <w:r>
              <w:t xml:space="preserve">P3</w:t>
            </w:r>
          </w:p>
        </w:tc>
        <w:tc>
          <w:tcPr/>
          <w:p>
            <w:pPr>
              <w:pStyle w:val="Compact"/>
              <w:jc w:val="right"/>
            </w:pPr>
            <w:r>
              <w:t xml:space="preserve">2015</w:t>
            </w:r>
          </w:p>
        </w:tc>
        <w:tc>
          <w:tcPr/>
          <w:p>
            <w:pPr>
              <w:pStyle w:val="Compact"/>
              <w:jc w:val="right"/>
            </w:pPr>
            <w:r>
              <w:t xml:space="preserve">12.4</w:t>
            </w:r>
          </w:p>
        </w:tc>
        <w:tc>
          <w:tcPr/>
          <w:p>
            <w:pPr>
              <w:pStyle w:val="Compact"/>
              <w:jc w:val="right"/>
            </w:pPr>
            <w:r>
              <w:t xml:space="preserve">23.1</w:t>
            </w:r>
          </w:p>
        </w:tc>
        <w:tc>
          <w:tcPr/>
          <w:p>
            <w:pPr>
              <w:pStyle w:val="Compact"/>
              <w:jc w:val="right"/>
            </w:pPr>
            <w:r>
              <w:t xml:space="preserve">17.832</w:t>
            </w:r>
          </w:p>
        </w:tc>
        <w:tc>
          <w:tcPr/>
          <w:p>
            <w:pPr>
              <w:pStyle w:val="Compact"/>
              <w:jc w:val="right"/>
            </w:pPr>
            <w:r>
              <w:t xml:space="preserve">10.7</w:t>
            </w:r>
          </w:p>
        </w:tc>
        <w:tc>
          <w:tcPr/>
          <w:p>
            <w:pPr>
              <w:pStyle w:val="Compact"/>
              <w:jc w:val="right"/>
            </w:pPr>
            <w:r>
              <w:t xml:space="preserve">365</w:t>
            </w:r>
          </w:p>
        </w:tc>
      </w:tr>
      <w:tr>
        <w:tc>
          <w:tcPr/>
          <w:p>
            <w:pPr>
              <w:pStyle w:val="Compact"/>
              <w:jc w:val="left"/>
            </w:pPr>
            <w:r>
              <w:t xml:space="preserve">P3</w:t>
            </w:r>
          </w:p>
        </w:tc>
        <w:tc>
          <w:tcPr/>
          <w:p>
            <w:pPr>
              <w:pStyle w:val="Compact"/>
              <w:jc w:val="right"/>
            </w:pPr>
            <w:r>
              <w:t xml:space="preserve">2016</w:t>
            </w:r>
          </w:p>
        </w:tc>
        <w:tc>
          <w:tcPr/>
          <w:p>
            <w:pPr>
              <w:pStyle w:val="Compact"/>
              <w:jc w:val="right"/>
            </w:pPr>
            <w:r>
              <w:t xml:space="preserve">12</w:t>
            </w:r>
          </w:p>
        </w:tc>
        <w:tc>
          <w:tcPr/>
          <w:p>
            <w:pPr>
              <w:pStyle w:val="Compact"/>
              <w:jc w:val="right"/>
            </w:pPr>
            <w:r>
              <w:t xml:space="preserve">22.3</w:t>
            </w:r>
          </w:p>
        </w:tc>
        <w:tc>
          <w:tcPr/>
          <w:p>
            <w:pPr>
              <w:pStyle w:val="Compact"/>
              <w:jc w:val="right"/>
            </w:pPr>
            <w:r>
              <w:t xml:space="preserve">17.508</w:t>
            </w:r>
          </w:p>
        </w:tc>
        <w:tc>
          <w:tcPr/>
          <w:p>
            <w:pPr>
              <w:pStyle w:val="Compact"/>
              <w:jc w:val="right"/>
            </w:pPr>
            <w:r>
              <w:t xml:space="preserve">10.3</w:t>
            </w:r>
          </w:p>
        </w:tc>
        <w:tc>
          <w:tcPr/>
          <w:p>
            <w:pPr>
              <w:pStyle w:val="Compact"/>
              <w:jc w:val="right"/>
            </w:pPr>
            <w:r>
              <w:t xml:space="preserve">366</w:t>
            </w:r>
          </w:p>
        </w:tc>
      </w:tr>
      <w:tr>
        <w:tc>
          <w:tcPr/>
          <w:p>
            <w:pPr>
              <w:pStyle w:val="Compact"/>
              <w:jc w:val="left"/>
            </w:pPr>
            <w:r>
              <w:t xml:space="preserve">P3</w:t>
            </w:r>
          </w:p>
        </w:tc>
        <w:tc>
          <w:tcPr/>
          <w:p>
            <w:pPr>
              <w:pStyle w:val="Compact"/>
              <w:jc w:val="right"/>
            </w:pPr>
            <w:r>
              <w:t xml:space="preserve">2017</w:t>
            </w:r>
          </w:p>
        </w:tc>
        <w:tc>
          <w:tcPr/>
          <w:p>
            <w:pPr>
              <w:pStyle w:val="Compact"/>
              <w:jc w:val="right"/>
            </w:pPr>
            <w:r>
              <w:t xml:space="preserve">12.5</w:t>
            </w:r>
          </w:p>
        </w:tc>
        <w:tc>
          <w:tcPr/>
          <w:p>
            <w:pPr>
              <w:pStyle w:val="Compact"/>
              <w:jc w:val="right"/>
            </w:pPr>
            <w:r>
              <w:t xml:space="preserve">22.3</w:t>
            </w:r>
          </w:p>
        </w:tc>
        <w:tc>
          <w:tcPr/>
          <w:p>
            <w:pPr>
              <w:pStyle w:val="Compact"/>
              <w:jc w:val="right"/>
            </w:pPr>
            <w:r>
              <w:t xml:space="preserve">17.438</w:t>
            </w:r>
          </w:p>
        </w:tc>
        <w:tc>
          <w:tcPr/>
          <w:p>
            <w:pPr>
              <w:pStyle w:val="Compact"/>
              <w:jc w:val="right"/>
            </w:pPr>
            <w:r>
              <w:t xml:space="preserve">9.8</w:t>
            </w:r>
          </w:p>
        </w:tc>
        <w:tc>
          <w:tcPr/>
          <w:p>
            <w:pPr>
              <w:pStyle w:val="Compact"/>
              <w:jc w:val="right"/>
            </w:pPr>
            <w:r>
              <w:t xml:space="preserve">365</w:t>
            </w:r>
          </w:p>
        </w:tc>
      </w:tr>
      <w:tr>
        <w:tc>
          <w:tcPr/>
          <w:p>
            <w:pPr>
              <w:pStyle w:val="Compact"/>
              <w:jc w:val="left"/>
            </w:pPr>
            <w:r>
              <w:t xml:space="preserve">P3</w:t>
            </w:r>
          </w:p>
        </w:tc>
        <w:tc>
          <w:tcPr/>
          <w:p>
            <w:pPr>
              <w:pStyle w:val="Compact"/>
              <w:jc w:val="right"/>
            </w:pPr>
            <w:r>
              <w:t xml:space="preserve">2018</w:t>
            </w:r>
          </w:p>
        </w:tc>
        <w:tc>
          <w:tcPr/>
          <w:p>
            <w:pPr>
              <w:pStyle w:val="Compact"/>
              <w:jc w:val="right"/>
            </w:pPr>
            <w:r>
              <w:t xml:space="preserve">11.8</w:t>
            </w:r>
          </w:p>
        </w:tc>
        <w:tc>
          <w:tcPr/>
          <w:p>
            <w:pPr>
              <w:pStyle w:val="Compact"/>
              <w:jc w:val="right"/>
            </w:pPr>
            <w:r>
              <w:t xml:space="preserve">22.4</w:t>
            </w:r>
          </w:p>
        </w:tc>
        <w:tc>
          <w:tcPr/>
          <w:p>
            <w:pPr>
              <w:pStyle w:val="Compact"/>
              <w:jc w:val="right"/>
            </w:pPr>
            <w:r>
              <w:t xml:space="preserve">16.81</w:t>
            </w:r>
          </w:p>
        </w:tc>
        <w:tc>
          <w:tcPr/>
          <w:p>
            <w:pPr>
              <w:pStyle w:val="Compact"/>
              <w:jc w:val="right"/>
            </w:pPr>
            <w:r>
              <w:t xml:space="preserve">10.6</w:t>
            </w:r>
          </w:p>
        </w:tc>
        <w:tc>
          <w:tcPr/>
          <w:p>
            <w:pPr>
              <w:pStyle w:val="Compact"/>
              <w:jc w:val="right"/>
            </w:pPr>
            <w:r>
              <w:t xml:space="preserve">365</w:t>
            </w:r>
          </w:p>
        </w:tc>
      </w:tr>
      <w:tr>
        <w:tc>
          <w:tcPr/>
          <w:p>
            <w:pPr>
              <w:pStyle w:val="Compact"/>
              <w:jc w:val="left"/>
            </w:pPr>
            <w:r>
              <w:t xml:space="preserve">P3</w:t>
            </w:r>
          </w:p>
        </w:tc>
        <w:tc>
          <w:tcPr/>
          <w:p>
            <w:pPr>
              <w:pStyle w:val="Compact"/>
              <w:jc w:val="right"/>
            </w:pPr>
            <w:r>
              <w:t xml:space="preserve">2019</w:t>
            </w:r>
          </w:p>
        </w:tc>
        <w:tc>
          <w:tcPr/>
          <w:p>
            <w:pPr>
              <w:pStyle w:val="Compact"/>
              <w:jc w:val="right"/>
            </w:pPr>
            <w:r>
              <w:t xml:space="preserve">11.5</w:t>
            </w:r>
          </w:p>
        </w:tc>
        <w:tc>
          <w:tcPr/>
          <w:p>
            <w:pPr>
              <w:pStyle w:val="Compact"/>
              <w:jc w:val="right"/>
            </w:pPr>
            <w:r>
              <w:t xml:space="preserve">21.8</w:t>
            </w:r>
          </w:p>
        </w:tc>
        <w:tc>
          <w:tcPr/>
          <w:p>
            <w:pPr>
              <w:pStyle w:val="Compact"/>
              <w:jc w:val="right"/>
            </w:pPr>
            <w:r>
              <w:t xml:space="preserve">16.642</w:t>
            </w:r>
          </w:p>
        </w:tc>
        <w:tc>
          <w:tcPr/>
          <w:p>
            <w:pPr>
              <w:pStyle w:val="Compact"/>
              <w:jc w:val="right"/>
            </w:pPr>
            <w:r>
              <w:t xml:space="preserve">10.3</w:t>
            </w:r>
          </w:p>
        </w:tc>
        <w:tc>
          <w:tcPr/>
          <w:p>
            <w:pPr>
              <w:pStyle w:val="Compact"/>
              <w:jc w:val="right"/>
            </w:pPr>
            <w:r>
              <w:t xml:space="preserve">365</w:t>
            </w:r>
          </w:p>
        </w:tc>
      </w:tr>
      <w:tr>
        <w:tc>
          <w:tcPr/>
          <w:p>
            <w:pPr>
              <w:pStyle w:val="Compact"/>
              <w:jc w:val="left"/>
            </w:pPr>
            <w:r>
              <w:t xml:space="preserve">P3</w:t>
            </w:r>
          </w:p>
        </w:tc>
        <w:tc>
          <w:tcPr/>
          <w:p>
            <w:pPr>
              <w:pStyle w:val="Compact"/>
              <w:jc w:val="right"/>
            </w:pPr>
            <w:r>
              <w:t xml:space="preserve">2020</w:t>
            </w:r>
          </w:p>
        </w:tc>
        <w:tc>
          <w:tcPr/>
          <w:p>
            <w:pPr>
              <w:pStyle w:val="Compact"/>
              <w:jc w:val="right"/>
            </w:pPr>
            <w:r>
              <w:t xml:space="preserve">12.5</w:t>
            </w:r>
          </w:p>
        </w:tc>
        <w:tc>
          <w:tcPr/>
          <w:p>
            <w:pPr>
              <w:pStyle w:val="Compact"/>
              <w:jc w:val="right"/>
            </w:pPr>
            <w:r>
              <w:t xml:space="preserve">22.1</w:t>
            </w:r>
          </w:p>
        </w:tc>
        <w:tc>
          <w:tcPr/>
          <w:p>
            <w:pPr>
              <w:pStyle w:val="Compact"/>
              <w:jc w:val="right"/>
            </w:pPr>
            <w:r>
              <w:t xml:space="preserve">17.689</w:t>
            </w:r>
          </w:p>
        </w:tc>
        <w:tc>
          <w:tcPr/>
          <w:p>
            <w:pPr>
              <w:pStyle w:val="Compact"/>
              <w:jc w:val="right"/>
            </w:pPr>
            <w:r>
              <w:t xml:space="preserve">9.6</w:t>
            </w:r>
          </w:p>
        </w:tc>
        <w:tc>
          <w:tcPr/>
          <w:p>
            <w:pPr>
              <w:pStyle w:val="Compact"/>
              <w:jc w:val="right"/>
            </w:pPr>
            <w:r>
              <w:t xml:space="preserve">366</w:t>
            </w:r>
          </w:p>
        </w:tc>
      </w:tr>
    </w:tbl>
    <w:p>
      <w:pPr>
        <w:pStyle w:val="BodyText"/>
      </w:pPr>
      <w:r>
        <w:rPr>
          <w:i/>
          <w:iCs/>
        </w:rPr>
        <w:t xml:space="preserve">Table 2. Annual Upper Jinsha thermal statistics.. Minimum, maximum, mean, and amplitude in degrees C for every station and year, 2006–2020.</w:t>
      </w:r>
    </w:p>
    <w:bookmarkEnd w:id="43"/>
    <w:bookmarkStart w:id="44" w:name="table-3"/>
    <w:p>
      <w:pPr>
        <w:pStyle w:val="Heading2"/>
      </w:pPr>
      <w:r>
        <w:t xml:space="preserve">Table 3</w:t>
      </w:r>
    </w:p>
    <w:tbl>
      <w:tblPr>
        <w:tblStyle w:val="Table"/>
        <w:tblW w:type="pct" w:w="5000"/>
        <w:tblLayout w:type="fixed"/>
        <w:tblLook w:firstRow="1" w:lastRow="0" w:firstColumn="0" w:lastColumn="0" w:noHBand="0" w:noVBand="0" w:val="0020"/>
      </w:tblPr>
      <w:tblGrid>
        <w:gridCol w:w="1610"/>
        <w:gridCol w:w="609"/>
        <w:gridCol w:w="652"/>
        <w:gridCol w:w="1261"/>
        <w:gridCol w:w="1261"/>
        <w:gridCol w:w="1653"/>
        <w:gridCol w:w="870"/>
      </w:tblGrid>
      <w:tr>
        <w:trPr>
          <w:tblHeader w:val="on"/>
        </w:trPr>
        <w:tc>
          <w:tcPr/>
          <w:p>
            <w:pPr>
              <w:pStyle w:val="Compact"/>
              <w:jc w:val="left"/>
            </w:pPr>
            <w:r>
              <w:t xml:space="preserve">analysis</w:t>
            </w:r>
          </w:p>
        </w:tc>
        <w:tc>
          <w:tcPr/>
          <w:p>
            <w:pPr>
              <w:pStyle w:val="Compact"/>
              <w:jc w:val="left"/>
            </w:pPr>
            <w:r>
              <w:t xml:space="preserve">station_id</w:t>
            </w:r>
          </w:p>
        </w:tc>
        <w:tc>
          <w:tcPr/>
          <w:p>
            <w:pPr>
              <w:pStyle w:val="Compact"/>
              <w:jc w:val="right"/>
            </w:pPr>
            <w:r>
              <w:t xml:space="preserve">correlation</w:t>
            </w:r>
          </w:p>
        </w:tc>
        <w:tc>
          <w:tcPr/>
          <w:p>
            <w:pPr>
              <w:pStyle w:val="Compact"/>
              <w:jc w:val="right"/>
            </w:pPr>
            <w:r>
              <w:t xml:space="preserve">mean_absolute_skill_error</w:t>
            </w:r>
          </w:p>
        </w:tc>
        <w:tc>
          <w:tcPr/>
          <w:p>
            <w:pPr>
              <w:pStyle w:val="Compact"/>
              <w:jc w:val="right"/>
            </w:pPr>
            <w:r>
              <w:t xml:space="preserve">best_exceeds_budget_count</w:t>
            </w:r>
          </w:p>
        </w:tc>
        <w:tc>
          <w:tcPr/>
          <w:p>
            <w:pPr>
              <w:pStyle w:val="Compact"/>
              <w:jc w:val="right"/>
            </w:pPr>
            <w:r>
              <w:t xml:space="preserve">best_lower_ci_exceeds_budget_count</w:t>
            </w:r>
          </w:p>
        </w:tc>
        <w:tc>
          <w:tcPr/>
          <w:p>
            <w:pPr>
              <w:pStyle w:val="Compact"/>
              <w:jc w:val="right"/>
            </w:pPr>
            <w:r>
              <w:t xml:space="preserve">comparison_cells</w:t>
            </w:r>
          </w:p>
        </w:tc>
      </w:tr>
      <w:tr>
        <w:tc>
          <w:tcPr/>
          <w:p>
            <w:pPr>
              <w:pStyle w:val="Compact"/>
              <w:jc w:val="left"/>
            </w:pPr>
            <w:r>
              <w:t xml:space="preserve">bridge_2016_2017_climatology</w:t>
            </w:r>
          </w:p>
        </w:tc>
        <w:tc>
          <w:tcPr/>
          <w:p>
            <w:pPr>
              <w:pStyle w:val="Compact"/>
              <w:jc w:val="left"/>
            </w:pPr>
            <w:r>
              <w:t xml:space="preserve">B1</w:t>
            </w:r>
          </w:p>
        </w:tc>
        <w:tc>
          <w:tcPr/>
          <w:p>
            <w:pPr>
              <w:pStyle w:val="Compact"/>
              <w:jc w:val="right"/>
            </w:pPr>
            <w:r>
              <w:t xml:space="preserve">0.695</w:t>
            </w:r>
          </w:p>
        </w:tc>
        <w:tc>
          <w:tcPr/>
          <w:p>
            <w:pPr>
              <w:pStyle w:val="Compact"/>
              <w:jc w:val="right"/>
            </w:pPr>
            <w:r>
              <w:t xml:space="preserve">0.068</w:t>
            </w:r>
          </w:p>
        </w:tc>
        <w:tc>
          <w:tcPr/>
          <w:p>
            <w:pPr>
              <w:pStyle w:val="Compact"/>
              <w:jc w:val="right"/>
            </w:pPr>
            <w:r>
              <w:t xml:space="preserve">4</w:t>
            </w:r>
          </w:p>
        </w:tc>
        <w:tc>
          <w:tcPr/>
          <w:p>
            <w:pPr>
              <w:pStyle w:val="Compact"/>
              <w:jc w:val="right"/>
            </w:pPr>
            <w:r>
              <w:t xml:space="preserve">0</w:t>
            </w:r>
          </w:p>
        </w:tc>
        <w:tc>
          <w:tcPr/>
          <w:p>
            <w:pPr>
              <w:pStyle w:val="Compact"/>
              <w:jc w:val="right"/>
            </w:pPr>
            <w:r>
              <w:t xml:space="preserve">15</w:t>
            </w:r>
          </w:p>
        </w:tc>
      </w:tr>
      <w:tr>
        <w:tc>
          <w:tcPr/>
          <w:p>
            <w:pPr>
              <w:pStyle w:val="Compact"/>
              <w:jc w:val="left"/>
            </w:pPr>
            <w:r>
              <w:t xml:space="preserve">bridge_2016_2017_climatology</w:t>
            </w:r>
          </w:p>
        </w:tc>
        <w:tc>
          <w:tcPr/>
          <w:p>
            <w:pPr>
              <w:pStyle w:val="Compact"/>
              <w:jc w:val="left"/>
            </w:pPr>
            <w:r>
              <w:t xml:space="preserve">P3</w:t>
            </w:r>
          </w:p>
        </w:tc>
        <w:tc>
          <w:tcPr/>
          <w:p>
            <w:pPr>
              <w:pStyle w:val="Compact"/>
              <w:jc w:val="right"/>
            </w:pPr>
            <w:r>
              <w:t xml:space="preserve">0.824</w:t>
            </w:r>
          </w:p>
        </w:tc>
        <w:tc>
          <w:tcPr/>
          <w:p>
            <w:pPr>
              <w:pStyle w:val="Compact"/>
              <w:jc w:val="right"/>
            </w:pPr>
            <w:r>
              <w:t xml:space="preserve">0.263</w:t>
            </w:r>
          </w:p>
        </w:tc>
        <w:tc>
          <w:tcPr/>
          <w:p>
            <w:pPr>
              <w:pStyle w:val="Compact"/>
              <w:jc w:val="right"/>
            </w:pPr>
            <w:r>
              <w:t xml:space="preserve">11</w:t>
            </w:r>
          </w:p>
        </w:tc>
        <w:tc>
          <w:tcPr/>
          <w:p>
            <w:pPr>
              <w:pStyle w:val="Compact"/>
              <w:jc w:val="right"/>
            </w:pPr>
            <w:r>
              <w:t xml:space="preserve">10</w:t>
            </w:r>
          </w:p>
        </w:tc>
        <w:tc>
          <w:tcPr/>
          <w:p>
            <w:pPr>
              <w:pStyle w:val="Compact"/>
              <w:jc w:val="right"/>
            </w:pPr>
            <w:r>
              <w:t xml:space="preserve">15</w:t>
            </w:r>
          </w:p>
        </w:tc>
      </w:tr>
      <w:tr>
        <w:tc>
          <w:tcPr/>
          <w:p>
            <w:pPr>
              <w:pStyle w:val="Compact"/>
              <w:jc w:val="left"/>
            </w:pPr>
            <w:r>
              <w:t xml:space="preserve">bridge_2016_2017_climatology</w:t>
            </w:r>
          </w:p>
        </w:tc>
        <w:tc>
          <w:tcPr/>
          <w:p>
            <w:pPr>
              <w:pStyle w:val="Compact"/>
              <w:jc w:val="left"/>
            </w:pPr>
            <w:r>
              <w:t xml:space="preserve">S2</w:t>
            </w:r>
          </w:p>
        </w:tc>
        <w:tc>
          <w:tcPr/>
          <w:p>
            <w:pPr>
              <w:pStyle w:val="Compact"/>
              <w:jc w:val="right"/>
            </w:pPr>
            <w:r>
              <w:t xml:space="preserve">0.885</w:t>
            </w:r>
          </w:p>
        </w:tc>
        <w:tc>
          <w:tcPr/>
          <w:p>
            <w:pPr>
              <w:pStyle w:val="Compact"/>
              <w:jc w:val="right"/>
            </w:pPr>
            <w:r>
              <w:t xml:space="preserve">0.06</w:t>
            </w:r>
          </w:p>
        </w:tc>
        <w:tc>
          <w:tcPr/>
          <w:p>
            <w:pPr>
              <w:pStyle w:val="Compact"/>
              <w:jc w:val="right"/>
            </w:pPr>
            <w:r>
              <w:t xml:space="preserve">4</w:t>
            </w:r>
          </w:p>
        </w:tc>
        <w:tc>
          <w:tcPr/>
          <w:p>
            <w:pPr>
              <w:pStyle w:val="Compact"/>
              <w:jc w:val="right"/>
            </w:pPr>
            <w:r>
              <w:t xml:space="preserve">0</w:t>
            </w:r>
          </w:p>
        </w:tc>
        <w:tc>
          <w:tcPr/>
          <w:p>
            <w:pPr>
              <w:pStyle w:val="Compact"/>
              <w:jc w:val="right"/>
            </w:pPr>
            <w:r>
              <w:t xml:space="preserve">15</w:t>
            </w:r>
          </w:p>
        </w:tc>
      </w:tr>
      <w:tr>
        <w:tc>
          <w:tcPr/>
          <w:p>
            <w:pPr>
              <w:pStyle w:val="Compact"/>
              <w:jc w:val="left"/>
            </w:pPr>
            <w:r>
              <w:t xml:space="preserve">original_training_climatology</w:t>
            </w:r>
          </w:p>
        </w:tc>
        <w:tc>
          <w:tcPr/>
          <w:p>
            <w:pPr>
              <w:pStyle w:val="Compact"/>
              <w:jc w:val="left"/>
            </w:pPr>
            <w:r>
              <w:t xml:space="preserve">B1</w:t>
            </w:r>
          </w:p>
        </w:tc>
        <w:tc>
          <w:tcPr/>
          <w:p>
            <w:pPr>
              <w:pStyle w:val="Compact"/>
              <w:jc w:val="right"/>
            </w:pPr>
            <w:r>
              <w:t xml:space="preserve">0.722</w:t>
            </w:r>
          </w:p>
        </w:tc>
        <w:tc>
          <w:tcPr/>
          <w:p>
            <w:pPr>
              <w:pStyle w:val="Compact"/>
              <w:jc w:val="right"/>
            </w:pPr>
            <w:r>
              <w:t xml:space="preserve">0.077</w:t>
            </w:r>
          </w:p>
        </w:tc>
        <w:tc>
          <w:tcPr/>
          <w:p>
            <w:pPr>
              <w:pStyle w:val="Compact"/>
              <w:jc w:val="right"/>
            </w:pPr>
            <w:r>
              <w:t xml:space="preserve">4</w:t>
            </w:r>
          </w:p>
        </w:tc>
        <w:tc>
          <w:tcPr/>
          <w:p>
            <w:pPr>
              <w:pStyle w:val="Compact"/>
              <w:jc w:val="right"/>
            </w:pPr>
            <w:r>
              <w:t xml:space="preserve">0</w:t>
            </w:r>
          </w:p>
        </w:tc>
        <w:tc>
          <w:tcPr/>
          <w:p>
            <w:pPr>
              <w:pStyle w:val="Compact"/>
              <w:jc w:val="right"/>
            </w:pPr>
            <w:r>
              <w:t xml:space="preserve">15</w:t>
            </w:r>
          </w:p>
        </w:tc>
      </w:tr>
      <w:tr>
        <w:tc>
          <w:tcPr/>
          <w:p>
            <w:pPr>
              <w:pStyle w:val="Compact"/>
              <w:jc w:val="left"/>
            </w:pPr>
            <w:r>
              <w:t xml:space="preserve">original_training_climatology</w:t>
            </w:r>
          </w:p>
        </w:tc>
        <w:tc>
          <w:tcPr/>
          <w:p>
            <w:pPr>
              <w:pStyle w:val="Compact"/>
              <w:jc w:val="left"/>
            </w:pPr>
            <w:r>
              <w:t xml:space="preserve">P3</w:t>
            </w:r>
          </w:p>
        </w:tc>
        <w:tc>
          <w:tcPr/>
          <w:p>
            <w:pPr>
              <w:pStyle w:val="Compact"/>
              <w:jc w:val="right"/>
            </w:pPr>
            <w:r>
              <w:t xml:space="preserve">0.953</w:t>
            </w:r>
          </w:p>
        </w:tc>
        <w:tc>
          <w:tcPr/>
          <w:p>
            <w:pPr>
              <w:pStyle w:val="Compact"/>
              <w:jc w:val="right"/>
            </w:pPr>
            <w:r>
              <w:t xml:space="preserve">0.122</w:t>
            </w:r>
          </w:p>
        </w:tc>
        <w:tc>
          <w:tcPr/>
          <w:p>
            <w:pPr>
              <w:pStyle w:val="Compact"/>
              <w:jc w:val="right"/>
            </w:pPr>
            <w:r>
              <w:t xml:space="preserve">15</w:t>
            </w:r>
          </w:p>
        </w:tc>
        <w:tc>
          <w:tcPr/>
          <w:p>
            <w:pPr>
              <w:pStyle w:val="Compact"/>
              <w:jc w:val="right"/>
            </w:pPr>
            <w:r>
              <w:t xml:space="preserve">9</w:t>
            </w:r>
          </w:p>
        </w:tc>
        <w:tc>
          <w:tcPr/>
          <w:p>
            <w:pPr>
              <w:pStyle w:val="Compact"/>
              <w:jc w:val="right"/>
            </w:pPr>
            <w:r>
              <w:t xml:space="preserve">15</w:t>
            </w:r>
          </w:p>
        </w:tc>
      </w:tr>
      <w:tr>
        <w:tc>
          <w:tcPr/>
          <w:p>
            <w:pPr>
              <w:pStyle w:val="Compact"/>
              <w:jc w:val="left"/>
            </w:pPr>
            <w:r>
              <w:t xml:space="preserve">original_training_climatology</w:t>
            </w:r>
          </w:p>
        </w:tc>
        <w:tc>
          <w:tcPr/>
          <w:p>
            <w:pPr>
              <w:pStyle w:val="Compact"/>
              <w:jc w:val="left"/>
            </w:pPr>
            <w:r>
              <w:t xml:space="preserve">S2</w:t>
            </w:r>
          </w:p>
        </w:tc>
        <w:tc>
          <w:tcPr/>
          <w:p>
            <w:pPr>
              <w:pStyle w:val="Compact"/>
              <w:jc w:val="right"/>
            </w:pPr>
            <w:r>
              <w:t xml:space="preserve">0.94</w:t>
            </w:r>
          </w:p>
        </w:tc>
        <w:tc>
          <w:tcPr/>
          <w:p>
            <w:pPr>
              <w:pStyle w:val="Compact"/>
              <w:jc w:val="right"/>
            </w:pPr>
            <w:r>
              <w:t xml:space="preserve">0.085</w:t>
            </w:r>
          </w:p>
        </w:tc>
        <w:tc>
          <w:tcPr/>
          <w:p>
            <w:pPr>
              <w:pStyle w:val="Compact"/>
              <w:jc w:val="right"/>
            </w:pPr>
            <w:r>
              <w:t xml:space="preserve">1</w:t>
            </w:r>
          </w:p>
        </w:tc>
        <w:tc>
          <w:tcPr/>
          <w:p>
            <w:pPr>
              <w:pStyle w:val="Compact"/>
              <w:jc w:val="right"/>
            </w:pPr>
            <w:r>
              <w:t xml:space="preserve">0</w:t>
            </w:r>
          </w:p>
        </w:tc>
        <w:tc>
          <w:tcPr/>
          <w:p>
            <w:pPr>
              <w:pStyle w:val="Compact"/>
              <w:jc w:val="right"/>
            </w:pPr>
            <w:r>
              <w:t xml:space="preserve">15</w:t>
            </w:r>
          </w:p>
        </w:tc>
      </w:tr>
      <w:tr>
        <w:tc>
          <w:tcPr/>
          <w:p>
            <w:pPr>
              <w:pStyle w:val="Compact"/>
              <w:jc w:val="left"/>
            </w:pPr>
            <w:r>
              <w:t xml:space="preserve">state_matched_2016_2020_climatology</w:t>
            </w:r>
          </w:p>
        </w:tc>
        <w:tc>
          <w:tcPr/>
          <w:p>
            <w:pPr>
              <w:pStyle w:val="Compact"/>
              <w:jc w:val="left"/>
            </w:pPr>
            <w:r>
              <w:t xml:space="preserve">B1</w:t>
            </w:r>
          </w:p>
        </w:tc>
        <w:tc>
          <w:tcPr/>
          <w:p>
            <w:pPr>
              <w:pStyle w:val="Compact"/>
              <w:jc w:val="right"/>
            </w:pPr>
            <w:r>
              <w:t xml:space="preserve">0.571</w:t>
            </w:r>
          </w:p>
        </w:tc>
        <w:tc>
          <w:tcPr/>
          <w:p>
            <w:pPr>
              <w:pStyle w:val="Compact"/>
              <w:jc w:val="right"/>
            </w:pPr>
            <w:r>
              <w:t xml:space="preserve">0.18</w:t>
            </w:r>
          </w:p>
        </w:tc>
        <w:tc>
          <w:tcPr/>
          <w:p>
            <w:pPr>
              <w:pStyle w:val="Compact"/>
              <w:jc w:val="right"/>
            </w:pPr>
            <w:r>
              <w:t xml:space="preserve">0</w:t>
            </w:r>
          </w:p>
        </w:tc>
        <w:tc>
          <w:tcPr/>
          <w:p>
            <w:pPr>
              <w:pStyle w:val="Compact"/>
              <w:jc w:val="right"/>
            </w:pPr>
            <w:r>
              <w:t xml:space="preserve">0</w:t>
            </w:r>
          </w:p>
        </w:tc>
        <w:tc>
          <w:tcPr/>
          <w:p>
            <w:pPr>
              <w:pStyle w:val="Compact"/>
              <w:jc w:val="right"/>
            </w:pPr>
            <w:r>
              <w:t xml:space="preserve">15</w:t>
            </w:r>
          </w:p>
        </w:tc>
      </w:tr>
      <w:tr>
        <w:tc>
          <w:tcPr/>
          <w:p>
            <w:pPr>
              <w:pStyle w:val="Compact"/>
              <w:jc w:val="left"/>
            </w:pPr>
            <w:r>
              <w:t xml:space="preserve">state_matched_2016_2020_climatology</w:t>
            </w:r>
          </w:p>
        </w:tc>
        <w:tc>
          <w:tcPr/>
          <w:p>
            <w:pPr>
              <w:pStyle w:val="Compact"/>
              <w:jc w:val="left"/>
            </w:pPr>
            <w:r>
              <w:t xml:space="preserve">P3</w:t>
            </w:r>
          </w:p>
        </w:tc>
        <w:tc>
          <w:tcPr/>
          <w:p>
            <w:pPr>
              <w:pStyle w:val="Compact"/>
              <w:jc w:val="right"/>
            </w:pPr>
            <w:r>
              <w:t xml:space="preserve">0.979</w:t>
            </w:r>
          </w:p>
        </w:tc>
        <w:tc>
          <w:tcPr/>
          <w:p>
            <w:pPr>
              <w:pStyle w:val="Compact"/>
              <w:jc w:val="right"/>
            </w:pPr>
            <w:r>
              <w:t xml:space="preserve">0.236</w:t>
            </w:r>
          </w:p>
        </w:tc>
        <w:tc>
          <w:tcPr/>
          <w:p>
            <w:pPr>
              <w:pStyle w:val="Compact"/>
              <w:jc w:val="right"/>
            </w:pPr>
            <w:r>
              <w:t xml:space="preserve">4</w:t>
            </w:r>
          </w:p>
        </w:tc>
        <w:tc>
          <w:tcPr/>
          <w:p>
            <w:pPr>
              <w:pStyle w:val="Compact"/>
              <w:jc w:val="right"/>
            </w:pPr>
            <w:r>
              <w:t xml:space="preserve">1</w:t>
            </w:r>
          </w:p>
        </w:tc>
        <w:tc>
          <w:tcPr/>
          <w:p>
            <w:pPr>
              <w:pStyle w:val="Compact"/>
              <w:jc w:val="right"/>
            </w:pPr>
            <w:r>
              <w:t xml:space="preserve">15</w:t>
            </w:r>
          </w:p>
        </w:tc>
      </w:tr>
      <w:tr>
        <w:tc>
          <w:tcPr/>
          <w:p>
            <w:pPr>
              <w:pStyle w:val="Compact"/>
              <w:jc w:val="left"/>
            </w:pPr>
            <w:r>
              <w:t xml:space="preserve">state_matched_2016_2020_climatology</w:t>
            </w:r>
          </w:p>
        </w:tc>
        <w:tc>
          <w:tcPr/>
          <w:p>
            <w:pPr>
              <w:pStyle w:val="Compact"/>
              <w:jc w:val="left"/>
            </w:pPr>
            <w:r>
              <w:t xml:space="preserve">S2</w:t>
            </w:r>
          </w:p>
        </w:tc>
        <w:tc>
          <w:tcPr/>
          <w:p>
            <w:pPr>
              <w:pStyle w:val="Compact"/>
              <w:jc w:val="right"/>
            </w:pPr>
            <w:r>
              <w:t xml:space="preserve">0.93</w:t>
            </w:r>
          </w:p>
        </w:tc>
        <w:tc>
          <w:tcPr/>
          <w:p>
            <w:pPr>
              <w:pStyle w:val="Compact"/>
              <w:jc w:val="right"/>
            </w:pPr>
            <w:r>
              <w:t xml:space="preserve">0.177</w:t>
            </w:r>
          </w:p>
        </w:tc>
        <w:tc>
          <w:tcPr/>
          <w:p>
            <w:pPr>
              <w:pStyle w:val="Compact"/>
              <w:jc w:val="right"/>
            </w:pPr>
            <w:r>
              <w:t xml:space="preserve">0</w:t>
            </w:r>
          </w:p>
        </w:tc>
        <w:tc>
          <w:tcPr/>
          <w:p>
            <w:pPr>
              <w:pStyle w:val="Compact"/>
              <w:jc w:val="right"/>
            </w:pPr>
            <w:r>
              <w:t xml:space="preserve">0</w:t>
            </w:r>
          </w:p>
        </w:tc>
        <w:tc>
          <w:tcPr/>
          <w:p>
            <w:pPr>
              <w:pStyle w:val="Compact"/>
              <w:jc w:val="right"/>
            </w:pPr>
            <w:r>
              <w:t xml:space="preserve">15</w:t>
            </w:r>
          </w:p>
        </w:tc>
      </w:tr>
    </w:tbl>
    <w:p>
      <w:pPr>
        <w:pStyle w:val="BodyText"/>
      </w:pPr>
      <w:r>
        <w:rPr>
          <w:i/>
          <w:iCs/>
        </w:rPr>
        <w:t xml:space="preserve">Table 3. Frozen and stationarity-controlled covariance-heuristic evaluation.. Prediction correlation, mean absolute skill error, point exceedance count, and lower-confidence-bound exceedance count by station. The 2016–2017 and 2016–2020 rows are post-freeze diagnostics.</w:t>
      </w:r>
    </w:p>
    <w:bookmarkEnd w:id="44"/>
    <w:bookmarkStart w:id="45" w:name="table-4"/>
    <w:p>
      <w:pPr>
        <w:pStyle w:val="Heading2"/>
      </w:pPr>
      <w:r>
        <w:t xml:space="preserve">Table 4</w:t>
      </w:r>
    </w:p>
    <w:tbl>
      <w:tblPr>
        <w:tblStyle w:val="Table"/>
        <w:tblW w:type="pct" w:w="5000"/>
        <w:tblLayout w:type="fixed"/>
        <w:tblLook w:firstRow="1" w:lastRow="0" w:firstColumn="0" w:lastColumn="0" w:noHBand="0" w:noVBand="0" w:val="0020"/>
      </w:tblPr>
      <w:tblGrid>
        <w:gridCol w:w="403"/>
        <w:gridCol w:w="403"/>
        <w:gridCol w:w="835"/>
        <w:gridCol w:w="662"/>
        <w:gridCol w:w="403"/>
        <w:gridCol w:w="518"/>
        <w:gridCol w:w="518"/>
        <w:gridCol w:w="489"/>
        <w:gridCol w:w="835"/>
        <w:gridCol w:w="835"/>
        <w:gridCol w:w="979"/>
        <w:gridCol w:w="374"/>
        <w:gridCol w:w="662"/>
      </w:tblGrid>
      <w:tr>
        <w:trPr>
          <w:tblHeader w:val="on"/>
        </w:trPr>
        <w:tc>
          <w:tcPr/>
          <w:p>
            <w:pPr>
              <w:pStyle w:val="Compact"/>
              <w:jc w:val="left"/>
            </w:pPr>
            <w:r>
              <w:t xml:space="preserve">station_id</w:t>
            </w:r>
          </w:p>
        </w:tc>
        <w:tc>
          <w:tcPr/>
          <w:p>
            <w:pPr>
              <w:pStyle w:val="Compact"/>
              <w:jc w:val="right"/>
            </w:pPr>
            <w:r>
              <w:t xml:space="preserve">gap_length</w:t>
            </w:r>
          </w:p>
        </w:tc>
        <w:tc>
          <w:tcPr/>
          <w:p>
            <w:pPr>
              <w:pStyle w:val="Compact"/>
              <w:jc w:val="left"/>
            </w:pPr>
            <w:r>
              <w:t xml:space="preserve">validation_selected_model</w:t>
            </w:r>
          </w:p>
        </w:tc>
        <w:tc>
          <w:tcPr/>
          <w:p>
            <w:pPr>
              <w:pStyle w:val="Compact"/>
              <w:jc w:val="right"/>
            </w:pPr>
            <w:r>
              <w:t xml:space="preserve">validation_mean_MAE</w:t>
            </w:r>
          </w:p>
        </w:tc>
        <w:tc>
          <w:tcPr/>
          <w:p>
            <w:pPr>
              <w:pStyle w:val="Compact"/>
              <w:jc w:val="right"/>
            </w:pPr>
            <w:r>
              <w:t xml:space="preserve">mean_skill</w:t>
            </w:r>
          </w:p>
        </w:tc>
        <w:tc>
          <w:tcPr/>
          <w:p>
            <w:pPr>
              <w:pStyle w:val="Compact"/>
              <w:jc w:val="right"/>
            </w:pPr>
            <w:r>
              <w:t xml:space="preserve">skill_ci_lower</w:t>
            </w:r>
          </w:p>
        </w:tc>
        <w:tc>
          <w:tcPr/>
          <w:p>
            <w:pPr>
              <w:pStyle w:val="Compact"/>
              <w:jc w:val="right"/>
            </w:pPr>
            <w:r>
              <w:t xml:space="preserve">skill_ci_upper</w:t>
            </w:r>
          </w:p>
        </w:tc>
        <w:tc>
          <w:tcPr/>
          <w:p>
            <w:pPr>
              <w:pStyle w:val="Compact"/>
              <w:jc w:val="right"/>
            </w:pPr>
            <w:r>
              <w:t xml:space="preserve">mean_MAE_degC</w:t>
            </w:r>
          </w:p>
        </w:tc>
        <w:tc>
          <w:tcPr/>
          <w:p>
            <w:pPr>
              <w:pStyle w:val="Compact"/>
              <w:jc w:val="right"/>
            </w:pPr>
            <w:r>
              <w:t xml:space="preserve">mean_climatology_MAE_degC</w:t>
            </w:r>
          </w:p>
        </w:tc>
        <w:tc>
          <w:tcPr/>
          <w:p>
            <w:pPr>
              <w:pStyle w:val="Compact"/>
              <w:jc w:val="left"/>
            </w:pPr>
            <w:r>
              <w:t xml:space="preserve">statistical_frontier_days</w:t>
            </w:r>
          </w:p>
        </w:tc>
        <w:tc>
          <w:tcPr/>
          <w:p>
            <w:pPr>
              <w:pStyle w:val="Compact"/>
              <w:jc w:val="left"/>
            </w:pPr>
            <w:r>
              <w:t xml:space="preserve">statistical_frontier_censoring</w:t>
            </w:r>
          </w:p>
        </w:tc>
        <w:tc>
          <w:tcPr/>
          <w:p>
            <w:pPr>
              <w:pStyle w:val="Compact"/>
              <w:jc w:val="right"/>
            </w:pPr>
            <w:r>
              <w:t xml:space="preserve">n_anchors</w:t>
            </w:r>
          </w:p>
        </w:tc>
        <w:tc>
          <w:tcPr/>
          <w:p>
            <w:pPr>
              <w:pStyle w:val="Compact"/>
              <w:jc w:val="right"/>
            </w:pPr>
            <w:r>
              <w:t xml:space="preserve">n_anchor_year_units</w:t>
            </w:r>
          </w:p>
        </w:tc>
      </w:tr>
      <w:tr>
        <w:tc>
          <w:tcPr/>
          <w:p>
            <w:pPr>
              <w:pStyle w:val="Compact"/>
              <w:jc w:val="left"/>
            </w:pPr>
            <w:r>
              <w:t xml:space="preserve">B1</w:t>
            </w:r>
          </w:p>
        </w:tc>
        <w:tc>
          <w:tcPr/>
          <w:p>
            <w:pPr>
              <w:pStyle w:val="Compact"/>
              <w:jc w:val="right"/>
            </w:pPr>
            <w:r>
              <w:t xml:space="preserve">30</w:t>
            </w:r>
          </w:p>
        </w:tc>
        <w:tc>
          <w:tcPr/>
          <w:p>
            <w:pPr>
              <w:pStyle w:val="Compact"/>
              <w:jc w:val="left"/>
            </w:pPr>
            <w:r>
              <w:t xml:space="preserve">xgboost</w:t>
            </w:r>
          </w:p>
        </w:tc>
        <w:tc>
          <w:tcPr/>
          <w:p>
            <w:pPr>
              <w:pStyle w:val="Compact"/>
              <w:jc w:val="right"/>
            </w:pPr>
            <w:r>
              <w:t xml:space="preserve">0.446</w:t>
            </w:r>
          </w:p>
        </w:tc>
        <w:tc>
          <w:tcPr/>
          <w:p>
            <w:pPr>
              <w:pStyle w:val="Compact"/>
              <w:jc w:val="right"/>
            </w:pPr>
            <w:r>
              <w:t xml:space="preserve">0.194</w:t>
            </w:r>
          </w:p>
        </w:tc>
        <w:tc>
          <w:tcPr/>
          <w:p>
            <w:pPr>
              <w:pStyle w:val="Compact"/>
              <w:jc w:val="right"/>
            </w:pPr>
            <w:r>
              <w:t xml:space="preserve">0.097</w:t>
            </w:r>
          </w:p>
        </w:tc>
        <w:tc>
          <w:tcPr/>
          <w:p>
            <w:pPr>
              <w:pStyle w:val="Compact"/>
              <w:jc w:val="right"/>
            </w:pPr>
            <w:r>
              <w:t xml:space="preserve">0.264</w:t>
            </w:r>
          </w:p>
        </w:tc>
        <w:tc>
          <w:tcPr/>
          <w:p>
            <w:pPr>
              <w:pStyle w:val="Compact"/>
              <w:jc w:val="right"/>
            </w:pPr>
            <w:r>
              <w:t xml:space="preserve">0.517</w:t>
            </w:r>
          </w:p>
        </w:tc>
        <w:tc>
          <w:tcPr/>
          <w:p>
            <w:pPr>
              <w:pStyle w:val="Compact"/>
              <w:jc w:val="right"/>
            </w:pPr>
            <w:r>
              <w:t xml:space="preserve">0.757</w:t>
            </w:r>
          </w:p>
        </w:tc>
        <w:tc>
          <w:tcPr/>
          <w:p>
            <w:pPr>
              <w:pStyle w:val="Compact"/>
              <w:jc w:val="left"/>
            </w:pPr>
            <w:r>
              <w:t xml:space="preserve">365.0</w:t>
            </w:r>
          </w:p>
        </w:tc>
        <w:tc>
          <w:tcPr/>
          <w:p>
            <w:pPr>
              <w:pStyle w:val="Compact"/>
              <w:jc w:val="left"/>
            </w:pPr>
            <w:r>
              <w:t xml:space="preserve">right</w:t>
            </w:r>
          </w:p>
        </w:tc>
        <w:tc>
          <w:tcPr/>
          <w:p>
            <w:pPr>
              <w:pStyle w:val="Compact"/>
              <w:jc w:val="right"/>
            </w:pPr>
            <w:r>
              <w:t xml:space="preserve">20</w:t>
            </w:r>
          </w:p>
        </w:tc>
        <w:tc>
          <w:tcPr/>
          <w:p>
            <w:pPr>
              <w:pStyle w:val="Compact"/>
              <w:jc w:val="right"/>
            </w:pPr>
            <w:r>
              <w:t xml:space="preserve">20</w:t>
            </w:r>
          </w:p>
        </w:tc>
      </w:tr>
      <w:tr>
        <w:tc>
          <w:tcPr/>
          <w:p>
            <w:pPr>
              <w:pStyle w:val="Compact"/>
              <w:jc w:val="left"/>
            </w:pPr>
            <w:r>
              <w:t xml:space="preserve">B1</w:t>
            </w:r>
          </w:p>
        </w:tc>
        <w:tc>
          <w:tcPr/>
          <w:p>
            <w:pPr>
              <w:pStyle w:val="Compact"/>
              <w:jc w:val="right"/>
            </w:pPr>
            <w:r>
              <w:t xml:space="preserve">90</w:t>
            </w:r>
          </w:p>
        </w:tc>
        <w:tc>
          <w:tcPr/>
          <w:p>
            <w:pPr>
              <w:pStyle w:val="Compact"/>
              <w:jc w:val="left"/>
            </w:pPr>
            <w:r>
              <w:t xml:space="preserve">xgboost</w:t>
            </w:r>
          </w:p>
        </w:tc>
        <w:tc>
          <w:tcPr/>
          <w:p>
            <w:pPr>
              <w:pStyle w:val="Compact"/>
              <w:jc w:val="right"/>
            </w:pPr>
            <w:r>
              <w:t xml:space="preserve">0.446</w:t>
            </w:r>
          </w:p>
        </w:tc>
        <w:tc>
          <w:tcPr/>
          <w:p>
            <w:pPr>
              <w:pStyle w:val="Compact"/>
              <w:jc w:val="right"/>
            </w:pPr>
            <w:r>
              <w:t xml:space="preserve">0.198</w:t>
            </w:r>
          </w:p>
        </w:tc>
        <w:tc>
          <w:tcPr/>
          <w:p>
            <w:pPr>
              <w:pStyle w:val="Compact"/>
              <w:jc w:val="right"/>
            </w:pPr>
            <w:r>
              <w:t xml:space="preserve">0.07</w:t>
            </w:r>
          </w:p>
        </w:tc>
        <w:tc>
          <w:tcPr/>
          <w:p>
            <w:pPr>
              <w:pStyle w:val="Compact"/>
              <w:jc w:val="right"/>
            </w:pPr>
            <w:r>
              <w:t xml:space="preserve">0.227</w:t>
            </w:r>
          </w:p>
        </w:tc>
        <w:tc>
          <w:tcPr/>
          <w:p>
            <w:pPr>
              <w:pStyle w:val="Compact"/>
              <w:jc w:val="right"/>
            </w:pPr>
            <w:r>
              <w:t xml:space="preserve">0.502</w:t>
            </w:r>
          </w:p>
        </w:tc>
        <w:tc>
          <w:tcPr/>
          <w:p>
            <w:pPr>
              <w:pStyle w:val="Compact"/>
              <w:jc w:val="right"/>
            </w:pPr>
            <w:r>
              <w:t xml:space="preserve">0.699</w:t>
            </w:r>
          </w:p>
        </w:tc>
        <w:tc>
          <w:tcPr/>
          <w:p>
            <w:pPr>
              <w:pStyle w:val="Compact"/>
              <w:jc w:val="left"/>
            </w:pPr>
            <w:r>
              <w:t xml:space="preserve">365.0</w:t>
            </w:r>
          </w:p>
        </w:tc>
        <w:tc>
          <w:tcPr/>
          <w:p>
            <w:pPr>
              <w:pStyle w:val="Compact"/>
              <w:jc w:val="left"/>
            </w:pPr>
            <w:r>
              <w:t xml:space="preserve">right</w:t>
            </w:r>
          </w:p>
        </w:tc>
        <w:tc>
          <w:tcPr/>
          <w:p>
            <w:pPr>
              <w:pStyle w:val="Compact"/>
              <w:jc w:val="right"/>
            </w:pPr>
            <w:r>
              <w:t xml:space="preserve">20</w:t>
            </w:r>
          </w:p>
        </w:tc>
        <w:tc>
          <w:tcPr/>
          <w:p>
            <w:pPr>
              <w:pStyle w:val="Compact"/>
              <w:jc w:val="right"/>
            </w:pPr>
            <w:r>
              <w:t xml:space="preserve">20</w:t>
            </w:r>
          </w:p>
        </w:tc>
      </w:tr>
      <w:tr>
        <w:tc>
          <w:tcPr/>
          <w:p>
            <w:pPr>
              <w:pStyle w:val="Compact"/>
              <w:jc w:val="left"/>
            </w:pPr>
            <w:r>
              <w:t xml:space="preserve">B1</w:t>
            </w:r>
          </w:p>
        </w:tc>
        <w:tc>
          <w:tcPr/>
          <w:p>
            <w:pPr>
              <w:pStyle w:val="Compact"/>
              <w:jc w:val="right"/>
            </w:pPr>
            <w:r>
              <w:t xml:space="preserve">180</w:t>
            </w:r>
          </w:p>
        </w:tc>
        <w:tc>
          <w:tcPr/>
          <w:p>
            <w:pPr>
              <w:pStyle w:val="Compact"/>
              <w:jc w:val="left"/>
            </w:pPr>
            <w:r>
              <w:t xml:space="preserve">xgboost</w:t>
            </w:r>
          </w:p>
        </w:tc>
        <w:tc>
          <w:tcPr/>
          <w:p>
            <w:pPr>
              <w:pStyle w:val="Compact"/>
              <w:jc w:val="right"/>
            </w:pPr>
            <w:r>
              <w:t xml:space="preserve">0.446</w:t>
            </w:r>
          </w:p>
        </w:tc>
        <w:tc>
          <w:tcPr/>
          <w:p>
            <w:pPr>
              <w:pStyle w:val="Compact"/>
              <w:jc w:val="right"/>
            </w:pPr>
            <w:r>
              <w:t xml:space="preserve">0.225</w:t>
            </w:r>
          </w:p>
        </w:tc>
        <w:tc>
          <w:tcPr/>
          <w:p>
            <w:pPr>
              <w:pStyle w:val="Compact"/>
              <w:jc w:val="right"/>
            </w:pPr>
            <w:r>
              <w:t xml:space="preserve">0.084</w:t>
            </w:r>
          </w:p>
        </w:tc>
        <w:tc>
          <w:tcPr/>
          <w:p>
            <w:pPr>
              <w:pStyle w:val="Compact"/>
              <w:jc w:val="right"/>
            </w:pPr>
            <w:r>
              <w:t xml:space="preserve">0.291</w:t>
            </w:r>
          </w:p>
        </w:tc>
        <w:tc>
          <w:tcPr/>
          <w:p>
            <w:pPr>
              <w:pStyle w:val="Compact"/>
              <w:jc w:val="right"/>
            </w:pPr>
            <w:r>
              <w:t xml:space="preserve">0.518</w:t>
            </w:r>
          </w:p>
        </w:tc>
        <w:tc>
          <w:tcPr/>
          <w:p>
            <w:pPr>
              <w:pStyle w:val="Compact"/>
              <w:jc w:val="right"/>
            </w:pPr>
            <w:r>
              <w:t xml:space="preserve">0.718</w:t>
            </w:r>
          </w:p>
        </w:tc>
        <w:tc>
          <w:tcPr/>
          <w:p>
            <w:pPr>
              <w:pStyle w:val="Compact"/>
              <w:jc w:val="left"/>
            </w:pPr>
            <w:r>
              <w:t xml:space="preserve">365.0</w:t>
            </w:r>
          </w:p>
        </w:tc>
        <w:tc>
          <w:tcPr/>
          <w:p>
            <w:pPr>
              <w:pStyle w:val="Compact"/>
              <w:jc w:val="left"/>
            </w:pPr>
            <w:r>
              <w:t xml:space="preserve">right</w:t>
            </w:r>
          </w:p>
        </w:tc>
        <w:tc>
          <w:tcPr/>
          <w:p>
            <w:pPr>
              <w:pStyle w:val="Compact"/>
              <w:jc w:val="right"/>
            </w:pPr>
            <w:r>
              <w:t xml:space="preserve">20</w:t>
            </w:r>
          </w:p>
        </w:tc>
        <w:tc>
          <w:tcPr/>
          <w:p>
            <w:pPr>
              <w:pStyle w:val="Compact"/>
              <w:jc w:val="right"/>
            </w:pPr>
            <w:r>
              <w:t xml:space="preserve">20</w:t>
            </w:r>
          </w:p>
        </w:tc>
      </w:tr>
      <w:tr>
        <w:tc>
          <w:tcPr/>
          <w:p>
            <w:pPr>
              <w:pStyle w:val="Compact"/>
              <w:jc w:val="left"/>
            </w:pPr>
            <w:r>
              <w:t xml:space="preserve">P3</w:t>
            </w:r>
          </w:p>
        </w:tc>
        <w:tc>
          <w:tcPr/>
          <w:p>
            <w:pPr>
              <w:pStyle w:val="Compact"/>
              <w:jc w:val="right"/>
            </w:pPr>
            <w:r>
              <w:t xml:space="preserve">30</w:t>
            </w:r>
          </w:p>
        </w:tc>
        <w:tc>
          <w:tcPr/>
          <w:p>
            <w:pPr>
              <w:pStyle w:val="Compact"/>
              <w:jc w:val="left"/>
            </w:pPr>
            <w:r>
              <w:t xml:space="preserve">kalman</w:t>
            </w:r>
          </w:p>
        </w:tc>
        <w:tc>
          <w:tcPr/>
          <w:p>
            <w:pPr>
              <w:pStyle w:val="Compact"/>
              <w:jc w:val="right"/>
            </w:pPr>
            <w:r>
              <w:t xml:space="preserve">0.458</w:t>
            </w:r>
          </w:p>
        </w:tc>
        <w:tc>
          <w:tcPr/>
          <w:p>
            <w:pPr>
              <w:pStyle w:val="Compact"/>
              <w:jc w:val="right"/>
            </w:pPr>
            <w:r>
              <w:t xml:space="preserve">0.58</w:t>
            </w:r>
          </w:p>
        </w:tc>
        <w:tc>
          <w:tcPr/>
          <w:p>
            <w:pPr>
              <w:pStyle w:val="Compact"/>
              <w:jc w:val="right"/>
            </w:pPr>
            <w:r>
              <w:t xml:space="preserve">0.477</w:t>
            </w:r>
          </w:p>
        </w:tc>
        <w:tc>
          <w:tcPr/>
          <w:p>
            <w:pPr>
              <w:pStyle w:val="Compact"/>
              <w:jc w:val="right"/>
            </w:pPr>
            <w:r>
              <w:t xml:space="preserve">0.638</w:t>
            </w:r>
          </w:p>
        </w:tc>
        <w:tc>
          <w:tcPr/>
          <w:p>
            <w:pPr>
              <w:pStyle w:val="Compact"/>
              <w:jc w:val="right"/>
            </w:pPr>
            <w:r>
              <w:t xml:space="preserve">0.364</w:t>
            </w:r>
          </w:p>
        </w:tc>
        <w:tc>
          <w:tcPr/>
          <w:p>
            <w:pPr>
              <w:pStyle w:val="Compact"/>
              <w:jc w:val="right"/>
            </w:pPr>
            <w:r>
              <w:t xml:space="preserve">1.306</w:t>
            </w:r>
          </w:p>
        </w:tc>
        <w:tc>
          <w:tcPr/>
          <w:p>
            <w:pPr>
              <w:pStyle w:val="Compact"/>
              <w:jc w:val="left"/>
            </w:pPr>
            <w:r>
              <w:t xml:space="preserve">159.992</w:t>
            </w:r>
          </w:p>
        </w:tc>
        <w:tc>
          <w:tcPr/>
          <w:p>
            <w:pPr>
              <w:pStyle w:val="Compact"/>
              <w:jc w:val="left"/>
            </w:pPr>
            <w:r>
              <w:t xml:space="preserve">undefined</w:t>
            </w:r>
          </w:p>
        </w:tc>
        <w:tc>
          <w:tcPr/>
          <w:p>
            <w:pPr>
              <w:pStyle w:val="Compact"/>
              <w:jc w:val="right"/>
            </w:pPr>
            <w:r>
              <w:t xml:space="preserve">20</w:t>
            </w:r>
          </w:p>
        </w:tc>
        <w:tc>
          <w:tcPr/>
          <w:p>
            <w:pPr>
              <w:pStyle w:val="Compact"/>
              <w:jc w:val="right"/>
            </w:pPr>
            <w:r>
              <w:t xml:space="preserve">20</w:t>
            </w:r>
          </w:p>
        </w:tc>
      </w:tr>
      <w:tr>
        <w:tc>
          <w:tcPr/>
          <w:p>
            <w:pPr>
              <w:pStyle w:val="Compact"/>
              <w:jc w:val="left"/>
            </w:pPr>
            <w:r>
              <w:t xml:space="preserve">P3</w:t>
            </w:r>
          </w:p>
        </w:tc>
        <w:tc>
          <w:tcPr/>
          <w:p>
            <w:pPr>
              <w:pStyle w:val="Compact"/>
              <w:jc w:val="right"/>
            </w:pPr>
            <w:r>
              <w:t xml:space="preserve">90</w:t>
            </w:r>
          </w:p>
        </w:tc>
        <w:tc>
          <w:tcPr/>
          <w:p>
            <w:pPr>
              <w:pStyle w:val="Compact"/>
              <w:jc w:val="left"/>
            </w:pPr>
            <w:r>
              <w:t xml:space="preserve">kalman</w:t>
            </w:r>
          </w:p>
        </w:tc>
        <w:tc>
          <w:tcPr/>
          <w:p>
            <w:pPr>
              <w:pStyle w:val="Compact"/>
              <w:jc w:val="right"/>
            </w:pPr>
            <w:r>
              <w:t xml:space="preserve">0.458</w:t>
            </w:r>
          </w:p>
        </w:tc>
        <w:tc>
          <w:tcPr/>
          <w:p>
            <w:pPr>
              <w:pStyle w:val="Compact"/>
              <w:jc w:val="right"/>
            </w:pPr>
            <w:r>
              <w:t xml:space="preserve">0.479</w:t>
            </w:r>
          </w:p>
        </w:tc>
        <w:tc>
          <w:tcPr/>
          <w:p>
            <w:pPr>
              <w:pStyle w:val="Compact"/>
              <w:jc w:val="right"/>
            </w:pPr>
            <w:r>
              <w:t xml:space="preserve">0.421</w:t>
            </w:r>
          </w:p>
        </w:tc>
        <w:tc>
          <w:tcPr/>
          <w:p>
            <w:pPr>
              <w:pStyle w:val="Compact"/>
              <w:jc w:val="right"/>
            </w:pPr>
            <w:r>
              <w:t xml:space="preserve">0.511</w:t>
            </w:r>
          </w:p>
        </w:tc>
        <w:tc>
          <w:tcPr/>
          <w:p>
            <w:pPr>
              <w:pStyle w:val="Compact"/>
              <w:jc w:val="right"/>
            </w:pPr>
            <w:r>
              <w:t xml:space="preserve">0.48</w:t>
            </w:r>
          </w:p>
        </w:tc>
        <w:tc>
          <w:tcPr/>
          <w:p>
            <w:pPr>
              <w:pStyle w:val="Compact"/>
              <w:jc w:val="right"/>
            </w:pPr>
            <w:r>
              <w:t xml:space="preserve">1.296</w:t>
            </w:r>
          </w:p>
        </w:tc>
        <w:tc>
          <w:tcPr/>
          <w:p>
            <w:pPr>
              <w:pStyle w:val="Compact"/>
              <w:jc w:val="left"/>
            </w:pPr>
            <w:r>
              <w:t xml:space="preserve">159.992</w:t>
            </w:r>
          </w:p>
        </w:tc>
        <w:tc>
          <w:tcPr/>
          <w:p>
            <w:pPr>
              <w:pStyle w:val="Compact"/>
              <w:jc w:val="left"/>
            </w:pPr>
            <w:r>
              <w:t xml:space="preserve">undefined</w:t>
            </w:r>
          </w:p>
        </w:tc>
        <w:tc>
          <w:tcPr/>
          <w:p>
            <w:pPr>
              <w:pStyle w:val="Compact"/>
              <w:jc w:val="right"/>
            </w:pPr>
            <w:r>
              <w:t xml:space="preserve">20</w:t>
            </w:r>
          </w:p>
        </w:tc>
        <w:tc>
          <w:tcPr/>
          <w:p>
            <w:pPr>
              <w:pStyle w:val="Compact"/>
              <w:jc w:val="right"/>
            </w:pPr>
            <w:r>
              <w:t xml:space="preserve">20</w:t>
            </w:r>
          </w:p>
        </w:tc>
      </w:tr>
      <w:tr>
        <w:tc>
          <w:tcPr/>
          <w:p>
            <w:pPr>
              <w:pStyle w:val="Compact"/>
              <w:jc w:val="left"/>
            </w:pPr>
            <w:r>
              <w:t xml:space="preserve">P3</w:t>
            </w:r>
          </w:p>
        </w:tc>
        <w:tc>
          <w:tcPr/>
          <w:p>
            <w:pPr>
              <w:pStyle w:val="Compact"/>
              <w:jc w:val="right"/>
            </w:pPr>
            <w:r>
              <w:t xml:space="preserve">180</w:t>
            </w:r>
          </w:p>
        </w:tc>
        <w:tc>
          <w:tcPr/>
          <w:p>
            <w:pPr>
              <w:pStyle w:val="Compact"/>
              <w:jc w:val="left"/>
            </w:pPr>
            <w:r>
              <w:t xml:space="preserve">kalman</w:t>
            </w:r>
          </w:p>
        </w:tc>
        <w:tc>
          <w:tcPr/>
          <w:p>
            <w:pPr>
              <w:pStyle w:val="Compact"/>
              <w:jc w:val="right"/>
            </w:pPr>
            <w:r>
              <w:t xml:space="preserve">0.458</w:t>
            </w:r>
          </w:p>
        </w:tc>
        <w:tc>
          <w:tcPr/>
          <w:p>
            <w:pPr>
              <w:pStyle w:val="Compact"/>
              <w:jc w:val="right"/>
            </w:pPr>
            <w:r>
              <w:t xml:space="preserve">-0.045</w:t>
            </w:r>
          </w:p>
        </w:tc>
        <w:tc>
          <w:tcPr/>
          <w:p>
            <w:pPr>
              <w:pStyle w:val="Compact"/>
              <w:jc w:val="right"/>
            </w:pPr>
            <w:r>
              <w:t xml:space="preserve">-0.136</w:t>
            </w:r>
          </w:p>
        </w:tc>
        <w:tc>
          <w:tcPr/>
          <w:p>
            <w:pPr>
              <w:pStyle w:val="Compact"/>
              <w:jc w:val="right"/>
            </w:pPr>
            <w:r>
              <w:t xml:space="preserve">0.139</w:t>
            </w:r>
          </w:p>
        </w:tc>
        <w:tc>
          <w:tcPr/>
          <w:p>
            <w:pPr>
              <w:pStyle w:val="Compact"/>
              <w:jc w:val="right"/>
            </w:pPr>
            <w:r>
              <w:t xml:space="preserve">1.119</w:t>
            </w:r>
          </w:p>
        </w:tc>
        <w:tc>
          <w:tcPr/>
          <w:p>
            <w:pPr>
              <w:pStyle w:val="Compact"/>
              <w:jc w:val="right"/>
            </w:pPr>
            <w:r>
              <w:t xml:space="preserve">1.218</w:t>
            </w:r>
          </w:p>
        </w:tc>
        <w:tc>
          <w:tcPr/>
          <w:p>
            <w:pPr>
              <w:pStyle w:val="Compact"/>
              <w:jc w:val="left"/>
            </w:pPr>
            <w:r>
              <w:t xml:space="preserve">159.992</w:t>
            </w:r>
          </w:p>
        </w:tc>
        <w:tc>
          <w:tcPr/>
          <w:p>
            <w:pPr>
              <w:pStyle w:val="Compact"/>
              <w:jc w:val="left"/>
            </w:pPr>
            <w:r>
              <w:t xml:space="preserve">undefined</w:t>
            </w:r>
          </w:p>
        </w:tc>
        <w:tc>
          <w:tcPr/>
          <w:p>
            <w:pPr>
              <w:pStyle w:val="Compact"/>
              <w:jc w:val="right"/>
            </w:pPr>
            <w:r>
              <w:t xml:space="preserve">20</w:t>
            </w:r>
          </w:p>
        </w:tc>
        <w:tc>
          <w:tcPr/>
          <w:p>
            <w:pPr>
              <w:pStyle w:val="Compact"/>
              <w:jc w:val="right"/>
            </w:pPr>
            <w:r>
              <w:t xml:space="preserve">20</w:t>
            </w:r>
          </w:p>
        </w:tc>
      </w:tr>
      <w:tr>
        <w:tc>
          <w:tcPr/>
          <w:p>
            <w:pPr>
              <w:pStyle w:val="Compact"/>
              <w:jc w:val="left"/>
            </w:pPr>
            <w:r>
              <w:t xml:space="preserve">S2</w:t>
            </w:r>
          </w:p>
        </w:tc>
        <w:tc>
          <w:tcPr/>
          <w:p>
            <w:pPr>
              <w:pStyle w:val="Compact"/>
              <w:jc w:val="right"/>
            </w:pPr>
            <w:r>
              <w:t xml:space="preserve">30</w:t>
            </w:r>
          </w:p>
        </w:tc>
        <w:tc>
          <w:tcPr/>
          <w:p>
            <w:pPr>
              <w:pStyle w:val="Compact"/>
              <w:jc w:val="left"/>
            </w:pPr>
            <w:r>
              <w:t xml:space="preserve">donor_regression</w:t>
            </w:r>
          </w:p>
        </w:tc>
        <w:tc>
          <w:tcPr/>
          <w:p>
            <w:pPr>
              <w:pStyle w:val="Compact"/>
              <w:jc w:val="right"/>
            </w:pPr>
            <w:r>
              <w:t xml:space="preserve">0.357</w:t>
            </w:r>
          </w:p>
        </w:tc>
        <w:tc>
          <w:tcPr/>
          <w:p>
            <w:pPr>
              <w:pStyle w:val="Compact"/>
              <w:jc w:val="right"/>
            </w:pPr>
            <w:r>
              <w:t xml:space="preserve">0.183</w:t>
            </w:r>
          </w:p>
        </w:tc>
        <w:tc>
          <w:tcPr/>
          <w:p>
            <w:pPr>
              <w:pStyle w:val="Compact"/>
              <w:jc w:val="right"/>
            </w:pPr>
            <w:r>
              <w:t xml:space="preserve">0.038</w:t>
            </w:r>
          </w:p>
        </w:tc>
        <w:tc>
          <w:tcPr/>
          <w:p>
            <w:pPr>
              <w:pStyle w:val="Compact"/>
              <w:jc w:val="right"/>
            </w:pPr>
            <w:r>
              <w:t xml:space="preserve">0.347</w:t>
            </w:r>
          </w:p>
        </w:tc>
        <w:tc>
          <w:tcPr/>
          <w:p>
            <w:pPr>
              <w:pStyle w:val="Compact"/>
              <w:jc w:val="right"/>
            </w:pPr>
            <w:r>
              <w:t xml:space="preserve">0.539</w:t>
            </w:r>
          </w:p>
        </w:tc>
        <w:tc>
          <w:tcPr/>
          <w:p>
            <w:pPr>
              <w:pStyle w:val="Compact"/>
              <w:jc w:val="right"/>
            </w:pPr>
            <w:r>
              <w:t xml:space="preserve">0.674</w:t>
            </w:r>
          </w:p>
        </w:tc>
        <w:tc>
          <w:tcPr/>
          <w:p>
            <w:pPr>
              <w:pStyle w:val="Compact"/>
              <w:jc w:val="left"/>
            </w:pPr>
            <w:r>
              <w:t xml:space="preserve">undefined</w:t>
            </w:r>
          </w:p>
        </w:tc>
        <w:tc>
          <w:tcPr/>
          <w:p>
            <w:pPr>
              <w:pStyle w:val="Compact"/>
              <w:jc w:val="left"/>
            </w:pPr>
            <w:r>
              <w:t xml:space="preserve">left</w:t>
            </w:r>
          </w:p>
        </w:tc>
        <w:tc>
          <w:tcPr/>
          <w:p>
            <w:pPr>
              <w:pStyle w:val="Compact"/>
              <w:jc w:val="right"/>
            </w:pPr>
            <w:r>
              <w:t xml:space="preserve">20</w:t>
            </w:r>
          </w:p>
        </w:tc>
        <w:tc>
          <w:tcPr/>
          <w:p>
            <w:pPr>
              <w:pStyle w:val="Compact"/>
              <w:jc w:val="right"/>
            </w:pPr>
            <w:r>
              <w:t xml:space="preserve">20</w:t>
            </w:r>
          </w:p>
        </w:tc>
      </w:tr>
      <w:tr>
        <w:tc>
          <w:tcPr/>
          <w:p>
            <w:pPr>
              <w:pStyle w:val="Compact"/>
              <w:jc w:val="left"/>
            </w:pPr>
            <w:r>
              <w:t xml:space="preserve">S2</w:t>
            </w:r>
          </w:p>
        </w:tc>
        <w:tc>
          <w:tcPr/>
          <w:p>
            <w:pPr>
              <w:pStyle w:val="Compact"/>
              <w:jc w:val="right"/>
            </w:pPr>
            <w:r>
              <w:t xml:space="preserve">90</w:t>
            </w:r>
          </w:p>
        </w:tc>
        <w:tc>
          <w:tcPr/>
          <w:p>
            <w:pPr>
              <w:pStyle w:val="Compact"/>
              <w:jc w:val="left"/>
            </w:pPr>
            <w:r>
              <w:t xml:space="preserve">donor_regression</w:t>
            </w:r>
          </w:p>
        </w:tc>
        <w:tc>
          <w:tcPr/>
          <w:p>
            <w:pPr>
              <w:pStyle w:val="Compact"/>
              <w:jc w:val="right"/>
            </w:pPr>
            <w:r>
              <w:t xml:space="preserve">0.357</w:t>
            </w:r>
          </w:p>
        </w:tc>
        <w:tc>
          <w:tcPr/>
          <w:p>
            <w:pPr>
              <w:pStyle w:val="Compact"/>
              <w:jc w:val="right"/>
            </w:pPr>
            <w:r>
              <w:t xml:space="preserve">0.173</w:t>
            </w:r>
          </w:p>
        </w:tc>
        <w:tc>
          <w:tcPr/>
          <w:p>
            <w:pPr>
              <w:pStyle w:val="Compact"/>
              <w:jc w:val="right"/>
            </w:pPr>
            <w:r>
              <w:t xml:space="preserve">0.03</w:t>
            </w:r>
          </w:p>
        </w:tc>
        <w:tc>
          <w:tcPr/>
          <w:p>
            <w:pPr>
              <w:pStyle w:val="Compact"/>
              <w:jc w:val="right"/>
            </w:pPr>
            <w:r>
              <w:t xml:space="preserve">0.301</w:t>
            </w:r>
          </w:p>
        </w:tc>
        <w:tc>
          <w:tcPr/>
          <w:p>
            <w:pPr>
              <w:pStyle w:val="Compact"/>
              <w:jc w:val="right"/>
            </w:pPr>
            <w:r>
              <w:t xml:space="preserve">0.552</w:t>
            </w:r>
          </w:p>
        </w:tc>
        <w:tc>
          <w:tcPr/>
          <w:p>
            <w:pPr>
              <w:pStyle w:val="Compact"/>
              <w:jc w:val="right"/>
            </w:pPr>
            <w:r>
              <w:t xml:space="preserve">0.674</w:t>
            </w:r>
          </w:p>
        </w:tc>
        <w:tc>
          <w:tcPr/>
          <w:p>
            <w:pPr>
              <w:pStyle w:val="Compact"/>
              <w:jc w:val="left"/>
            </w:pPr>
            <w:r>
              <w:t xml:space="preserve">undefined</w:t>
            </w:r>
          </w:p>
        </w:tc>
        <w:tc>
          <w:tcPr/>
          <w:p>
            <w:pPr>
              <w:pStyle w:val="Compact"/>
              <w:jc w:val="left"/>
            </w:pPr>
            <w:r>
              <w:t xml:space="preserve">left</w:t>
            </w:r>
          </w:p>
        </w:tc>
        <w:tc>
          <w:tcPr/>
          <w:p>
            <w:pPr>
              <w:pStyle w:val="Compact"/>
              <w:jc w:val="right"/>
            </w:pPr>
            <w:r>
              <w:t xml:space="preserve">20</w:t>
            </w:r>
          </w:p>
        </w:tc>
        <w:tc>
          <w:tcPr/>
          <w:p>
            <w:pPr>
              <w:pStyle w:val="Compact"/>
              <w:jc w:val="right"/>
            </w:pPr>
            <w:r>
              <w:t xml:space="preserve">20</w:t>
            </w:r>
          </w:p>
        </w:tc>
      </w:tr>
      <w:tr>
        <w:tc>
          <w:tcPr/>
          <w:p>
            <w:pPr>
              <w:pStyle w:val="Compact"/>
              <w:jc w:val="left"/>
            </w:pPr>
            <w:r>
              <w:t xml:space="preserve">S2</w:t>
            </w:r>
          </w:p>
        </w:tc>
        <w:tc>
          <w:tcPr/>
          <w:p>
            <w:pPr>
              <w:pStyle w:val="Compact"/>
              <w:jc w:val="right"/>
            </w:pPr>
            <w:r>
              <w:t xml:space="preserve">180</w:t>
            </w:r>
          </w:p>
        </w:tc>
        <w:tc>
          <w:tcPr/>
          <w:p>
            <w:pPr>
              <w:pStyle w:val="Compact"/>
              <w:jc w:val="left"/>
            </w:pPr>
            <w:r>
              <w:t xml:space="preserve">donor_regression</w:t>
            </w:r>
          </w:p>
        </w:tc>
        <w:tc>
          <w:tcPr/>
          <w:p>
            <w:pPr>
              <w:pStyle w:val="Compact"/>
              <w:jc w:val="right"/>
            </w:pPr>
            <w:r>
              <w:t xml:space="preserve">0.357</w:t>
            </w:r>
          </w:p>
        </w:tc>
        <w:tc>
          <w:tcPr/>
          <w:p>
            <w:pPr>
              <w:pStyle w:val="Compact"/>
              <w:jc w:val="right"/>
            </w:pPr>
            <w:r>
              <w:t xml:space="preserve">0.183</w:t>
            </w:r>
          </w:p>
        </w:tc>
        <w:tc>
          <w:tcPr/>
          <w:p>
            <w:pPr>
              <w:pStyle w:val="Compact"/>
              <w:jc w:val="right"/>
            </w:pPr>
            <w:r>
              <w:t xml:space="preserve">-0.02</w:t>
            </w:r>
          </w:p>
        </w:tc>
        <w:tc>
          <w:tcPr/>
          <w:p>
            <w:pPr>
              <w:pStyle w:val="Compact"/>
              <w:jc w:val="right"/>
            </w:pPr>
            <w:r>
              <w:t xml:space="preserve">0.394</w:t>
            </w:r>
          </w:p>
        </w:tc>
        <w:tc>
          <w:tcPr/>
          <w:p>
            <w:pPr>
              <w:pStyle w:val="Compact"/>
              <w:jc w:val="right"/>
            </w:pPr>
            <w:r>
              <w:t xml:space="preserve">0.539</w:t>
            </w:r>
          </w:p>
        </w:tc>
        <w:tc>
          <w:tcPr/>
          <w:p>
            <w:pPr>
              <w:pStyle w:val="Compact"/>
              <w:jc w:val="right"/>
            </w:pPr>
            <w:r>
              <w:t xml:space="preserve">0.651</w:t>
            </w:r>
          </w:p>
        </w:tc>
        <w:tc>
          <w:tcPr/>
          <w:p>
            <w:pPr>
              <w:pStyle w:val="Compact"/>
              <w:jc w:val="left"/>
            </w:pPr>
            <w:r>
              <w:t xml:space="preserve">undefined</w:t>
            </w:r>
          </w:p>
        </w:tc>
        <w:tc>
          <w:tcPr/>
          <w:p>
            <w:pPr>
              <w:pStyle w:val="Compact"/>
              <w:jc w:val="left"/>
            </w:pPr>
            <w:r>
              <w:t xml:space="preserve">left</w:t>
            </w:r>
          </w:p>
        </w:tc>
        <w:tc>
          <w:tcPr/>
          <w:p>
            <w:pPr>
              <w:pStyle w:val="Compact"/>
              <w:jc w:val="right"/>
            </w:pPr>
            <w:r>
              <w:t xml:space="preserve">20</w:t>
            </w:r>
          </w:p>
        </w:tc>
        <w:tc>
          <w:tcPr/>
          <w:p>
            <w:pPr>
              <w:pStyle w:val="Compact"/>
              <w:jc w:val="right"/>
            </w:pPr>
            <w:r>
              <w:t xml:space="preserve">20</w:t>
            </w:r>
          </w:p>
        </w:tc>
      </w:tr>
    </w:tbl>
    <w:p>
      <w:pPr>
        <w:pStyle w:val="BodyText"/>
      </w:pPr>
      <w:r>
        <w:rPr>
          <w:i/>
          <w:iCs/>
        </w:rPr>
        <w:t xml:space="preserve">Table 4. Validation-selected recoverability in relative and absolute units.. One block-recovery model per station is selected on 2016–2017 validation data and reported at 30, 90, and 180 days in 2018–2020. Columns give validation MAE, mean skill and 95% interval, model and climatology MAE, statistical frontier/censoring, and anchor counts.</w:t>
      </w:r>
    </w:p>
    <w:bookmarkEnd w:id="45"/>
    <w:bookmarkStart w:id="46" w:name="table-5"/>
    <w:p>
      <w:pPr>
        <w:pStyle w:val="Heading2"/>
      </w:pPr>
      <w:r>
        <w:t xml:space="preserve">Table 5</w:t>
      </w:r>
    </w:p>
    <w:tbl>
      <w:tblPr>
        <w:tblStyle w:val="Table"/>
        <w:tblW w:type="pct" w:w="5000"/>
        <w:tblLayout w:type="fixed"/>
        <w:tblLook w:firstRow="1" w:lastRow="0" w:firstColumn="0" w:lastColumn="0" w:noHBand="0" w:noVBand="0" w:val="0020"/>
      </w:tblPr>
      <w:tblGrid>
        <w:gridCol w:w="145"/>
        <w:gridCol w:w="176"/>
        <w:gridCol w:w="207"/>
        <w:gridCol w:w="155"/>
        <w:gridCol w:w="176"/>
        <w:gridCol w:w="114"/>
        <w:gridCol w:w="176"/>
        <w:gridCol w:w="218"/>
        <w:gridCol w:w="135"/>
        <w:gridCol w:w="166"/>
        <w:gridCol w:w="207"/>
        <w:gridCol w:w="249"/>
        <w:gridCol w:w="218"/>
        <w:gridCol w:w="145"/>
        <w:gridCol w:w="103"/>
        <w:gridCol w:w="218"/>
        <w:gridCol w:w="218"/>
        <w:gridCol w:w="228"/>
        <w:gridCol w:w="166"/>
        <w:gridCol w:w="103"/>
        <w:gridCol w:w="197"/>
        <w:gridCol w:w="197"/>
        <w:gridCol w:w="166"/>
        <w:gridCol w:w="602"/>
        <w:gridCol w:w="353"/>
        <w:gridCol w:w="342"/>
        <w:gridCol w:w="197"/>
        <w:gridCol w:w="311"/>
        <w:gridCol w:w="696"/>
        <w:gridCol w:w="717"/>
        <w:gridCol w:w="176"/>
        <w:gridCol w:w="187"/>
        <w:gridCol w:w="124"/>
        <w:gridCol w:w="114"/>
      </w:tblGrid>
      <w:tr>
        <w:trPr>
          <w:tblHeader w:val="on"/>
        </w:trPr>
        <w:tc>
          <w:tcPr/>
          <w:p>
            <w:pPr>
              <w:pStyle w:val="Compact"/>
              <w:jc w:val="left"/>
            </w:pPr>
            <w:r>
              <w:t xml:space="preserve">experiment</w:t>
            </w:r>
          </w:p>
        </w:tc>
        <w:tc>
          <w:tcPr/>
          <w:p>
            <w:pPr>
              <w:pStyle w:val="Compact"/>
              <w:jc w:val="left"/>
            </w:pPr>
            <w:r>
              <w:t xml:space="preserve">mask_type</w:t>
            </w:r>
          </w:p>
        </w:tc>
        <w:tc>
          <w:tcPr/>
          <w:p>
            <w:pPr>
              <w:pStyle w:val="Compact"/>
              <w:jc w:val="left"/>
            </w:pPr>
            <w:r>
              <w:t xml:space="preserve">layout</w:t>
            </w:r>
          </w:p>
        </w:tc>
        <w:tc>
          <w:tcPr/>
          <w:p>
            <w:pPr>
              <w:pStyle w:val="Compact"/>
              <w:jc w:val="left"/>
            </w:pPr>
            <w:r>
              <w:t xml:space="preserve">outage_mode</w:t>
            </w:r>
          </w:p>
        </w:tc>
        <w:tc>
          <w:tcPr/>
          <w:p>
            <w:pPr>
              <w:pStyle w:val="Compact"/>
              <w:jc w:val="left"/>
            </w:pPr>
            <w:r>
              <w:t xml:space="preserve">overlap_ratio</w:t>
            </w:r>
          </w:p>
        </w:tc>
        <w:tc>
          <w:tcPr/>
          <w:p>
            <w:pPr>
              <w:pStyle w:val="Compact"/>
              <w:jc w:val="left"/>
            </w:pPr>
            <w:r>
              <w:t xml:space="preserve">pattern</w:t>
            </w:r>
          </w:p>
        </w:tc>
        <w:tc>
          <w:tcPr/>
          <w:p>
            <w:pPr>
              <w:pStyle w:val="Compact"/>
              <w:jc w:val="right"/>
            </w:pPr>
            <w:r>
              <w:t xml:space="preserve">window_length</w:t>
            </w:r>
          </w:p>
        </w:tc>
        <w:tc>
          <w:tcPr/>
          <w:p>
            <w:pPr>
              <w:pStyle w:val="Compact"/>
              <w:jc w:val="left"/>
            </w:pPr>
            <w:r>
              <w:t xml:space="preserve">training_protocol</w:t>
            </w:r>
          </w:p>
        </w:tc>
        <w:tc>
          <w:tcPr/>
          <w:p>
            <w:pPr>
              <w:pStyle w:val="Compact"/>
              <w:jc w:val="left"/>
            </w:pPr>
            <w:r>
              <w:t xml:space="preserve">fit_split</w:t>
            </w:r>
          </w:p>
        </w:tc>
        <w:tc>
          <w:tcPr/>
          <w:p>
            <w:pPr>
              <w:pStyle w:val="Compact"/>
              <w:jc w:val="left"/>
            </w:pPr>
            <w:r>
              <w:t xml:space="preserve">tuning_split</w:t>
            </w:r>
          </w:p>
        </w:tc>
        <w:tc>
          <w:tcPr/>
          <w:p>
            <w:pPr>
              <w:pStyle w:val="Compact"/>
              <w:jc w:val="left"/>
            </w:pPr>
            <w:r>
              <w:t xml:space="preserve">evaluation_split</w:t>
            </w:r>
          </w:p>
        </w:tc>
        <w:tc>
          <w:tcPr/>
          <w:p>
            <w:pPr>
              <w:pStyle w:val="Compact"/>
              <w:jc w:val="left"/>
            </w:pPr>
            <w:r>
              <w:t xml:space="preserve">validation_scope</w:t>
            </w:r>
          </w:p>
        </w:tc>
        <w:tc>
          <w:tcPr/>
          <w:p>
            <w:pPr>
              <w:pStyle w:val="Compact"/>
              <w:jc w:val="left"/>
            </w:pPr>
            <w:r>
              <w:t xml:space="preserve">target_station_id</w:t>
            </w:r>
          </w:p>
        </w:tc>
        <w:tc>
          <w:tcPr/>
          <w:p>
            <w:pPr>
              <w:pStyle w:val="Compact"/>
              <w:jc w:val="left"/>
            </w:pPr>
            <w:r>
              <w:t xml:space="preserve">station_id</w:t>
            </w:r>
          </w:p>
        </w:tc>
        <w:tc>
          <w:tcPr/>
          <w:p>
            <w:pPr>
              <w:pStyle w:val="Compact"/>
              <w:jc w:val="left"/>
            </w:pPr>
            <w:r>
              <w:t xml:space="preserve">target</w:t>
            </w:r>
          </w:p>
        </w:tc>
        <w:tc>
          <w:tcPr/>
          <w:p>
            <w:pPr>
              <w:pStyle w:val="Compact"/>
              <w:jc w:val="left"/>
            </w:pPr>
            <w:r>
              <w:t xml:space="preserve">model</w:t>
            </w:r>
          </w:p>
        </w:tc>
        <w:tc>
          <w:tcPr/>
          <w:p>
            <w:pPr>
              <w:pStyle w:val="Compact"/>
              <w:jc w:val="left"/>
            </w:pPr>
            <w:r>
              <w:t xml:space="preserve">failed_station_id</w:t>
            </w:r>
          </w:p>
        </w:tc>
        <w:tc>
          <w:tcPr/>
          <w:p>
            <w:pPr>
              <w:pStyle w:val="Compact"/>
              <w:jc w:val="right"/>
            </w:pPr>
            <w:r>
              <w:t xml:space="preserve">full_network_value</w:t>
            </w:r>
          </w:p>
        </w:tc>
        <w:tc>
          <w:tcPr/>
          <w:p>
            <w:pPr>
              <w:pStyle w:val="Compact"/>
              <w:jc w:val="right"/>
            </w:pPr>
            <w:r>
              <w:t xml:space="preserve">failed_value</w:t>
            </w:r>
          </w:p>
        </w:tc>
        <w:tc>
          <w:tcPr/>
          <w:p>
            <w:pPr>
              <w:pStyle w:val="Compact"/>
              <w:jc w:val="right"/>
            </w:pPr>
            <w:r>
              <w:t xml:space="preserve">impact</w:t>
            </w:r>
          </w:p>
        </w:tc>
        <w:tc>
          <w:tcPr/>
          <w:p>
            <w:pPr>
              <w:pStyle w:val="Compact"/>
              <w:jc w:val="right"/>
            </w:pPr>
            <w:r>
              <w:t xml:space="preserve">impact_ci_lower</w:t>
            </w:r>
          </w:p>
        </w:tc>
        <w:tc>
          <w:tcPr/>
          <w:p>
            <w:pPr>
              <w:pStyle w:val="Compact"/>
              <w:jc w:val="right"/>
            </w:pPr>
            <w:r>
              <w:t xml:space="preserve">impact_ci_upper</w:t>
            </w:r>
          </w:p>
        </w:tc>
        <w:tc>
          <w:tcPr/>
          <w:p>
            <w:pPr>
              <w:pStyle w:val="Compact"/>
              <w:jc w:val="left"/>
            </w:pPr>
            <w:r>
              <w:t xml:space="preserve">value_metric</w:t>
            </w:r>
          </w:p>
        </w:tc>
        <w:tc>
          <w:tcPr/>
          <w:p>
            <w:pPr>
              <w:pStyle w:val="Compact"/>
              <w:jc w:val="left"/>
            </w:pPr>
            <w:r>
              <w:t xml:space="preserve">impact_definition</w:t>
            </w:r>
          </w:p>
        </w:tc>
        <w:tc>
          <w:tcPr/>
          <w:p>
            <w:pPr>
              <w:pStyle w:val="Compact"/>
              <w:jc w:val="left"/>
            </w:pPr>
            <w:r>
              <w:t xml:space="preserve">selection_population</w:t>
            </w:r>
          </w:p>
        </w:tc>
        <w:tc>
          <w:tcPr/>
          <w:p>
            <w:pPr>
              <w:pStyle w:val="Compact"/>
              <w:jc w:val="left"/>
            </w:pPr>
            <w:r>
              <w:t xml:space="preserve">evidence_role</w:t>
            </w:r>
          </w:p>
        </w:tc>
        <w:tc>
          <w:tcPr/>
          <w:p>
            <w:pPr>
              <w:pStyle w:val="Compact"/>
              <w:jc w:val="left"/>
            </w:pPr>
            <w:r>
              <w:t xml:space="preserve">formal_evidence</w:t>
            </w:r>
          </w:p>
        </w:tc>
        <w:tc>
          <w:tcPr/>
          <w:p>
            <w:pPr>
              <w:pStyle w:val="Compact"/>
              <w:jc w:val="left"/>
            </w:pPr>
            <w:r>
              <w:t xml:space="preserve">eventwise_oracle_selection</w:t>
            </w:r>
          </w:p>
        </w:tc>
        <w:tc>
          <w:tcPr/>
          <w:p>
            <w:pPr>
              <w:pStyle w:val="Compact"/>
              <w:jc w:val="left"/>
            </w:pPr>
            <w:r>
              <w:t xml:space="preserve">full_network_selected_model_counts</w:t>
            </w:r>
          </w:p>
        </w:tc>
        <w:tc>
          <w:tcPr/>
          <w:p>
            <w:pPr>
              <w:pStyle w:val="Compact"/>
              <w:jc w:val="left"/>
            </w:pPr>
            <w:r>
              <w:t xml:space="preserve">failed_selected_model_counts</w:t>
            </w:r>
          </w:p>
        </w:tc>
        <w:tc>
          <w:tcPr/>
          <w:p>
            <w:pPr>
              <w:pStyle w:val="Compact"/>
              <w:jc w:val="right"/>
            </w:pPr>
            <w:r>
              <w:t xml:space="preserve">n_gap_lengths</w:t>
            </w:r>
          </w:p>
        </w:tc>
        <w:tc>
          <w:tcPr/>
          <w:p>
            <w:pPr>
              <w:pStyle w:val="Compact"/>
              <w:jc w:val="right"/>
            </w:pPr>
            <w:r>
              <w:t xml:space="preserve">n_anchor_years</w:t>
            </w:r>
          </w:p>
        </w:tc>
        <w:tc>
          <w:tcPr/>
          <w:p>
            <w:pPr>
              <w:pStyle w:val="Compact"/>
              <w:jc w:val="right"/>
            </w:pPr>
            <w:r>
              <w:t xml:space="preserve">n_events</w:t>
            </w:r>
          </w:p>
        </w:tc>
        <w:tc>
          <w:tcPr/>
          <w:p>
            <w:pPr>
              <w:pStyle w:val="Compact"/>
              <w:jc w:val="left"/>
            </w:pPr>
            <w:r>
              <w:t xml:space="preserve">reason</w:t>
            </w:r>
          </w:p>
        </w:tc>
      </w:tr>
      <w:tr>
        <w:tc>
          <w:tcPr/>
          <w:p>
            <w:pPr>
              <w:pStyle w:val="Compact"/>
              <w:jc w:val="left"/>
            </w:pPr>
            <w:r>
              <w:t xml:space="preserve">SCI_NET</w:t>
            </w:r>
          </w:p>
        </w:tc>
        <w:tc>
          <w:tcPr/>
          <w:p>
            <w:pPr>
              <w:pStyle w:val="Compact"/>
              <w:jc w:val="left"/>
            </w:pPr>
            <w:r>
              <w:t xml:space="preserve">matched_network</w:t>
            </w:r>
          </w:p>
        </w:tc>
        <w:tc>
          <w:tcPr/>
          <w:p>
            <w:pPr>
              <w:pStyle w:val="Compact"/>
              <w:jc w:val="left"/>
            </w:pPr>
            <w:r>
              <w:t xml:space="preserve">matched_target_gap</w:t>
            </w:r>
          </w:p>
        </w:tc>
        <w:tc>
          <w:tcPr/>
          <w:p>
            <w:pPr>
              <w:pStyle w:val="Compact"/>
              <w:jc w:val="left"/>
            </w:pPr>
            <w:r>
              <w:t xml:space="preserve">hydro-only</w:t>
            </w:r>
          </w:p>
        </w:tc>
        <w:tc>
          <w:tcPr/>
          <w:p>
            <w:pPr>
              <w:pStyle w:val="Compact"/>
              <w:jc w:val="left"/>
            </w:pPr>
            <w:r>
              <w:t xml:space="preserve">undefined</w:t>
            </w:r>
          </w:p>
        </w:tc>
        <w:tc>
          <w:tcPr/>
          <w:p>
            <w:pPr>
              <w:pStyle w:val="Compact"/>
              <w:jc w:val="left"/>
            </w:pPr>
            <w:r>
              <w:t xml:space="preserve">T</w:t>
            </w:r>
          </w:p>
        </w:tc>
        <w:tc>
          <w:tcPr/>
          <w:p>
            <w:pPr>
              <w:pStyle w:val="Compact"/>
              <w:jc w:val="right"/>
            </w:pPr>
            <w:r>
              <w:t xml:space="preserve">368</w:t>
            </w:r>
          </w:p>
        </w:tc>
        <w:tc>
          <w:tcPr/>
          <w:p>
            <w:pPr>
              <w:pStyle w:val="Compact"/>
              <w:jc w:val="left"/>
            </w:pPr>
            <w:r>
              <w:t xml:space="preserve">seen_length</w:t>
            </w:r>
          </w:p>
        </w:tc>
        <w:tc>
          <w:tcPr/>
          <w:p>
            <w:pPr>
              <w:pStyle w:val="Compact"/>
              <w:jc w:val="left"/>
            </w:pPr>
            <w:r>
              <w:t xml:space="preserve">train</w:t>
            </w:r>
          </w:p>
        </w:tc>
        <w:tc>
          <w:tcPr/>
          <w:p>
            <w:pPr>
              <w:pStyle w:val="Compact"/>
              <w:jc w:val="left"/>
            </w:pPr>
            <w:r>
              <w:t xml:space="preserve">validation</w:t>
            </w:r>
          </w:p>
        </w:tc>
        <w:tc>
          <w:tcPr/>
          <w:p>
            <w:pPr>
              <w:pStyle w:val="Compact"/>
              <w:jc w:val="left"/>
            </w:pPr>
            <w:r>
              <w:t xml:space="preserve">development_test</w:t>
            </w:r>
          </w:p>
        </w:tc>
        <w:tc>
          <w:tcPr/>
          <w:p>
            <w:pPr>
              <w:pStyle w:val="Compact"/>
              <w:jc w:val="left"/>
            </w:pPr>
            <w:r>
              <w:t xml:space="preserve">development_evaluation</w:t>
            </w:r>
          </w:p>
        </w:tc>
        <w:tc>
          <w:tcPr/>
          <w:p>
            <w:pPr>
              <w:pStyle w:val="Compact"/>
              <w:jc w:val="left"/>
            </w:pPr>
            <w:r>
              <w:t xml:space="preserve">B1</w:t>
            </w:r>
          </w:p>
        </w:tc>
        <w:tc>
          <w:tcPr/>
          <w:p>
            <w:pPr>
              <w:pStyle w:val="Compact"/>
              <w:jc w:val="left"/>
            </w:pPr>
            <w:r>
              <w:t xml:space="preserve">B1</w:t>
            </w:r>
          </w:p>
        </w:tc>
        <w:tc>
          <w:tcPr/>
          <w:p>
            <w:pPr>
              <w:pStyle w:val="Compact"/>
              <w:jc w:val="left"/>
            </w:pPr>
            <w:r>
              <w:t xml:space="preserve">T</w:t>
            </w:r>
          </w:p>
        </w:tc>
        <w:tc>
          <w:tcPr/>
          <w:p>
            <w:pPr>
              <w:pStyle w:val="Compact"/>
              <w:jc w:val="left"/>
            </w:pPr>
            <w:r>
              <w:t xml:space="preserve">cross_fitted_policy</w:t>
            </w:r>
          </w:p>
        </w:tc>
        <w:tc>
          <w:tcPr/>
          <w:p>
            <w:pPr>
              <w:pStyle w:val="Compact"/>
              <w:jc w:val="left"/>
            </w:pPr>
            <w:r>
              <w:t xml:space="preserve">B1</w:t>
            </w:r>
          </w:p>
        </w:tc>
        <w:tc>
          <w:tcPr/>
          <w:p>
            <w:pPr>
              <w:pStyle w:val="Compact"/>
              <w:jc w:val="right"/>
            </w:pPr>
            <w:r>
              <w:t xml:space="preserve">0.52</w:t>
            </w:r>
          </w:p>
        </w:tc>
        <w:tc>
          <w:tcPr/>
          <w:p>
            <w:pPr>
              <w:pStyle w:val="Compact"/>
              <w:jc w:val="right"/>
            </w:pPr>
            <w:r>
              <w:t xml:space="preserve">0.497</w:t>
            </w:r>
          </w:p>
        </w:tc>
        <w:tc>
          <w:tcPr/>
          <w:p>
            <w:pPr>
              <w:pStyle w:val="Compact"/>
              <w:jc w:val="right"/>
            </w:pPr>
            <w:r>
              <w:t xml:space="preserve">-0.023</w:t>
            </w:r>
          </w:p>
        </w:tc>
        <w:tc>
          <w:tcPr/>
          <w:p>
            <w:pPr>
              <w:pStyle w:val="Compact"/>
              <w:jc w:val="right"/>
            </w:pPr>
            <w:r>
              <w:t xml:space="preserve">-0.061</w:t>
            </w:r>
          </w:p>
        </w:tc>
        <w:tc>
          <w:tcPr/>
          <w:p>
            <w:pPr>
              <w:pStyle w:val="Compact"/>
              <w:jc w:val="right"/>
            </w:pPr>
            <w:r>
              <w:t xml:space="preserve">0.016</w:t>
            </w:r>
          </w:p>
        </w:tc>
        <w:tc>
          <w:tcPr/>
          <w:p>
            <w:pPr>
              <w:pStyle w:val="Compact"/>
              <w:jc w:val="left"/>
            </w:pPr>
            <w:r>
              <w:t xml:space="preserve">MAE</w:t>
            </w:r>
          </w:p>
        </w:tc>
        <w:tc>
          <w:tcPr/>
          <w:p>
            <w:pPr>
              <w:pStyle w:val="Compact"/>
              <w:jc w:val="left"/>
            </w:pPr>
            <w:r>
              <w:t xml:space="preserve">leave_one_anchor_year_out_cross_fitted_failed_minus_full</w:t>
            </w:r>
          </w:p>
        </w:tc>
        <w:tc>
          <w:tcPr/>
          <w:p>
            <w:pPr>
              <w:pStyle w:val="Compact"/>
              <w:jc w:val="left"/>
            </w:pPr>
            <w:r>
              <w:t xml:space="preserve">development_evaluation_cross_fit</w:t>
            </w:r>
          </w:p>
        </w:tc>
        <w:tc>
          <w:tcPr/>
          <w:p>
            <w:pPr>
              <w:pStyle w:val="Compact"/>
              <w:jc w:val="left"/>
            </w:pPr>
            <w:r>
              <w:t xml:space="preserve">post_hoc_non_oracle_sensitivity</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w:t>
            </w:r>
            <w:r>
              <w:t xml:space="preserve">“donor_regression”</w:t>
            </w:r>
            <w:r>
              <w:t xml:space="preserve">:30,</w:t>
            </w:r>
            <w:r>
              <w:t xml:space="preserve">“pchip”</w:t>
            </w:r>
            <w:r>
              <w:t xml:space="preserve">:10,</w:t>
            </w:r>
            <w:r>
              <w:t xml:space="preserve">“random_forest”</w:t>
            </w:r>
            <w:r>
              <w:t xml:space="preserve">:32,</w:t>
            </w:r>
            <w:r>
              <w:t xml:space="preserve">“xgboost”</w:t>
            </w:r>
            <w:r>
              <w:t xml:space="preserve">:8}</w:t>
            </w:r>
          </w:p>
        </w:tc>
        <w:tc>
          <w:tcPr/>
          <w:p>
            <w:pPr>
              <w:pStyle w:val="Compact"/>
              <w:jc w:val="left"/>
            </w:pPr>
            <w:r>
              <w:t xml:space="preserve">{</w:t>
            </w:r>
            <w:r>
              <w:t xml:space="preserve">“pchip”</w:t>
            </w:r>
            <w:r>
              <w:t xml:space="preserve">:10,</w:t>
            </w:r>
            <w:r>
              <w:t xml:space="preserve">“random_forest”</w:t>
            </w:r>
            <w:r>
              <w:t xml:space="preserve">:46,</w:t>
            </w:r>
            <w:r>
              <w:t xml:space="preserve">“xgboost”</w:t>
            </w:r>
            <w:r>
              <w:t xml:space="preserve">:24}</w:t>
            </w:r>
          </w:p>
        </w:tc>
        <w:tc>
          <w:tcPr/>
          <w:p>
            <w:pPr>
              <w:pStyle w:val="Compact"/>
              <w:jc w:val="right"/>
            </w:pPr>
            <w:r>
              <w:t xml:space="preserve">4</w:t>
            </w:r>
          </w:p>
        </w:tc>
        <w:tc>
          <w:tcPr/>
          <w:p>
            <w:pPr>
              <w:pStyle w:val="Compact"/>
              <w:jc w:val="right"/>
            </w:pPr>
            <w:r>
              <w:t xml:space="preserve">3</w:t>
            </w:r>
          </w:p>
        </w:tc>
        <w:tc>
          <w:tcPr/>
          <w:p>
            <w:pPr>
              <w:pStyle w:val="Compact"/>
              <w:jc w:val="right"/>
            </w:pPr>
            <w:r>
              <w:t xml:space="preserve">80</w:t>
            </w:r>
          </w:p>
        </w:tc>
        <w:tc>
          <w:tcPr/>
          <w:p>
            <w:pPr>
              <w:pStyle w:val="Compact"/>
              <w:jc w:val="left"/>
            </w:pPr>
            <w:r>
              <w:t xml:space="preserve">undefined</w:t>
            </w:r>
          </w:p>
        </w:tc>
      </w:tr>
      <w:tr>
        <w:tc>
          <w:tcPr/>
          <w:p>
            <w:pPr>
              <w:pStyle w:val="Compact"/>
              <w:jc w:val="left"/>
            </w:pPr>
            <w:r>
              <w:t xml:space="preserve">SCI_NET</w:t>
            </w:r>
          </w:p>
        </w:tc>
        <w:tc>
          <w:tcPr/>
          <w:p>
            <w:pPr>
              <w:pStyle w:val="Compact"/>
              <w:jc w:val="left"/>
            </w:pPr>
            <w:r>
              <w:t xml:space="preserve">matched_network</w:t>
            </w:r>
          </w:p>
        </w:tc>
        <w:tc>
          <w:tcPr/>
          <w:p>
            <w:pPr>
              <w:pStyle w:val="Compact"/>
              <w:jc w:val="left"/>
            </w:pPr>
            <w:r>
              <w:t xml:space="preserve">matched_target_gap</w:t>
            </w:r>
          </w:p>
        </w:tc>
        <w:tc>
          <w:tcPr/>
          <w:p>
            <w:pPr>
              <w:pStyle w:val="Compact"/>
              <w:jc w:val="left"/>
            </w:pPr>
            <w:r>
              <w:t xml:space="preserve">hydro-only</w:t>
            </w:r>
          </w:p>
        </w:tc>
        <w:tc>
          <w:tcPr/>
          <w:p>
            <w:pPr>
              <w:pStyle w:val="Compact"/>
              <w:jc w:val="left"/>
            </w:pPr>
            <w:r>
              <w:t xml:space="preserve">undefined</w:t>
            </w:r>
          </w:p>
        </w:tc>
        <w:tc>
          <w:tcPr/>
          <w:p>
            <w:pPr>
              <w:pStyle w:val="Compact"/>
              <w:jc w:val="left"/>
            </w:pPr>
            <w:r>
              <w:t xml:space="preserve">T</w:t>
            </w:r>
          </w:p>
        </w:tc>
        <w:tc>
          <w:tcPr/>
          <w:p>
            <w:pPr>
              <w:pStyle w:val="Compact"/>
              <w:jc w:val="right"/>
            </w:pPr>
            <w:r>
              <w:t xml:space="preserve">368</w:t>
            </w:r>
          </w:p>
        </w:tc>
        <w:tc>
          <w:tcPr/>
          <w:p>
            <w:pPr>
              <w:pStyle w:val="Compact"/>
              <w:jc w:val="left"/>
            </w:pPr>
            <w:r>
              <w:t xml:space="preserve">seen_length</w:t>
            </w:r>
          </w:p>
        </w:tc>
        <w:tc>
          <w:tcPr/>
          <w:p>
            <w:pPr>
              <w:pStyle w:val="Compact"/>
              <w:jc w:val="left"/>
            </w:pPr>
            <w:r>
              <w:t xml:space="preserve">train</w:t>
            </w:r>
          </w:p>
        </w:tc>
        <w:tc>
          <w:tcPr/>
          <w:p>
            <w:pPr>
              <w:pStyle w:val="Compact"/>
              <w:jc w:val="left"/>
            </w:pPr>
            <w:r>
              <w:t xml:space="preserve">validation</w:t>
            </w:r>
          </w:p>
        </w:tc>
        <w:tc>
          <w:tcPr/>
          <w:p>
            <w:pPr>
              <w:pStyle w:val="Compact"/>
              <w:jc w:val="left"/>
            </w:pPr>
            <w:r>
              <w:t xml:space="preserve">development_test</w:t>
            </w:r>
          </w:p>
        </w:tc>
        <w:tc>
          <w:tcPr/>
          <w:p>
            <w:pPr>
              <w:pStyle w:val="Compact"/>
              <w:jc w:val="left"/>
            </w:pPr>
            <w:r>
              <w:t xml:space="preserve">development_evaluation</w:t>
            </w:r>
          </w:p>
        </w:tc>
        <w:tc>
          <w:tcPr/>
          <w:p>
            <w:pPr>
              <w:pStyle w:val="Compact"/>
              <w:jc w:val="left"/>
            </w:pPr>
            <w:r>
              <w:t xml:space="preserve">B1</w:t>
            </w:r>
          </w:p>
        </w:tc>
        <w:tc>
          <w:tcPr/>
          <w:p>
            <w:pPr>
              <w:pStyle w:val="Compact"/>
              <w:jc w:val="left"/>
            </w:pPr>
            <w:r>
              <w:t xml:space="preserve">B1</w:t>
            </w:r>
          </w:p>
        </w:tc>
        <w:tc>
          <w:tcPr/>
          <w:p>
            <w:pPr>
              <w:pStyle w:val="Compact"/>
              <w:jc w:val="left"/>
            </w:pPr>
            <w:r>
              <w:t xml:space="preserve">T</w:t>
            </w:r>
          </w:p>
        </w:tc>
        <w:tc>
          <w:tcPr/>
          <w:p>
            <w:pPr>
              <w:pStyle w:val="Compact"/>
              <w:jc w:val="left"/>
            </w:pPr>
            <w:r>
              <w:t xml:space="preserve">cross_fitted_policy</w:t>
            </w:r>
          </w:p>
        </w:tc>
        <w:tc>
          <w:tcPr/>
          <w:p>
            <w:pPr>
              <w:pStyle w:val="Compact"/>
              <w:jc w:val="left"/>
            </w:pPr>
            <w:r>
              <w:t xml:space="preserve">P3</w:t>
            </w:r>
          </w:p>
        </w:tc>
        <w:tc>
          <w:tcPr/>
          <w:p>
            <w:pPr>
              <w:pStyle w:val="Compact"/>
              <w:jc w:val="right"/>
            </w:pPr>
            <w:r>
              <w:t xml:space="preserve">0.52</w:t>
            </w:r>
          </w:p>
        </w:tc>
        <w:tc>
          <w:tcPr/>
          <w:p>
            <w:pPr>
              <w:pStyle w:val="Compact"/>
              <w:jc w:val="right"/>
            </w:pPr>
            <w:r>
              <w:t xml:space="preserve">0.507</w:t>
            </w:r>
          </w:p>
        </w:tc>
        <w:tc>
          <w:tcPr/>
          <w:p>
            <w:pPr>
              <w:pStyle w:val="Compact"/>
              <w:jc w:val="right"/>
            </w:pPr>
            <w:r>
              <w:t xml:space="preserve">-0.013</w:t>
            </w:r>
          </w:p>
        </w:tc>
        <w:tc>
          <w:tcPr/>
          <w:p>
            <w:pPr>
              <w:pStyle w:val="Compact"/>
              <w:jc w:val="right"/>
            </w:pPr>
            <w:r>
              <w:t xml:space="preserve">-0.04</w:t>
            </w:r>
          </w:p>
        </w:tc>
        <w:tc>
          <w:tcPr/>
          <w:p>
            <w:pPr>
              <w:pStyle w:val="Compact"/>
              <w:jc w:val="right"/>
            </w:pPr>
            <w:r>
              <w:t xml:space="preserve">0.016</w:t>
            </w:r>
          </w:p>
        </w:tc>
        <w:tc>
          <w:tcPr/>
          <w:p>
            <w:pPr>
              <w:pStyle w:val="Compact"/>
              <w:jc w:val="left"/>
            </w:pPr>
            <w:r>
              <w:t xml:space="preserve">MAE</w:t>
            </w:r>
          </w:p>
        </w:tc>
        <w:tc>
          <w:tcPr/>
          <w:p>
            <w:pPr>
              <w:pStyle w:val="Compact"/>
              <w:jc w:val="left"/>
            </w:pPr>
            <w:r>
              <w:t xml:space="preserve">leave_one_anchor_year_out_cross_fitted_failed_minus_full</w:t>
            </w:r>
          </w:p>
        </w:tc>
        <w:tc>
          <w:tcPr/>
          <w:p>
            <w:pPr>
              <w:pStyle w:val="Compact"/>
              <w:jc w:val="left"/>
            </w:pPr>
            <w:r>
              <w:t xml:space="preserve">development_evaluation_cross_fit</w:t>
            </w:r>
          </w:p>
        </w:tc>
        <w:tc>
          <w:tcPr/>
          <w:p>
            <w:pPr>
              <w:pStyle w:val="Compact"/>
              <w:jc w:val="left"/>
            </w:pPr>
            <w:r>
              <w:t xml:space="preserve">post_hoc_non_oracle_sensitivity</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w:t>
            </w:r>
            <w:r>
              <w:t xml:space="preserve">“donor_regression”</w:t>
            </w:r>
            <w:r>
              <w:t xml:space="preserve">:30,</w:t>
            </w:r>
            <w:r>
              <w:t xml:space="preserve">“pchip”</w:t>
            </w:r>
            <w:r>
              <w:t xml:space="preserve">:10,</w:t>
            </w:r>
            <w:r>
              <w:t xml:space="preserve">“random_forest”</w:t>
            </w:r>
            <w:r>
              <w:t xml:space="preserve">:32,</w:t>
            </w:r>
            <w:r>
              <w:t xml:space="preserve">“xgboost”</w:t>
            </w:r>
            <w:r>
              <w:t xml:space="preserve">:8}</w:t>
            </w:r>
          </w:p>
        </w:tc>
        <w:tc>
          <w:tcPr/>
          <w:p>
            <w:pPr>
              <w:pStyle w:val="Compact"/>
              <w:jc w:val="left"/>
            </w:pPr>
            <w:r>
              <w:t xml:space="preserve">{</w:t>
            </w:r>
            <w:r>
              <w:t xml:space="preserve">“donor_regression”</w:t>
            </w:r>
            <w:r>
              <w:t xml:space="preserve">:70,</w:t>
            </w:r>
            <w:r>
              <w:t xml:space="preserve">“pchip”</w:t>
            </w:r>
            <w:r>
              <w:t xml:space="preserve">:10}</w:t>
            </w:r>
          </w:p>
        </w:tc>
        <w:tc>
          <w:tcPr/>
          <w:p>
            <w:pPr>
              <w:pStyle w:val="Compact"/>
              <w:jc w:val="right"/>
            </w:pPr>
            <w:r>
              <w:t xml:space="preserve">4</w:t>
            </w:r>
          </w:p>
        </w:tc>
        <w:tc>
          <w:tcPr/>
          <w:p>
            <w:pPr>
              <w:pStyle w:val="Compact"/>
              <w:jc w:val="right"/>
            </w:pPr>
            <w:r>
              <w:t xml:space="preserve">3</w:t>
            </w:r>
          </w:p>
        </w:tc>
        <w:tc>
          <w:tcPr/>
          <w:p>
            <w:pPr>
              <w:pStyle w:val="Compact"/>
              <w:jc w:val="right"/>
            </w:pPr>
            <w:r>
              <w:t xml:space="preserve">80</w:t>
            </w:r>
          </w:p>
        </w:tc>
        <w:tc>
          <w:tcPr/>
          <w:p>
            <w:pPr>
              <w:pStyle w:val="Compact"/>
              <w:jc w:val="left"/>
            </w:pPr>
            <w:r>
              <w:t xml:space="preserve">undefined</w:t>
            </w:r>
          </w:p>
        </w:tc>
      </w:tr>
      <w:tr>
        <w:tc>
          <w:tcPr/>
          <w:p>
            <w:pPr>
              <w:pStyle w:val="Compact"/>
              <w:jc w:val="left"/>
            </w:pPr>
            <w:r>
              <w:t xml:space="preserve">SCI_NET</w:t>
            </w:r>
          </w:p>
        </w:tc>
        <w:tc>
          <w:tcPr/>
          <w:p>
            <w:pPr>
              <w:pStyle w:val="Compact"/>
              <w:jc w:val="left"/>
            </w:pPr>
            <w:r>
              <w:t xml:space="preserve">matched_network</w:t>
            </w:r>
          </w:p>
        </w:tc>
        <w:tc>
          <w:tcPr/>
          <w:p>
            <w:pPr>
              <w:pStyle w:val="Compact"/>
              <w:jc w:val="left"/>
            </w:pPr>
            <w:r>
              <w:t xml:space="preserve">matched_target_gap</w:t>
            </w:r>
          </w:p>
        </w:tc>
        <w:tc>
          <w:tcPr/>
          <w:p>
            <w:pPr>
              <w:pStyle w:val="Compact"/>
              <w:jc w:val="left"/>
            </w:pPr>
            <w:r>
              <w:t xml:space="preserve">hydro-only</w:t>
            </w:r>
          </w:p>
        </w:tc>
        <w:tc>
          <w:tcPr/>
          <w:p>
            <w:pPr>
              <w:pStyle w:val="Compact"/>
              <w:jc w:val="left"/>
            </w:pPr>
            <w:r>
              <w:t xml:space="preserve">undefined</w:t>
            </w:r>
          </w:p>
        </w:tc>
        <w:tc>
          <w:tcPr/>
          <w:p>
            <w:pPr>
              <w:pStyle w:val="Compact"/>
              <w:jc w:val="left"/>
            </w:pPr>
            <w:r>
              <w:t xml:space="preserve">T</w:t>
            </w:r>
          </w:p>
        </w:tc>
        <w:tc>
          <w:tcPr/>
          <w:p>
            <w:pPr>
              <w:pStyle w:val="Compact"/>
              <w:jc w:val="right"/>
            </w:pPr>
            <w:r>
              <w:t xml:space="preserve">368</w:t>
            </w:r>
          </w:p>
        </w:tc>
        <w:tc>
          <w:tcPr/>
          <w:p>
            <w:pPr>
              <w:pStyle w:val="Compact"/>
              <w:jc w:val="left"/>
            </w:pPr>
            <w:r>
              <w:t xml:space="preserve">seen_length</w:t>
            </w:r>
          </w:p>
        </w:tc>
        <w:tc>
          <w:tcPr/>
          <w:p>
            <w:pPr>
              <w:pStyle w:val="Compact"/>
              <w:jc w:val="left"/>
            </w:pPr>
            <w:r>
              <w:t xml:space="preserve">train</w:t>
            </w:r>
          </w:p>
        </w:tc>
        <w:tc>
          <w:tcPr/>
          <w:p>
            <w:pPr>
              <w:pStyle w:val="Compact"/>
              <w:jc w:val="left"/>
            </w:pPr>
            <w:r>
              <w:t xml:space="preserve">validation</w:t>
            </w:r>
          </w:p>
        </w:tc>
        <w:tc>
          <w:tcPr/>
          <w:p>
            <w:pPr>
              <w:pStyle w:val="Compact"/>
              <w:jc w:val="left"/>
            </w:pPr>
            <w:r>
              <w:t xml:space="preserve">development_test</w:t>
            </w:r>
          </w:p>
        </w:tc>
        <w:tc>
          <w:tcPr/>
          <w:p>
            <w:pPr>
              <w:pStyle w:val="Compact"/>
              <w:jc w:val="left"/>
            </w:pPr>
            <w:r>
              <w:t xml:space="preserve">development_evaluation</w:t>
            </w:r>
          </w:p>
        </w:tc>
        <w:tc>
          <w:tcPr/>
          <w:p>
            <w:pPr>
              <w:pStyle w:val="Compact"/>
              <w:jc w:val="left"/>
            </w:pPr>
            <w:r>
              <w:t xml:space="preserve">B1</w:t>
            </w:r>
          </w:p>
        </w:tc>
        <w:tc>
          <w:tcPr/>
          <w:p>
            <w:pPr>
              <w:pStyle w:val="Compact"/>
              <w:jc w:val="left"/>
            </w:pPr>
            <w:r>
              <w:t xml:space="preserve">B1</w:t>
            </w:r>
          </w:p>
        </w:tc>
        <w:tc>
          <w:tcPr/>
          <w:p>
            <w:pPr>
              <w:pStyle w:val="Compact"/>
              <w:jc w:val="left"/>
            </w:pPr>
            <w:r>
              <w:t xml:space="preserve">T</w:t>
            </w:r>
          </w:p>
        </w:tc>
        <w:tc>
          <w:tcPr/>
          <w:p>
            <w:pPr>
              <w:pStyle w:val="Compact"/>
              <w:jc w:val="left"/>
            </w:pPr>
            <w:r>
              <w:t xml:space="preserve">cross_fitted_policy</w:t>
            </w:r>
          </w:p>
        </w:tc>
        <w:tc>
          <w:tcPr/>
          <w:p>
            <w:pPr>
              <w:pStyle w:val="Compact"/>
              <w:jc w:val="left"/>
            </w:pPr>
            <w:r>
              <w:t xml:space="preserve">S2</w:t>
            </w:r>
          </w:p>
        </w:tc>
        <w:tc>
          <w:tcPr/>
          <w:p>
            <w:pPr>
              <w:pStyle w:val="Compact"/>
              <w:jc w:val="right"/>
            </w:pPr>
            <w:r>
              <w:t xml:space="preserve">0.52</w:t>
            </w:r>
          </w:p>
        </w:tc>
        <w:tc>
          <w:tcPr/>
          <w:p>
            <w:pPr>
              <w:pStyle w:val="Compact"/>
              <w:jc w:val="right"/>
            </w:pPr>
            <w:r>
              <w:t xml:space="preserve">0.625</w:t>
            </w:r>
          </w:p>
        </w:tc>
        <w:tc>
          <w:tcPr/>
          <w:p>
            <w:pPr>
              <w:pStyle w:val="Compact"/>
              <w:jc w:val="right"/>
            </w:pPr>
            <w:r>
              <w:t xml:space="preserve">0.105</w:t>
            </w:r>
          </w:p>
        </w:tc>
        <w:tc>
          <w:tcPr/>
          <w:p>
            <w:pPr>
              <w:pStyle w:val="Compact"/>
              <w:jc w:val="right"/>
            </w:pPr>
            <w:r>
              <w:t xml:space="preserve">0.044</w:t>
            </w:r>
          </w:p>
        </w:tc>
        <w:tc>
          <w:tcPr/>
          <w:p>
            <w:pPr>
              <w:pStyle w:val="Compact"/>
              <w:jc w:val="right"/>
            </w:pPr>
            <w:r>
              <w:t xml:space="preserve">0.169</w:t>
            </w:r>
          </w:p>
        </w:tc>
        <w:tc>
          <w:tcPr/>
          <w:p>
            <w:pPr>
              <w:pStyle w:val="Compact"/>
              <w:jc w:val="left"/>
            </w:pPr>
            <w:r>
              <w:t xml:space="preserve">MAE</w:t>
            </w:r>
          </w:p>
        </w:tc>
        <w:tc>
          <w:tcPr/>
          <w:p>
            <w:pPr>
              <w:pStyle w:val="Compact"/>
              <w:jc w:val="left"/>
            </w:pPr>
            <w:r>
              <w:t xml:space="preserve">leave_one_anchor_year_out_cross_fitted_failed_minus_full</w:t>
            </w:r>
          </w:p>
        </w:tc>
        <w:tc>
          <w:tcPr/>
          <w:p>
            <w:pPr>
              <w:pStyle w:val="Compact"/>
              <w:jc w:val="left"/>
            </w:pPr>
            <w:r>
              <w:t xml:space="preserve">development_evaluation_cross_fit</w:t>
            </w:r>
          </w:p>
        </w:tc>
        <w:tc>
          <w:tcPr/>
          <w:p>
            <w:pPr>
              <w:pStyle w:val="Compact"/>
              <w:jc w:val="left"/>
            </w:pPr>
            <w:r>
              <w:t xml:space="preserve">post_hoc_non_oracle_sensitivity</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w:t>
            </w:r>
            <w:r>
              <w:t xml:space="preserve">“donor_regression”</w:t>
            </w:r>
            <w:r>
              <w:t xml:space="preserve">:30,</w:t>
            </w:r>
            <w:r>
              <w:t xml:space="preserve">“pchip”</w:t>
            </w:r>
            <w:r>
              <w:t xml:space="preserve">:10,</w:t>
            </w:r>
            <w:r>
              <w:t xml:space="preserve">“random_forest”</w:t>
            </w:r>
            <w:r>
              <w:t xml:space="preserve">:32,</w:t>
            </w:r>
            <w:r>
              <w:t xml:space="preserve">“xgboost”</w:t>
            </w:r>
            <w:r>
              <w:t xml:space="preserve">:8}</w:t>
            </w:r>
          </w:p>
        </w:tc>
        <w:tc>
          <w:tcPr/>
          <w:p>
            <w:pPr>
              <w:pStyle w:val="Compact"/>
              <w:jc w:val="left"/>
            </w:pPr>
            <w:r>
              <w:t xml:space="preserve">{</w:t>
            </w:r>
            <w:r>
              <w:t xml:space="preserve">“air_only”</w:t>
            </w:r>
            <w:r>
              <w:t xml:space="preserve">:38,</w:t>
            </w:r>
            <w:r>
              <w:t xml:space="preserve">“climatology”</w:t>
            </w:r>
            <w:r>
              <w:t xml:space="preserve">:10,</w:t>
            </w:r>
            <w:r>
              <w:t xml:space="preserve">“kalman”</w:t>
            </w:r>
            <w:r>
              <w:t xml:space="preserve">:10,</w:t>
            </w:r>
            <w:r>
              <w:t xml:space="preserve">“linear”</w:t>
            </w:r>
            <w:r>
              <w:t xml:space="preserve">:12,</w:t>
            </w:r>
            <w:r>
              <w:t xml:space="preserve">“pchip”</w:t>
            </w:r>
            <w:r>
              <w:t xml:space="preserve">:10}</w:t>
            </w:r>
          </w:p>
        </w:tc>
        <w:tc>
          <w:tcPr/>
          <w:p>
            <w:pPr>
              <w:pStyle w:val="Compact"/>
              <w:jc w:val="right"/>
            </w:pPr>
            <w:r>
              <w:t xml:space="preserve">4</w:t>
            </w:r>
          </w:p>
        </w:tc>
        <w:tc>
          <w:tcPr/>
          <w:p>
            <w:pPr>
              <w:pStyle w:val="Compact"/>
              <w:jc w:val="right"/>
            </w:pPr>
            <w:r>
              <w:t xml:space="preserve">3</w:t>
            </w:r>
          </w:p>
        </w:tc>
        <w:tc>
          <w:tcPr/>
          <w:p>
            <w:pPr>
              <w:pStyle w:val="Compact"/>
              <w:jc w:val="right"/>
            </w:pPr>
            <w:r>
              <w:t xml:space="preserve">80</w:t>
            </w:r>
          </w:p>
        </w:tc>
        <w:tc>
          <w:tcPr/>
          <w:p>
            <w:pPr>
              <w:pStyle w:val="Compact"/>
              <w:jc w:val="left"/>
            </w:pPr>
            <w:r>
              <w:t xml:space="preserve">undefined</w:t>
            </w:r>
          </w:p>
        </w:tc>
      </w:tr>
      <w:tr>
        <w:tc>
          <w:tcPr/>
          <w:p>
            <w:pPr>
              <w:pStyle w:val="Compact"/>
              <w:jc w:val="left"/>
            </w:pPr>
            <w:r>
              <w:t xml:space="preserve">SCI_NET</w:t>
            </w:r>
          </w:p>
        </w:tc>
        <w:tc>
          <w:tcPr/>
          <w:p>
            <w:pPr>
              <w:pStyle w:val="Compact"/>
              <w:jc w:val="left"/>
            </w:pPr>
            <w:r>
              <w:t xml:space="preserve">matched_network</w:t>
            </w:r>
          </w:p>
        </w:tc>
        <w:tc>
          <w:tcPr/>
          <w:p>
            <w:pPr>
              <w:pStyle w:val="Compact"/>
              <w:jc w:val="left"/>
            </w:pPr>
            <w:r>
              <w:t xml:space="preserve">matched_target_gap</w:t>
            </w:r>
          </w:p>
        </w:tc>
        <w:tc>
          <w:tcPr/>
          <w:p>
            <w:pPr>
              <w:pStyle w:val="Compact"/>
              <w:jc w:val="left"/>
            </w:pPr>
            <w:r>
              <w:t xml:space="preserve">hydro-only</w:t>
            </w:r>
          </w:p>
        </w:tc>
        <w:tc>
          <w:tcPr/>
          <w:p>
            <w:pPr>
              <w:pStyle w:val="Compact"/>
              <w:jc w:val="left"/>
            </w:pPr>
            <w:r>
              <w:t xml:space="preserve">undefined</w:t>
            </w:r>
          </w:p>
        </w:tc>
        <w:tc>
          <w:tcPr/>
          <w:p>
            <w:pPr>
              <w:pStyle w:val="Compact"/>
              <w:jc w:val="left"/>
            </w:pPr>
            <w:r>
              <w:t xml:space="preserve">T</w:t>
            </w:r>
          </w:p>
        </w:tc>
        <w:tc>
          <w:tcPr/>
          <w:p>
            <w:pPr>
              <w:pStyle w:val="Compact"/>
              <w:jc w:val="right"/>
            </w:pPr>
            <w:r>
              <w:t xml:space="preserve">368</w:t>
            </w:r>
          </w:p>
        </w:tc>
        <w:tc>
          <w:tcPr/>
          <w:p>
            <w:pPr>
              <w:pStyle w:val="Compact"/>
              <w:jc w:val="left"/>
            </w:pPr>
            <w:r>
              <w:t xml:space="preserve">seen_length</w:t>
            </w:r>
          </w:p>
        </w:tc>
        <w:tc>
          <w:tcPr/>
          <w:p>
            <w:pPr>
              <w:pStyle w:val="Compact"/>
              <w:jc w:val="left"/>
            </w:pPr>
            <w:r>
              <w:t xml:space="preserve">train</w:t>
            </w:r>
          </w:p>
        </w:tc>
        <w:tc>
          <w:tcPr/>
          <w:p>
            <w:pPr>
              <w:pStyle w:val="Compact"/>
              <w:jc w:val="left"/>
            </w:pPr>
            <w:r>
              <w:t xml:space="preserve">validation</w:t>
            </w:r>
          </w:p>
        </w:tc>
        <w:tc>
          <w:tcPr/>
          <w:p>
            <w:pPr>
              <w:pStyle w:val="Compact"/>
              <w:jc w:val="left"/>
            </w:pPr>
            <w:r>
              <w:t xml:space="preserve">development_test</w:t>
            </w:r>
          </w:p>
        </w:tc>
        <w:tc>
          <w:tcPr/>
          <w:p>
            <w:pPr>
              <w:pStyle w:val="Compact"/>
              <w:jc w:val="left"/>
            </w:pPr>
            <w:r>
              <w:t xml:space="preserve">development_evaluation</w:t>
            </w:r>
          </w:p>
        </w:tc>
        <w:tc>
          <w:tcPr/>
          <w:p>
            <w:pPr>
              <w:pStyle w:val="Compact"/>
              <w:jc w:val="left"/>
            </w:pPr>
            <w:r>
              <w:t xml:space="preserve">P3</w:t>
            </w:r>
          </w:p>
        </w:tc>
        <w:tc>
          <w:tcPr/>
          <w:p>
            <w:pPr>
              <w:pStyle w:val="Compact"/>
              <w:jc w:val="left"/>
            </w:pPr>
            <w:r>
              <w:t xml:space="preserve">P3</w:t>
            </w:r>
          </w:p>
        </w:tc>
        <w:tc>
          <w:tcPr/>
          <w:p>
            <w:pPr>
              <w:pStyle w:val="Compact"/>
              <w:jc w:val="left"/>
            </w:pPr>
            <w:r>
              <w:t xml:space="preserve">T</w:t>
            </w:r>
          </w:p>
        </w:tc>
        <w:tc>
          <w:tcPr/>
          <w:p>
            <w:pPr>
              <w:pStyle w:val="Compact"/>
              <w:jc w:val="left"/>
            </w:pPr>
            <w:r>
              <w:t xml:space="preserve">cross_fitted_policy</w:t>
            </w:r>
          </w:p>
        </w:tc>
        <w:tc>
          <w:tcPr/>
          <w:p>
            <w:pPr>
              <w:pStyle w:val="Compact"/>
              <w:jc w:val="left"/>
            </w:pPr>
            <w:r>
              <w:t xml:space="preserve">B1</w:t>
            </w:r>
          </w:p>
        </w:tc>
        <w:tc>
          <w:tcPr/>
          <w:p>
            <w:pPr>
              <w:pStyle w:val="Compact"/>
              <w:jc w:val="right"/>
            </w:pPr>
            <w:r>
              <w:t xml:space="preserve">0.489</w:t>
            </w:r>
          </w:p>
        </w:tc>
        <w:tc>
          <w:tcPr/>
          <w:p>
            <w:pPr>
              <w:pStyle w:val="Compact"/>
              <w:jc w:val="right"/>
            </w:pPr>
            <w:r>
              <w:t xml:space="preserve">0.547</w:t>
            </w:r>
          </w:p>
        </w:tc>
        <w:tc>
          <w:tcPr/>
          <w:p>
            <w:pPr>
              <w:pStyle w:val="Compact"/>
              <w:jc w:val="right"/>
            </w:pPr>
            <w:r>
              <w:t xml:space="preserve">0.058</w:t>
            </w:r>
          </w:p>
        </w:tc>
        <w:tc>
          <w:tcPr/>
          <w:p>
            <w:pPr>
              <w:pStyle w:val="Compact"/>
              <w:jc w:val="right"/>
            </w:pPr>
            <w:r>
              <w:t xml:space="preserve">0.01</w:t>
            </w:r>
          </w:p>
        </w:tc>
        <w:tc>
          <w:tcPr/>
          <w:p>
            <w:pPr>
              <w:pStyle w:val="Compact"/>
              <w:jc w:val="right"/>
            </w:pPr>
            <w:r>
              <w:t xml:space="preserve">0.119</w:t>
            </w:r>
          </w:p>
        </w:tc>
        <w:tc>
          <w:tcPr/>
          <w:p>
            <w:pPr>
              <w:pStyle w:val="Compact"/>
              <w:jc w:val="left"/>
            </w:pPr>
            <w:r>
              <w:t xml:space="preserve">MAE</w:t>
            </w:r>
          </w:p>
        </w:tc>
        <w:tc>
          <w:tcPr/>
          <w:p>
            <w:pPr>
              <w:pStyle w:val="Compact"/>
              <w:jc w:val="left"/>
            </w:pPr>
            <w:r>
              <w:t xml:space="preserve">leave_one_anchor_year_out_cross_fitted_failed_minus_full</w:t>
            </w:r>
          </w:p>
        </w:tc>
        <w:tc>
          <w:tcPr/>
          <w:p>
            <w:pPr>
              <w:pStyle w:val="Compact"/>
              <w:jc w:val="left"/>
            </w:pPr>
            <w:r>
              <w:t xml:space="preserve">development_evaluation_cross_fit</w:t>
            </w:r>
          </w:p>
        </w:tc>
        <w:tc>
          <w:tcPr/>
          <w:p>
            <w:pPr>
              <w:pStyle w:val="Compact"/>
              <w:jc w:val="left"/>
            </w:pPr>
            <w:r>
              <w:t xml:space="preserve">post_hoc_non_oracle_sensitivity</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w:t>
            </w:r>
            <w:r>
              <w:t xml:space="preserve">“kalman”</w:t>
            </w:r>
            <w:r>
              <w:t xml:space="preserve">:54,</w:t>
            </w:r>
            <w:r>
              <w:t xml:space="preserve">“linear”</w:t>
            </w:r>
            <w:r>
              <w:t xml:space="preserve">:6,</w:t>
            </w:r>
            <w:r>
              <w:t xml:space="preserve">“xgboost”</w:t>
            </w:r>
            <w:r>
              <w:t xml:space="preserve">:20}</w:t>
            </w:r>
          </w:p>
        </w:tc>
        <w:tc>
          <w:tcPr/>
          <w:p>
            <w:pPr>
              <w:pStyle w:val="Compact"/>
              <w:jc w:val="left"/>
            </w:pPr>
            <w:r>
              <w:t xml:space="preserve">{</w:t>
            </w:r>
            <w:r>
              <w:t xml:space="preserve">“donor_regression”</w:t>
            </w:r>
            <w:r>
              <w:t xml:space="preserve">:12,</w:t>
            </w:r>
            <w:r>
              <w:t xml:space="preserve">“kalman”</w:t>
            </w:r>
            <w:r>
              <w:t xml:space="preserve">:62,</w:t>
            </w:r>
            <w:r>
              <w:t xml:space="preserve">“linear”</w:t>
            </w:r>
            <w:r>
              <w:t xml:space="preserve">:6}</w:t>
            </w:r>
          </w:p>
        </w:tc>
        <w:tc>
          <w:tcPr/>
          <w:p>
            <w:pPr>
              <w:pStyle w:val="Compact"/>
              <w:jc w:val="right"/>
            </w:pPr>
            <w:r>
              <w:t xml:space="preserve">4</w:t>
            </w:r>
          </w:p>
        </w:tc>
        <w:tc>
          <w:tcPr/>
          <w:p>
            <w:pPr>
              <w:pStyle w:val="Compact"/>
              <w:jc w:val="right"/>
            </w:pPr>
            <w:r>
              <w:t xml:space="preserve">3</w:t>
            </w:r>
          </w:p>
        </w:tc>
        <w:tc>
          <w:tcPr/>
          <w:p>
            <w:pPr>
              <w:pStyle w:val="Compact"/>
              <w:jc w:val="right"/>
            </w:pPr>
            <w:r>
              <w:t xml:space="preserve">80</w:t>
            </w:r>
          </w:p>
        </w:tc>
        <w:tc>
          <w:tcPr/>
          <w:p>
            <w:pPr>
              <w:pStyle w:val="Compact"/>
              <w:jc w:val="left"/>
            </w:pPr>
            <w:r>
              <w:t xml:space="preserve">undefined</w:t>
            </w:r>
          </w:p>
        </w:tc>
      </w:tr>
      <w:tr>
        <w:tc>
          <w:tcPr/>
          <w:p>
            <w:pPr>
              <w:pStyle w:val="Compact"/>
              <w:jc w:val="left"/>
            </w:pPr>
            <w:r>
              <w:t xml:space="preserve">SCI_NET</w:t>
            </w:r>
          </w:p>
        </w:tc>
        <w:tc>
          <w:tcPr/>
          <w:p>
            <w:pPr>
              <w:pStyle w:val="Compact"/>
              <w:jc w:val="left"/>
            </w:pPr>
            <w:r>
              <w:t xml:space="preserve">matched_network</w:t>
            </w:r>
          </w:p>
        </w:tc>
        <w:tc>
          <w:tcPr/>
          <w:p>
            <w:pPr>
              <w:pStyle w:val="Compact"/>
              <w:jc w:val="left"/>
            </w:pPr>
            <w:r>
              <w:t xml:space="preserve">matched_target_gap</w:t>
            </w:r>
          </w:p>
        </w:tc>
        <w:tc>
          <w:tcPr/>
          <w:p>
            <w:pPr>
              <w:pStyle w:val="Compact"/>
              <w:jc w:val="left"/>
            </w:pPr>
            <w:r>
              <w:t xml:space="preserve">hydro-only</w:t>
            </w:r>
          </w:p>
        </w:tc>
        <w:tc>
          <w:tcPr/>
          <w:p>
            <w:pPr>
              <w:pStyle w:val="Compact"/>
              <w:jc w:val="left"/>
            </w:pPr>
            <w:r>
              <w:t xml:space="preserve">undefined</w:t>
            </w:r>
          </w:p>
        </w:tc>
        <w:tc>
          <w:tcPr/>
          <w:p>
            <w:pPr>
              <w:pStyle w:val="Compact"/>
              <w:jc w:val="left"/>
            </w:pPr>
            <w:r>
              <w:t xml:space="preserve">T</w:t>
            </w:r>
          </w:p>
        </w:tc>
        <w:tc>
          <w:tcPr/>
          <w:p>
            <w:pPr>
              <w:pStyle w:val="Compact"/>
              <w:jc w:val="right"/>
            </w:pPr>
            <w:r>
              <w:t xml:space="preserve">368</w:t>
            </w:r>
          </w:p>
        </w:tc>
        <w:tc>
          <w:tcPr/>
          <w:p>
            <w:pPr>
              <w:pStyle w:val="Compact"/>
              <w:jc w:val="left"/>
            </w:pPr>
            <w:r>
              <w:t xml:space="preserve">seen_length</w:t>
            </w:r>
          </w:p>
        </w:tc>
        <w:tc>
          <w:tcPr/>
          <w:p>
            <w:pPr>
              <w:pStyle w:val="Compact"/>
              <w:jc w:val="left"/>
            </w:pPr>
            <w:r>
              <w:t xml:space="preserve">train</w:t>
            </w:r>
          </w:p>
        </w:tc>
        <w:tc>
          <w:tcPr/>
          <w:p>
            <w:pPr>
              <w:pStyle w:val="Compact"/>
              <w:jc w:val="left"/>
            </w:pPr>
            <w:r>
              <w:t xml:space="preserve">validation</w:t>
            </w:r>
          </w:p>
        </w:tc>
        <w:tc>
          <w:tcPr/>
          <w:p>
            <w:pPr>
              <w:pStyle w:val="Compact"/>
              <w:jc w:val="left"/>
            </w:pPr>
            <w:r>
              <w:t xml:space="preserve">development_test</w:t>
            </w:r>
          </w:p>
        </w:tc>
        <w:tc>
          <w:tcPr/>
          <w:p>
            <w:pPr>
              <w:pStyle w:val="Compact"/>
              <w:jc w:val="left"/>
            </w:pPr>
            <w:r>
              <w:t xml:space="preserve">development_evaluation</w:t>
            </w:r>
          </w:p>
        </w:tc>
        <w:tc>
          <w:tcPr/>
          <w:p>
            <w:pPr>
              <w:pStyle w:val="Compact"/>
              <w:jc w:val="left"/>
            </w:pPr>
            <w:r>
              <w:t xml:space="preserve">P3</w:t>
            </w:r>
          </w:p>
        </w:tc>
        <w:tc>
          <w:tcPr/>
          <w:p>
            <w:pPr>
              <w:pStyle w:val="Compact"/>
              <w:jc w:val="left"/>
            </w:pPr>
            <w:r>
              <w:t xml:space="preserve">P3</w:t>
            </w:r>
          </w:p>
        </w:tc>
        <w:tc>
          <w:tcPr/>
          <w:p>
            <w:pPr>
              <w:pStyle w:val="Compact"/>
              <w:jc w:val="left"/>
            </w:pPr>
            <w:r>
              <w:t xml:space="preserve">T</w:t>
            </w:r>
          </w:p>
        </w:tc>
        <w:tc>
          <w:tcPr/>
          <w:p>
            <w:pPr>
              <w:pStyle w:val="Compact"/>
              <w:jc w:val="left"/>
            </w:pPr>
            <w:r>
              <w:t xml:space="preserve">cross_fitted_policy</w:t>
            </w:r>
          </w:p>
        </w:tc>
        <w:tc>
          <w:tcPr/>
          <w:p>
            <w:pPr>
              <w:pStyle w:val="Compact"/>
              <w:jc w:val="left"/>
            </w:pPr>
            <w:r>
              <w:t xml:space="preserve">P3</w:t>
            </w:r>
          </w:p>
        </w:tc>
        <w:tc>
          <w:tcPr/>
          <w:p>
            <w:pPr>
              <w:pStyle w:val="Compact"/>
              <w:jc w:val="right"/>
            </w:pPr>
            <w:r>
              <w:t xml:space="preserve">0.489</w:t>
            </w:r>
          </w:p>
        </w:tc>
        <w:tc>
          <w:tcPr/>
          <w:p>
            <w:pPr>
              <w:pStyle w:val="Compact"/>
              <w:jc w:val="right"/>
            </w:pPr>
            <w:r>
              <w:t xml:space="preserve">0.5</w:t>
            </w:r>
          </w:p>
        </w:tc>
        <w:tc>
          <w:tcPr/>
          <w:p>
            <w:pPr>
              <w:pStyle w:val="Compact"/>
              <w:jc w:val="right"/>
            </w:pPr>
            <w:r>
              <w:t xml:space="preserve">0.011</w:t>
            </w:r>
          </w:p>
        </w:tc>
        <w:tc>
          <w:tcPr/>
          <w:p>
            <w:pPr>
              <w:pStyle w:val="Compact"/>
              <w:jc w:val="right"/>
            </w:pPr>
            <w:r>
              <w:t xml:space="preserve">0.005</w:t>
            </w:r>
          </w:p>
        </w:tc>
        <w:tc>
          <w:tcPr/>
          <w:p>
            <w:pPr>
              <w:pStyle w:val="Compact"/>
              <w:jc w:val="right"/>
            </w:pPr>
            <w:r>
              <w:t xml:space="preserve">0.018</w:t>
            </w:r>
          </w:p>
        </w:tc>
        <w:tc>
          <w:tcPr/>
          <w:p>
            <w:pPr>
              <w:pStyle w:val="Compact"/>
              <w:jc w:val="left"/>
            </w:pPr>
            <w:r>
              <w:t xml:space="preserve">MAE</w:t>
            </w:r>
          </w:p>
        </w:tc>
        <w:tc>
          <w:tcPr/>
          <w:p>
            <w:pPr>
              <w:pStyle w:val="Compact"/>
              <w:jc w:val="left"/>
            </w:pPr>
            <w:r>
              <w:t xml:space="preserve">leave_one_anchor_year_out_cross_fitted_failed_minus_full</w:t>
            </w:r>
          </w:p>
        </w:tc>
        <w:tc>
          <w:tcPr/>
          <w:p>
            <w:pPr>
              <w:pStyle w:val="Compact"/>
              <w:jc w:val="left"/>
            </w:pPr>
            <w:r>
              <w:t xml:space="preserve">development_evaluation_cross_fit</w:t>
            </w:r>
          </w:p>
        </w:tc>
        <w:tc>
          <w:tcPr/>
          <w:p>
            <w:pPr>
              <w:pStyle w:val="Compact"/>
              <w:jc w:val="left"/>
            </w:pPr>
            <w:r>
              <w:t xml:space="preserve">post_hoc_non_oracle_sensitivity</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w:t>
            </w:r>
            <w:r>
              <w:t xml:space="preserve">“kalman”</w:t>
            </w:r>
            <w:r>
              <w:t xml:space="preserve">:54,</w:t>
            </w:r>
            <w:r>
              <w:t xml:space="preserve">“linear”</w:t>
            </w:r>
            <w:r>
              <w:t xml:space="preserve">:6,</w:t>
            </w:r>
            <w:r>
              <w:t xml:space="preserve">“xgboost”</w:t>
            </w:r>
            <w:r>
              <w:t xml:space="preserve">:20}</w:t>
            </w:r>
          </w:p>
        </w:tc>
        <w:tc>
          <w:tcPr/>
          <w:p>
            <w:pPr>
              <w:pStyle w:val="Compact"/>
              <w:jc w:val="left"/>
            </w:pPr>
            <w:r>
              <w:t xml:space="preserve">{</w:t>
            </w:r>
            <w:r>
              <w:t xml:space="preserve">“kalman”</w:t>
            </w:r>
            <w:r>
              <w:t xml:space="preserve">:54,</w:t>
            </w:r>
            <w:r>
              <w:t xml:space="preserve">“linear”</w:t>
            </w:r>
            <w:r>
              <w:t xml:space="preserve">:6,</w:t>
            </w:r>
            <w:r>
              <w:t xml:space="preserve">“xgboost”</w:t>
            </w:r>
            <w:r>
              <w:t xml:space="preserve">:20}</w:t>
            </w:r>
          </w:p>
        </w:tc>
        <w:tc>
          <w:tcPr/>
          <w:p>
            <w:pPr>
              <w:pStyle w:val="Compact"/>
              <w:jc w:val="right"/>
            </w:pPr>
            <w:r>
              <w:t xml:space="preserve">4</w:t>
            </w:r>
          </w:p>
        </w:tc>
        <w:tc>
          <w:tcPr/>
          <w:p>
            <w:pPr>
              <w:pStyle w:val="Compact"/>
              <w:jc w:val="right"/>
            </w:pPr>
            <w:r>
              <w:t xml:space="preserve">3</w:t>
            </w:r>
          </w:p>
        </w:tc>
        <w:tc>
          <w:tcPr/>
          <w:p>
            <w:pPr>
              <w:pStyle w:val="Compact"/>
              <w:jc w:val="right"/>
            </w:pPr>
            <w:r>
              <w:t xml:space="preserve">80</w:t>
            </w:r>
          </w:p>
        </w:tc>
        <w:tc>
          <w:tcPr/>
          <w:p>
            <w:pPr>
              <w:pStyle w:val="Compact"/>
              <w:jc w:val="left"/>
            </w:pPr>
            <w:r>
              <w:t xml:space="preserve">undefined</w:t>
            </w:r>
          </w:p>
        </w:tc>
      </w:tr>
      <w:tr>
        <w:tc>
          <w:tcPr/>
          <w:p>
            <w:pPr>
              <w:pStyle w:val="Compact"/>
              <w:jc w:val="left"/>
            </w:pPr>
            <w:r>
              <w:t xml:space="preserve">SCI_NET</w:t>
            </w:r>
          </w:p>
        </w:tc>
        <w:tc>
          <w:tcPr/>
          <w:p>
            <w:pPr>
              <w:pStyle w:val="Compact"/>
              <w:jc w:val="left"/>
            </w:pPr>
            <w:r>
              <w:t xml:space="preserve">matched_network</w:t>
            </w:r>
          </w:p>
        </w:tc>
        <w:tc>
          <w:tcPr/>
          <w:p>
            <w:pPr>
              <w:pStyle w:val="Compact"/>
              <w:jc w:val="left"/>
            </w:pPr>
            <w:r>
              <w:t xml:space="preserve">matched_target_gap</w:t>
            </w:r>
          </w:p>
        </w:tc>
        <w:tc>
          <w:tcPr/>
          <w:p>
            <w:pPr>
              <w:pStyle w:val="Compact"/>
              <w:jc w:val="left"/>
            </w:pPr>
            <w:r>
              <w:t xml:space="preserve">hydro-only</w:t>
            </w:r>
          </w:p>
        </w:tc>
        <w:tc>
          <w:tcPr/>
          <w:p>
            <w:pPr>
              <w:pStyle w:val="Compact"/>
              <w:jc w:val="left"/>
            </w:pPr>
            <w:r>
              <w:t xml:space="preserve">undefined</w:t>
            </w:r>
          </w:p>
        </w:tc>
        <w:tc>
          <w:tcPr/>
          <w:p>
            <w:pPr>
              <w:pStyle w:val="Compact"/>
              <w:jc w:val="left"/>
            </w:pPr>
            <w:r>
              <w:t xml:space="preserve">T</w:t>
            </w:r>
          </w:p>
        </w:tc>
        <w:tc>
          <w:tcPr/>
          <w:p>
            <w:pPr>
              <w:pStyle w:val="Compact"/>
              <w:jc w:val="right"/>
            </w:pPr>
            <w:r>
              <w:t xml:space="preserve">368</w:t>
            </w:r>
          </w:p>
        </w:tc>
        <w:tc>
          <w:tcPr/>
          <w:p>
            <w:pPr>
              <w:pStyle w:val="Compact"/>
              <w:jc w:val="left"/>
            </w:pPr>
            <w:r>
              <w:t xml:space="preserve">seen_length</w:t>
            </w:r>
          </w:p>
        </w:tc>
        <w:tc>
          <w:tcPr/>
          <w:p>
            <w:pPr>
              <w:pStyle w:val="Compact"/>
              <w:jc w:val="left"/>
            </w:pPr>
            <w:r>
              <w:t xml:space="preserve">train</w:t>
            </w:r>
          </w:p>
        </w:tc>
        <w:tc>
          <w:tcPr/>
          <w:p>
            <w:pPr>
              <w:pStyle w:val="Compact"/>
              <w:jc w:val="left"/>
            </w:pPr>
            <w:r>
              <w:t xml:space="preserve">validation</w:t>
            </w:r>
          </w:p>
        </w:tc>
        <w:tc>
          <w:tcPr/>
          <w:p>
            <w:pPr>
              <w:pStyle w:val="Compact"/>
              <w:jc w:val="left"/>
            </w:pPr>
            <w:r>
              <w:t xml:space="preserve">development_test</w:t>
            </w:r>
          </w:p>
        </w:tc>
        <w:tc>
          <w:tcPr/>
          <w:p>
            <w:pPr>
              <w:pStyle w:val="Compact"/>
              <w:jc w:val="left"/>
            </w:pPr>
            <w:r>
              <w:t xml:space="preserve">development_evaluation</w:t>
            </w:r>
          </w:p>
        </w:tc>
        <w:tc>
          <w:tcPr/>
          <w:p>
            <w:pPr>
              <w:pStyle w:val="Compact"/>
              <w:jc w:val="left"/>
            </w:pPr>
            <w:r>
              <w:t xml:space="preserve">P3</w:t>
            </w:r>
          </w:p>
        </w:tc>
        <w:tc>
          <w:tcPr/>
          <w:p>
            <w:pPr>
              <w:pStyle w:val="Compact"/>
              <w:jc w:val="left"/>
            </w:pPr>
            <w:r>
              <w:t xml:space="preserve">P3</w:t>
            </w:r>
          </w:p>
        </w:tc>
        <w:tc>
          <w:tcPr/>
          <w:p>
            <w:pPr>
              <w:pStyle w:val="Compact"/>
              <w:jc w:val="left"/>
            </w:pPr>
            <w:r>
              <w:t xml:space="preserve">T</w:t>
            </w:r>
          </w:p>
        </w:tc>
        <w:tc>
          <w:tcPr/>
          <w:p>
            <w:pPr>
              <w:pStyle w:val="Compact"/>
              <w:jc w:val="left"/>
            </w:pPr>
            <w:r>
              <w:t xml:space="preserve">cross_fitted_policy</w:t>
            </w:r>
          </w:p>
        </w:tc>
        <w:tc>
          <w:tcPr/>
          <w:p>
            <w:pPr>
              <w:pStyle w:val="Compact"/>
              <w:jc w:val="left"/>
            </w:pPr>
            <w:r>
              <w:t xml:space="preserve">S2</w:t>
            </w:r>
          </w:p>
        </w:tc>
        <w:tc>
          <w:tcPr/>
          <w:p>
            <w:pPr>
              <w:pStyle w:val="Compact"/>
              <w:jc w:val="right"/>
            </w:pPr>
            <w:r>
              <w:t xml:space="preserve">0.489</w:t>
            </w:r>
          </w:p>
        </w:tc>
        <w:tc>
          <w:tcPr/>
          <w:p>
            <w:pPr>
              <w:pStyle w:val="Compact"/>
              <w:jc w:val="right"/>
            </w:pPr>
            <w:r>
              <w:t xml:space="preserve">0.543</w:t>
            </w:r>
          </w:p>
        </w:tc>
        <w:tc>
          <w:tcPr/>
          <w:p>
            <w:pPr>
              <w:pStyle w:val="Compact"/>
              <w:jc w:val="right"/>
            </w:pPr>
            <w:r>
              <w:t xml:space="preserve">0.054</w:t>
            </w:r>
          </w:p>
        </w:tc>
        <w:tc>
          <w:tcPr/>
          <w:p>
            <w:pPr>
              <w:pStyle w:val="Compact"/>
              <w:jc w:val="right"/>
            </w:pPr>
            <w:r>
              <w:t xml:space="preserve">0.012</w:t>
            </w:r>
          </w:p>
        </w:tc>
        <w:tc>
          <w:tcPr/>
          <w:p>
            <w:pPr>
              <w:pStyle w:val="Compact"/>
              <w:jc w:val="right"/>
            </w:pPr>
            <w:r>
              <w:t xml:space="preserve">0.113</w:t>
            </w:r>
          </w:p>
        </w:tc>
        <w:tc>
          <w:tcPr/>
          <w:p>
            <w:pPr>
              <w:pStyle w:val="Compact"/>
              <w:jc w:val="left"/>
            </w:pPr>
            <w:r>
              <w:t xml:space="preserve">MAE</w:t>
            </w:r>
          </w:p>
        </w:tc>
        <w:tc>
          <w:tcPr/>
          <w:p>
            <w:pPr>
              <w:pStyle w:val="Compact"/>
              <w:jc w:val="left"/>
            </w:pPr>
            <w:r>
              <w:t xml:space="preserve">leave_one_anchor_year_out_cross_fitted_failed_minus_full</w:t>
            </w:r>
          </w:p>
        </w:tc>
        <w:tc>
          <w:tcPr/>
          <w:p>
            <w:pPr>
              <w:pStyle w:val="Compact"/>
              <w:jc w:val="left"/>
            </w:pPr>
            <w:r>
              <w:t xml:space="preserve">development_evaluation_cross_fit</w:t>
            </w:r>
          </w:p>
        </w:tc>
        <w:tc>
          <w:tcPr/>
          <w:p>
            <w:pPr>
              <w:pStyle w:val="Compact"/>
              <w:jc w:val="left"/>
            </w:pPr>
            <w:r>
              <w:t xml:space="preserve">post_hoc_non_oracle_sensitivity</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w:t>
            </w:r>
            <w:r>
              <w:t xml:space="preserve">“kalman”</w:t>
            </w:r>
            <w:r>
              <w:t xml:space="preserve">:54,</w:t>
            </w:r>
            <w:r>
              <w:t xml:space="preserve">“linear”</w:t>
            </w:r>
            <w:r>
              <w:t xml:space="preserve">:6,</w:t>
            </w:r>
            <w:r>
              <w:t xml:space="preserve">“xgboost”</w:t>
            </w:r>
            <w:r>
              <w:t xml:space="preserve">:20}</w:t>
            </w:r>
          </w:p>
        </w:tc>
        <w:tc>
          <w:tcPr/>
          <w:p>
            <w:pPr>
              <w:pStyle w:val="Compact"/>
              <w:jc w:val="left"/>
            </w:pPr>
            <w:r>
              <w:t xml:space="preserve">{</w:t>
            </w:r>
            <w:r>
              <w:t xml:space="preserve">“air_only”</w:t>
            </w:r>
            <w:r>
              <w:t xml:space="preserve">:12,</w:t>
            </w:r>
            <w:r>
              <w:t xml:space="preserve">“kalman”</w:t>
            </w:r>
            <w:r>
              <w:t xml:space="preserve">:62,</w:t>
            </w:r>
            <w:r>
              <w:t xml:space="preserve">“linear”</w:t>
            </w:r>
            <w:r>
              <w:t xml:space="preserve">:6}</w:t>
            </w:r>
          </w:p>
        </w:tc>
        <w:tc>
          <w:tcPr/>
          <w:p>
            <w:pPr>
              <w:pStyle w:val="Compact"/>
              <w:jc w:val="right"/>
            </w:pPr>
            <w:r>
              <w:t xml:space="preserve">4</w:t>
            </w:r>
          </w:p>
        </w:tc>
        <w:tc>
          <w:tcPr/>
          <w:p>
            <w:pPr>
              <w:pStyle w:val="Compact"/>
              <w:jc w:val="right"/>
            </w:pPr>
            <w:r>
              <w:t xml:space="preserve">3</w:t>
            </w:r>
          </w:p>
        </w:tc>
        <w:tc>
          <w:tcPr/>
          <w:p>
            <w:pPr>
              <w:pStyle w:val="Compact"/>
              <w:jc w:val="right"/>
            </w:pPr>
            <w:r>
              <w:t xml:space="preserve">80</w:t>
            </w:r>
          </w:p>
        </w:tc>
        <w:tc>
          <w:tcPr/>
          <w:p>
            <w:pPr>
              <w:pStyle w:val="Compact"/>
              <w:jc w:val="left"/>
            </w:pPr>
            <w:r>
              <w:t xml:space="preserve">undefined</w:t>
            </w:r>
          </w:p>
        </w:tc>
      </w:tr>
      <w:tr>
        <w:tc>
          <w:tcPr/>
          <w:p>
            <w:pPr>
              <w:pStyle w:val="Compact"/>
              <w:jc w:val="left"/>
            </w:pPr>
            <w:r>
              <w:t xml:space="preserve">SCI_NET</w:t>
            </w:r>
          </w:p>
        </w:tc>
        <w:tc>
          <w:tcPr/>
          <w:p>
            <w:pPr>
              <w:pStyle w:val="Compact"/>
              <w:jc w:val="left"/>
            </w:pPr>
            <w:r>
              <w:t xml:space="preserve">matched_network</w:t>
            </w:r>
          </w:p>
        </w:tc>
        <w:tc>
          <w:tcPr/>
          <w:p>
            <w:pPr>
              <w:pStyle w:val="Compact"/>
              <w:jc w:val="left"/>
            </w:pPr>
            <w:r>
              <w:t xml:space="preserve">matched_target_gap</w:t>
            </w:r>
          </w:p>
        </w:tc>
        <w:tc>
          <w:tcPr/>
          <w:p>
            <w:pPr>
              <w:pStyle w:val="Compact"/>
              <w:jc w:val="left"/>
            </w:pPr>
            <w:r>
              <w:t xml:space="preserve">hydro-only</w:t>
            </w:r>
          </w:p>
        </w:tc>
        <w:tc>
          <w:tcPr/>
          <w:p>
            <w:pPr>
              <w:pStyle w:val="Compact"/>
              <w:jc w:val="left"/>
            </w:pPr>
            <w:r>
              <w:t xml:space="preserve">undefined</w:t>
            </w:r>
          </w:p>
        </w:tc>
        <w:tc>
          <w:tcPr/>
          <w:p>
            <w:pPr>
              <w:pStyle w:val="Compact"/>
              <w:jc w:val="left"/>
            </w:pPr>
            <w:r>
              <w:t xml:space="preserve">T</w:t>
            </w:r>
          </w:p>
        </w:tc>
        <w:tc>
          <w:tcPr/>
          <w:p>
            <w:pPr>
              <w:pStyle w:val="Compact"/>
              <w:jc w:val="right"/>
            </w:pPr>
            <w:r>
              <w:t xml:space="preserve">368</w:t>
            </w:r>
          </w:p>
        </w:tc>
        <w:tc>
          <w:tcPr/>
          <w:p>
            <w:pPr>
              <w:pStyle w:val="Compact"/>
              <w:jc w:val="left"/>
            </w:pPr>
            <w:r>
              <w:t xml:space="preserve">seen_length</w:t>
            </w:r>
          </w:p>
        </w:tc>
        <w:tc>
          <w:tcPr/>
          <w:p>
            <w:pPr>
              <w:pStyle w:val="Compact"/>
              <w:jc w:val="left"/>
            </w:pPr>
            <w:r>
              <w:t xml:space="preserve">train</w:t>
            </w:r>
          </w:p>
        </w:tc>
        <w:tc>
          <w:tcPr/>
          <w:p>
            <w:pPr>
              <w:pStyle w:val="Compact"/>
              <w:jc w:val="left"/>
            </w:pPr>
            <w:r>
              <w:t xml:space="preserve">validation</w:t>
            </w:r>
          </w:p>
        </w:tc>
        <w:tc>
          <w:tcPr/>
          <w:p>
            <w:pPr>
              <w:pStyle w:val="Compact"/>
              <w:jc w:val="left"/>
            </w:pPr>
            <w:r>
              <w:t xml:space="preserve">development_test</w:t>
            </w:r>
          </w:p>
        </w:tc>
        <w:tc>
          <w:tcPr/>
          <w:p>
            <w:pPr>
              <w:pStyle w:val="Compact"/>
              <w:jc w:val="left"/>
            </w:pPr>
            <w:r>
              <w:t xml:space="preserve">development_evaluation</w:t>
            </w:r>
          </w:p>
        </w:tc>
        <w:tc>
          <w:tcPr/>
          <w:p>
            <w:pPr>
              <w:pStyle w:val="Compact"/>
              <w:jc w:val="left"/>
            </w:pPr>
            <w:r>
              <w:t xml:space="preserve">S2</w:t>
            </w:r>
          </w:p>
        </w:tc>
        <w:tc>
          <w:tcPr/>
          <w:p>
            <w:pPr>
              <w:pStyle w:val="Compact"/>
              <w:jc w:val="left"/>
            </w:pPr>
            <w:r>
              <w:t xml:space="preserve">S2</w:t>
            </w:r>
          </w:p>
        </w:tc>
        <w:tc>
          <w:tcPr/>
          <w:p>
            <w:pPr>
              <w:pStyle w:val="Compact"/>
              <w:jc w:val="left"/>
            </w:pPr>
            <w:r>
              <w:t xml:space="preserve">T</w:t>
            </w:r>
          </w:p>
        </w:tc>
        <w:tc>
          <w:tcPr/>
          <w:p>
            <w:pPr>
              <w:pStyle w:val="Compact"/>
              <w:jc w:val="left"/>
            </w:pPr>
            <w:r>
              <w:t xml:space="preserve">cross_fitted_policy</w:t>
            </w:r>
          </w:p>
        </w:tc>
        <w:tc>
          <w:tcPr/>
          <w:p>
            <w:pPr>
              <w:pStyle w:val="Compact"/>
              <w:jc w:val="left"/>
            </w:pPr>
            <w:r>
              <w:t xml:space="preserve">B1</w:t>
            </w:r>
          </w:p>
        </w:tc>
        <w:tc>
          <w:tcPr/>
          <w:p>
            <w:pPr>
              <w:pStyle w:val="Compact"/>
              <w:jc w:val="right"/>
            </w:pPr>
            <w:r>
              <w:t xml:space="preserve">0.487</w:t>
            </w:r>
          </w:p>
        </w:tc>
        <w:tc>
          <w:tcPr/>
          <w:p>
            <w:pPr>
              <w:pStyle w:val="Compact"/>
              <w:jc w:val="right"/>
            </w:pPr>
            <w:r>
              <w:t xml:space="preserve">0.51</w:t>
            </w:r>
          </w:p>
        </w:tc>
        <w:tc>
          <w:tcPr/>
          <w:p>
            <w:pPr>
              <w:pStyle w:val="Compact"/>
              <w:jc w:val="right"/>
            </w:pPr>
            <w:r>
              <w:t xml:space="preserve">0.023</w:t>
            </w:r>
          </w:p>
        </w:tc>
        <w:tc>
          <w:tcPr/>
          <w:p>
            <w:pPr>
              <w:pStyle w:val="Compact"/>
              <w:jc w:val="right"/>
            </w:pPr>
            <w:r>
              <w:t xml:space="preserve">-0.017</w:t>
            </w:r>
          </w:p>
        </w:tc>
        <w:tc>
          <w:tcPr/>
          <w:p>
            <w:pPr>
              <w:pStyle w:val="Compact"/>
              <w:jc w:val="right"/>
            </w:pPr>
            <w:r>
              <w:t xml:space="preserve">0.06</w:t>
            </w:r>
          </w:p>
        </w:tc>
        <w:tc>
          <w:tcPr/>
          <w:p>
            <w:pPr>
              <w:pStyle w:val="Compact"/>
              <w:jc w:val="left"/>
            </w:pPr>
            <w:r>
              <w:t xml:space="preserve">MAE</w:t>
            </w:r>
          </w:p>
        </w:tc>
        <w:tc>
          <w:tcPr/>
          <w:p>
            <w:pPr>
              <w:pStyle w:val="Compact"/>
              <w:jc w:val="left"/>
            </w:pPr>
            <w:r>
              <w:t xml:space="preserve">leave_one_anchor_year_out_cross_fitted_failed_minus_full</w:t>
            </w:r>
          </w:p>
        </w:tc>
        <w:tc>
          <w:tcPr/>
          <w:p>
            <w:pPr>
              <w:pStyle w:val="Compact"/>
              <w:jc w:val="left"/>
            </w:pPr>
            <w:r>
              <w:t xml:space="preserve">development_evaluation_cross_fit</w:t>
            </w:r>
          </w:p>
        </w:tc>
        <w:tc>
          <w:tcPr/>
          <w:p>
            <w:pPr>
              <w:pStyle w:val="Compact"/>
              <w:jc w:val="left"/>
            </w:pPr>
            <w:r>
              <w:t xml:space="preserve">post_hoc_non_oracle_sensitivity</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w:t>
            </w:r>
            <w:r>
              <w:t xml:space="preserve">“donor_regression”</w:t>
            </w:r>
            <w:r>
              <w:t xml:space="preserve">:10,</w:t>
            </w:r>
            <w:r>
              <w:t xml:space="preserve">“kalman”</w:t>
            </w:r>
            <w:r>
              <w:t xml:space="preserve">:4,</w:t>
            </w:r>
            <w:r>
              <w:t xml:space="preserve">“pchip”</w:t>
            </w:r>
            <w:r>
              <w:t xml:space="preserve">:20,</w:t>
            </w:r>
            <w:r>
              <w:t xml:space="preserve">“xgboost”</w:t>
            </w:r>
            <w:r>
              <w:t xml:space="preserve">:46}</w:t>
            </w:r>
          </w:p>
        </w:tc>
        <w:tc>
          <w:tcPr/>
          <w:p>
            <w:pPr>
              <w:pStyle w:val="Compact"/>
              <w:jc w:val="left"/>
            </w:pPr>
            <w:r>
              <w:t xml:space="preserve">{</w:t>
            </w:r>
            <w:r>
              <w:t xml:space="preserve">“air_hydro”</w:t>
            </w:r>
            <w:r>
              <w:t xml:space="preserve">:29,</w:t>
            </w:r>
            <w:r>
              <w:t xml:space="preserve">“climatology”</w:t>
            </w:r>
            <w:r>
              <w:t xml:space="preserve">:11,</w:t>
            </w:r>
            <w:r>
              <w:t xml:space="preserve">“kalman”</w:t>
            </w:r>
            <w:r>
              <w:t xml:space="preserve">:20,</w:t>
            </w:r>
            <w:r>
              <w:t xml:space="preserve">“pchip”</w:t>
            </w:r>
            <w:r>
              <w:t xml:space="preserve">:20}</w:t>
            </w:r>
          </w:p>
        </w:tc>
        <w:tc>
          <w:tcPr/>
          <w:p>
            <w:pPr>
              <w:pStyle w:val="Compact"/>
              <w:jc w:val="right"/>
            </w:pPr>
            <w:r>
              <w:t xml:space="preserve">4</w:t>
            </w:r>
          </w:p>
        </w:tc>
        <w:tc>
          <w:tcPr/>
          <w:p>
            <w:pPr>
              <w:pStyle w:val="Compact"/>
              <w:jc w:val="right"/>
            </w:pPr>
            <w:r>
              <w:t xml:space="preserve">3</w:t>
            </w:r>
          </w:p>
        </w:tc>
        <w:tc>
          <w:tcPr/>
          <w:p>
            <w:pPr>
              <w:pStyle w:val="Compact"/>
              <w:jc w:val="right"/>
            </w:pPr>
            <w:r>
              <w:t xml:space="preserve">80</w:t>
            </w:r>
          </w:p>
        </w:tc>
        <w:tc>
          <w:tcPr/>
          <w:p>
            <w:pPr>
              <w:pStyle w:val="Compact"/>
              <w:jc w:val="left"/>
            </w:pPr>
            <w:r>
              <w:t xml:space="preserve">undefined</w:t>
            </w:r>
          </w:p>
        </w:tc>
      </w:tr>
      <w:tr>
        <w:tc>
          <w:tcPr/>
          <w:p>
            <w:pPr>
              <w:pStyle w:val="Compact"/>
              <w:jc w:val="left"/>
            </w:pPr>
            <w:r>
              <w:t xml:space="preserve">SCI_NET</w:t>
            </w:r>
          </w:p>
        </w:tc>
        <w:tc>
          <w:tcPr/>
          <w:p>
            <w:pPr>
              <w:pStyle w:val="Compact"/>
              <w:jc w:val="left"/>
            </w:pPr>
            <w:r>
              <w:t xml:space="preserve">matched_network</w:t>
            </w:r>
          </w:p>
        </w:tc>
        <w:tc>
          <w:tcPr/>
          <w:p>
            <w:pPr>
              <w:pStyle w:val="Compact"/>
              <w:jc w:val="left"/>
            </w:pPr>
            <w:r>
              <w:t xml:space="preserve">matched_target_gap</w:t>
            </w:r>
          </w:p>
        </w:tc>
        <w:tc>
          <w:tcPr/>
          <w:p>
            <w:pPr>
              <w:pStyle w:val="Compact"/>
              <w:jc w:val="left"/>
            </w:pPr>
            <w:r>
              <w:t xml:space="preserve">hydro-only</w:t>
            </w:r>
          </w:p>
        </w:tc>
        <w:tc>
          <w:tcPr/>
          <w:p>
            <w:pPr>
              <w:pStyle w:val="Compact"/>
              <w:jc w:val="left"/>
            </w:pPr>
            <w:r>
              <w:t xml:space="preserve">undefined</w:t>
            </w:r>
          </w:p>
        </w:tc>
        <w:tc>
          <w:tcPr/>
          <w:p>
            <w:pPr>
              <w:pStyle w:val="Compact"/>
              <w:jc w:val="left"/>
            </w:pPr>
            <w:r>
              <w:t xml:space="preserve">T</w:t>
            </w:r>
          </w:p>
        </w:tc>
        <w:tc>
          <w:tcPr/>
          <w:p>
            <w:pPr>
              <w:pStyle w:val="Compact"/>
              <w:jc w:val="right"/>
            </w:pPr>
            <w:r>
              <w:t xml:space="preserve">368</w:t>
            </w:r>
          </w:p>
        </w:tc>
        <w:tc>
          <w:tcPr/>
          <w:p>
            <w:pPr>
              <w:pStyle w:val="Compact"/>
              <w:jc w:val="left"/>
            </w:pPr>
            <w:r>
              <w:t xml:space="preserve">seen_length</w:t>
            </w:r>
          </w:p>
        </w:tc>
        <w:tc>
          <w:tcPr/>
          <w:p>
            <w:pPr>
              <w:pStyle w:val="Compact"/>
              <w:jc w:val="left"/>
            </w:pPr>
            <w:r>
              <w:t xml:space="preserve">train</w:t>
            </w:r>
          </w:p>
        </w:tc>
        <w:tc>
          <w:tcPr/>
          <w:p>
            <w:pPr>
              <w:pStyle w:val="Compact"/>
              <w:jc w:val="left"/>
            </w:pPr>
            <w:r>
              <w:t xml:space="preserve">validation</w:t>
            </w:r>
          </w:p>
        </w:tc>
        <w:tc>
          <w:tcPr/>
          <w:p>
            <w:pPr>
              <w:pStyle w:val="Compact"/>
              <w:jc w:val="left"/>
            </w:pPr>
            <w:r>
              <w:t xml:space="preserve">development_test</w:t>
            </w:r>
          </w:p>
        </w:tc>
        <w:tc>
          <w:tcPr/>
          <w:p>
            <w:pPr>
              <w:pStyle w:val="Compact"/>
              <w:jc w:val="left"/>
            </w:pPr>
            <w:r>
              <w:t xml:space="preserve">development_evaluation</w:t>
            </w:r>
          </w:p>
        </w:tc>
        <w:tc>
          <w:tcPr/>
          <w:p>
            <w:pPr>
              <w:pStyle w:val="Compact"/>
              <w:jc w:val="left"/>
            </w:pPr>
            <w:r>
              <w:t xml:space="preserve">S2</w:t>
            </w:r>
          </w:p>
        </w:tc>
        <w:tc>
          <w:tcPr/>
          <w:p>
            <w:pPr>
              <w:pStyle w:val="Compact"/>
              <w:jc w:val="left"/>
            </w:pPr>
            <w:r>
              <w:t xml:space="preserve">S2</w:t>
            </w:r>
          </w:p>
        </w:tc>
        <w:tc>
          <w:tcPr/>
          <w:p>
            <w:pPr>
              <w:pStyle w:val="Compact"/>
              <w:jc w:val="left"/>
            </w:pPr>
            <w:r>
              <w:t xml:space="preserve">T</w:t>
            </w:r>
          </w:p>
        </w:tc>
        <w:tc>
          <w:tcPr/>
          <w:p>
            <w:pPr>
              <w:pStyle w:val="Compact"/>
              <w:jc w:val="left"/>
            </w:pPr>
            <w:r>
              <w:t xml:space="preserve">cross_fitted_policy</w:t>
            </w:r>
          </w:p>
        </w:tc>
        <w:tc>
          <w:tcPr/>
          <w:p>
            <w:pPr>
              <w:pStyle w:val="Compact"/>
              <w:jc w:val="left"/>
            </w:pPr>
            <w:r>
              <w:t xml:space="preserve">P3</w:t>
            </w:r>
          </w:p>
        </w:tc>
        <w:tc>
          <w:tcPr/>
          <w:p>
            <w:pPr>
              <w:pStyle w:val="Compact"/>
              <w:jc w:val="right"/>
            </w:pPr>
            <w:r>
              <w:t xml:space="preserve">0.487</w:t>
            </w:r>
          </w:p>
        </w:tc>
        <w:tc>
          <w:tcPr/>
          <w:p>
            <w:pPr>
              <w:pStyle w:val="Compact"/>
              <w:jc w:val="right"/>
            </w:pPr>
            <w:r>
              <w:t xml:space="preserve">0.482</w:t>
            </w:r>
          </w:p>
        </w:tc>
        <w:tc>
          <w:tcPr/>
          <w:p>
            <w:pPr>
              <w:pStyle w:val="Compact"/>
              <w:jc w:val="right"/>
            </w:pPr>
            <w:r>
              <w:t xml:space="preserve">-0.005</w:t>
            </w:r>
          </w:p>
        </w:tc>
        <w:tc>
          <w:tcPr/>
          <w:p>
            <w:pPr>
              <w:pStyle w:val="Compact"/>
              <w:jc w:val="right"/>
            </w:pPr>
            <w:r>
              <w:t xml:space="preserve">-0.039</w:t>
            </w:r>
          </w:p>
        </w:tc>
        <w:tc>
          <w:tcPr/>
          <w:p>
            <w:pPr>
              <w:pStyle w:val="Compact"/>
              <w:jc w:val="right"/>
            </w:pPr>
            <w:r>
              <w:t xml:space="preserve">0.025</w:t>
            </w:r>
          </w:p>
        </w:tc>
        <w:tc>
          <w:tcPr/>
          <w:p>
            <w:pPr>
              <w:pStyle w:val="Compact"/>
              <w:jc w:val="left"/>
            </w:pPr>
            <w:r>
              <w:t xml:space="preserve">MAE</w:t>
            </w:r>
          </w:p>
        </w:tc>
        <w:tc>
          <w:tcPr/>
          <w:p>
            <w:pPr>
              <w:pStyle w:val="Compact"/>
              <w:jc w:val="left"/>
            </w:pPr>
            <w:r>
              <w:t xml:space="preserve">leave_one_anchor_year_out_cross_fitted_failed_minus_full</w:t>
            </w:r>
          </w:p>
        </w:tc>
        <w:tc>
          <w:tcPr/>
          <w:p>
            <w:pPr>
              <w:pStyle w:val="Compact"/>
              <w:jc w:val="left"/>
            </w:pPr>
            <w:r>
              <w:t xml:space="preserve">development_evaluation_cross_fit</w:t>
            </w:r>
          </w:p>
        </w:tc>
        <w:tc>
          <w:tcPr/>
          <w:p>
            <w:pPr>
              <w:pStyle w:val="Compact"/>
              <w:jc w:val="left"/>
            </w:pPr>
            <w:r>
              <w:t xml:space="preserve">post_hoc_non_oracle_sensitivity</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w:t>
            </w:r>
            <w:r>
              <w:t xml:space="preserve">“donor_regression”</w:t>
            </w:r>
            <w:r>
              <w:t xml:space="preserve">:10,</w:t>
            </w:r>
            <w:r>
              <w:t xml:space="preserve">“kalman”</w:t>
            </w:r>
            <w:r>
              <w:t xml:space="preserve">:4,</w:t>
            </w:r>
            <w:r>
              <w:t xml:space="preserve">“pchip”</w:t>
            </w:r>
            <w:r>
              <w:t xml:space="preserve">:20,</w:t>
            </w:r>
            <w:r>
              <w:t xml:space="preserve">“xgboost”</w:t>
            </w:r>
            <w:r>
              <w:t xml:space="preserve">:46}</w:t>
            </w:r>
          </w:p>
        </w:tc>
        <w:tc>
          <w:tcPr/>
          <w:p>
            <w:pPr>
              <w:pStyle w:val="Compact"/>
              <w:jc w:val="left"/>
            </w:pPr>
            <w:r>
              <w:t xml:space="preserve">{</w:t>
            </w:r>
            <w:r>
              <w:t xml:space="preserve">“kalman”</w:t>
            </w:r>
            <w:r>
              <w:t xml:space="preserve">:20,</w:t>
            </w:r>
            <w:r>
              <w:t xml:space="preserve">“pchip”</w:t>
            </w:r>
            <w:r>
              <w:t xml:space="preserve">:20,</w:t>
            </w:r>
            <w:r>
              <w:t xml:space="preserve">“random_forest”</w:t>
            </w:r>
            <w:r>
              <w:t xml:space="preserve">:8,</w:t>
            </w:r>
            <w:r>
              <w:t xml:space="preserve">“xgboost”</w:t>
            </w:r>
            <w:r>
              <w:t xml:space="preserve">:32}</w:t>
            </w:r>
          </w:p>
        </w:tc>
        <w:tc>
          <w:tcPr/>
          <w:p>
            <w:pPr>
              <w:pStyle w:val="Compact"/>
              <w:jc w:val="right"/>
            </w:pPr>
            <w:r>
              <w:t xml:space="preserve">4</w:t>
            </w:r>
          </w:p>
        </w:tc>
        <w:tc>
          <w:tcPr/>
          <w:p>
            <w:pPr>
              <w:pStyle w:val="Compact"/>
              <w:jc w:val="right"/>
            </w:pPr>
            <w:r>
              <w:t xml:space="preserve">3</w:t>
            </w:r>
          </w:p>
        </w:tc>
        <w:tc>
          <w:tcPr/>
          <w:p>
            <w:pPr>
              <w:pStyle w:val="Compact"/>
              <w:jc w:val="right"/>
            </w:pPr>
            <w:r>
              <w:t xml:space="preserve">80</w:t>
            </w:r>
          </w:p>
        </w:tc>
        <w:tc>
          <w:tcPr/>
          <w:p>
            <w:pPr>
              <w:pStyle w:val="Compact"/>
              <w:jc w:val="left"/>
            </w:pPr>
            <w:r>
              <w:t xml:space="preserve">undefined</w:t>
            </w:r>
          </w:p>
        </w:tc>
      </w:tr>
      <w:tr>
        <w:tc>
          <w:tcPr/>
          <w:p>
            <w:pPr>
              <w:pStyle w:val="Compact"/>
              <w:jc w:val="left"/>
            </w:pPr>
            <w:r>
              <w:t xml:space="preserve">SCI_NET</w:t>
            </w:r>
          </w:p>
        </w:tc>
        <w:tc>
          <w:tcPr/>
          <w:p>
            <w:pPr>
              <w:pStyle w:val="Compact"/>
              <w:jc w:val="left"/>
            </w:pPr>
            <w:r>
              <w:t xml:space="preserve">matched_network</w:t>
            </w:r>
          </w:p>
        </w:tc>
        <w:tc>
          <w:tcPr/>
          <w:p>
            <w:pPr>
              <w:pStyle w:val="Compact"/>
              <w:jc w:val="left"/>
            </w:pPr>
            <w:r>
              <w:t xml:space="preserve">matched_target_gap</w:t>
            </w:r>
          </w:p>
        </w:tc>
        <w:tc>
          <w:tcPr/>
          <w:p>
            <w:pPr>
              <w:pStyle w:val="Compact"/>
              <w:jc w:val="left"/>
            </w:pPr>
            <w:r>
              <w:t xml:space="preserve">hydro-only</w:t>
            </w:r>
          </w:p>
        </w:tc>
        <w:tc>
          <w:tcPr/>
          <w:p>
            <w:pPr>
              <w:pStyle w:val="Compact"/>
              <w:jc w:val="left"/>
            </w:pPr>
            <w:r>
              <w:t xml:space="preserve">undefined</w:t>
            </w:r>
          </w:p>
        </w:tc>
        <w:tc>
          <w:tcPr/>
          <w:p>
            <w:pPr>
              <w:pStyle w:val="Compact"/>
              <w:jc w:val="left"/>
            </w:pPr>
            <w:r>
              <w:t xml:space="preserve">T</w:t>
            </w:r>
          </w:p>
        </w:tc>
        <w:tc>
          <w:tcPr/>
          <w:p>
            <w:pPr>
              <w:pStyle w:val="Compact"/>
              <w:jc w:val="right"/>
            </w:pPr>
            <w:r>
              <w:t xml:space="preserve">368</w:t>
            </w:r>
          </w:p>
        </w:tc>
        <w:tc>
          <w:tcPr/>
          <w:p>
            <w:pPr>
              <w:pStyle w:val="Compact"/>
              <w:jc w:val="left"/>
            </w:pPr>
            <w:r>
              <w:t xml:space="preserve">seen_length</w:t>
            </w:r>
          </w:p>
        </w:tc>
        <w:tc>
          <w:tcPr/>
          <w:p>
            <w:pPr>
              <w:pStyle w:val="Compact"/>
              <w:jc w:val="left"/>
            </w:pPr>
            <w:r>
              <w:t xml:space="preserve">train</w:t>
            </w:r>
          </w:p>
        </w:tc>
        <w:tc>
          <w:tcPr/>
          <w:p>
            <w:pPr>
              <w:pStyle w:val="Compact"/>
              <w:jc w:val="left"/>
            </w:pPr>
            <w:r>
              <w:t xml:space="preserve">validation</w:t>
            </w:r>
          </w:p>
        </w:tc>
        <w:tc>
          <w:tcPr/>
          <w:p>
            <w:pPr>
              <w:pStyle w:val="Compact"/>
              <w:jc w:val="left"/>
            </w:pPr>
            <w:r>
              <w:t xml:space="preserve">development_test</w:t>
            </w:r>
          </w:p>
        </w:tc>
        <w:tc>
          <w:tcPr/>
          <w:p>
            <w:pPr>
              <w:pStyle w:val="Compact"/>
              <w:jc w:val="left"/>
            </w:pPr>
            <w:r>
              <w:t xml:space="preserve">development_evaluation</w:t>
            </w:r>
          </w:p>
        </w:tc>
        <w:tc>
          <w:tcPr/>
          <w:p>
            <w:pPr>
              <w:pStyle w:val="Compact"/>
              <w:jc w:val="left"/>
            </w:pPr>
            <w:r>
              <w:t xml:space="preserve">S2</w:t>
            </w:r>
          </w:p>
        </w:tc>
        <w:tc>
          <w:tcPr/>
          <w:p>
            <w:pPr>
              <w:pStyle w:val="Compact"/>
              <w:jc w:val="left"/>
            </w:pPr>
            <w:r>
              <w:t xml:space="preserve">S2</w:t>
            </w:r>
          </w:p>
        </w:tc>
        <w:tc>
          <w:tcPr/>
          <w:p>
            <w:pPr>
              <w:pStyle w:val="Compact"/>
              <w:jc w:val="left"/>
            </w:pPr>
            <w:r>
              <w:t xml:space="preserve">T</w:t>
            </w:r>
          </w:p>
        </w:tc>
        <w:tc>
          <w:tcPr/>
          <w:p>
            <w:pPr>
              <w:pStyle w:val="Compact"/>
              <w:jc w:val="left"/>
            </w:pPr>
            <w:r>
              <w:t xml:space="preserve">cross_fitted_policy</w:t>
            </w:r>
          </w:p>
        </w:tc>
        <w:tc>
          <w:tcPr/>
          <w:p>
            <w:pPr>
              <w:pStyle w:val="Compact"/>
              <w:jc w:val="left"/>
            </w:pPr>
            <w:r>
              <w:t xml:space="preserve">S2</w:t>
            </w:r>
          </w:p>
        </w:tc>
        <w:tc>
          <w:tcPr/>
          <w:p>
            <w:pPr>
              <w:pStyle w:val="Compact"/>
              <w:jc w:val="right"/>
            </w:pPr>
            <w:r>
              <w:t xml:space="preserve">0.487</w:t>
            </w:r>
          </w:p>
        </w:tc>
        <w:tc>
          <w:tcPr/>
          <w:p>
            <w:pPr>
              <w:pStyle w:val="Compact"/>
              <w:jc w:val="right"/>
            </w:pPr>
            <w:r>
              <w:t xml:space="preserve">0.494</w:t>
            </w:r>
          </w:p>
        </w:tc>
        <w:tc>
          <w:tcPr/>
          <w:p>
            <w:pPr>
              <w:pStyle w:val="Compact"/>
              <w:jc w:val="right"/>
            </w:pPr>
            <w:r>
              <w:t xml:space="preserve">0.007</w:t>
            </w:r>
          </w:p>
        </w:tc>
        <w:tc>
          <w:tcPr/>
          <w:p>
            <w:pPr>
              <w:pStyle w:val="Compact"/>
              <w:jc w:val="right"/>
            </w:pPr>
            <w:r>
              <w:t xml:space="preserve">-0.01</w:t>
            </w:r>
          </w:p>
        </w:tc>
        <w:tc>
          <w:tcPr/>
          <w:p>
            <w:pPr>
              <w:pStyle w:val="Compact"/>
              <w:jc w:val="right"/>
            </w:pPr>
            <w:r>
              <w:t xml:space="preserve">0.023</w:t>
            </w:r>
          </w:p>
        </w:tc>
        <w:tc>
          <w:tcPr/>
          <w:p>
            <w:pPr>
              <w:pStyle w:val="Compact"/>
              <w:jc w:val="left"/>
            </w:pPr>
            <w:r>
              <w:t xml:space="preserve">MAE</w:t>
            </w:r>
          </w:p>
        </w:tc>
        <w:tc>
          <w:tcPr/>
          <w:p>
            <w:pPr>
              <w:pStyle w:val="Compact"/>
              <w:jc w:val="left"/>
            </w:pPr>
            <w:r>
              <w:t xml:space="preserve">leave_one_anchor_year_out_cross_fitted_failed_minus_full</w:t>
            </w:r>
          </w:p>
        </w:tc>
        <w:tc>
          <w:tcPr/>
          <w:p>
            <w:pPr>
              <w:pStyle w:val="Compact"/>
              <w:jc w:val="left"/>
            </w:pPr>
            <w:r>
              <w:t xml:space="preserve">development_evaluation_cross_fit</w:t>
            </w:r>
          </w:p>
        </w:tc>
        <w:tc>
          <w:tcPr/>
          <w:p>
            <w:pPr>
              <w:pStyle w:val="Compact"/>
              <w:jc w:val="left"/>
            </w:pPr>
            <w:r>
              <w:t xml:space="preserve">post_hoc_non_oracle_sensitivity</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w:t>
            </w:r>
            <w:r>
              <w:t xml:space="preserve">“donor_regression”</w:t>
            </w:r>
            <w:r>
              <w:t xml:space="preserve">:10,</w:t>
            </w:r>
            <w:r>
              <w:t xml:space="preserve">“kalman”</w:t>
            </w:r>
            <w:r>
              <w:t xml:space="preserve">:4,</w:t>
            </w:r>
            <w:r>
              <w:t xml:space="preserve">“pchip”</w:t>
            </w:r>
            <w:r>
              <w:t xml:space="preserve">:20,</w:t>
            </w:r>
            <w:r>
              <w:t xml:space="preserve">“xgboost”</w:t>
            </w:r>
            <w:r>
              <w:t xml:space="preserve">:46}</w:t>
            </w:r>
          </w:p>
        </w:tc>
        <w:tc>
          <w:tcPr/>
          <w:p>
            <w:pPr>
              <w:pStyle w:val="Compact"/>
              <w:jc w:val="left"/>
            </w:pPr>
            <w:r>
              <w:t xml:space="preserve">{</w:t>
            </w:r>
            <w:r>
              <w:t xml:space="preserve">“donor_regression”</w:t>
            </w:r>
            <w:r>
              <w:t xml:space="preserve">:15,</w:t>
            </w:r>
            <w:r>
              <w:t xml:space="preserve">“kalman”</w:t>
            </w:r>
            <w:r>
              <w:t xml:space="preserve">:15,</w:t>
            </w:r>
            <w:r>
              <w:t xml:space="preserve">“pchip”</w:t>
            </w:r>
            <w:r>
              <w:t xml:space="preserve">:20,</w:t>
            </w:r>
            <w:r>
              <w:t xml:space="preserve">“random_forest”</w:t>
            </w:r>
            <w:r>
              <w:t xml:space="preserve">:30}</w:t>
            </w:r>
          </w:p>
        </w:tc>
        <w:tc>
          <w:tcPr/>
          <w:p>
            <w:pPr>
              <w:pStyle w:val="Compact"/>
              <w:jc w:val="right"/>
            </w:pPr>
            <w:r>
              <w:t xml:space="preserve">4</w:t>
            </w:r>
          </w:p>
        </w:tc>
        <w:tc>
          <w:tcPr/>
          <w:p>
            <w:pPr>
              <w:pStyle w:val="Compact"/>
              <w:jc w:val="right"/>
            </w:pPr>
            <w:r>
              <w:t xml:space="preserve">3</w:t>
            </w:r>
          </w:p>
        </w:tc>
        <w:tc>
          <w:tcPr/>
          <w:p>
            <w:pPr>
              <w:pStyle w:val="Compact"/>
              <w:jc w:val="right"/>
            </w:pPr>
            <w:r>
              <w:t xml:space="preserve">80</w:t>
            </w:r>
          </w:p>
        </w:tc>
        <w:tc>
          <w:tcPr/>
          <w:p>
            <w:pPr>
              <w:pStyle w:val="Compact"/>
              <w:jc w:val="left"/>
            </w:pPr>
            <w:r>
              <w:t xml:space="preserve">undefined</w:t>
            </w:r>
          </w:p>
        </w:tc>
      </w:tr>
    </w:tbl>
    <w:p>
      <w:pPr>
        <w:pStyle w:val="BodyText"/>
      </w:pPr>
      <w:r>
        <w:rPr>
          <w:i/>
          <w:iCs/>
        </w:rPr>
        <w:t xml:space="preserve">Table 5. Leave-one-year-out cross-fitted node importance.. Full- and failed-network cross-fitted MAE, failed-minus-full difference, 95% stratified bootstrap interval, selected-model counts, four gap lengths, and matched event count by target and failed station.</w:t>
      </w:r>
    </w:p>
    <w:bookmarkEnd w:id="46"/>
    <w:bookmarkEnd w:id="47"/>
    <w:bookmarkStart w:id="111" w:name="figures"/>
    <w:p>
      <w:pPr>
        <w:pStyle w:val="Heading1"/>
      </w:pPr>
      <w:r>
        <w:t xml:space="preserve">Figures</w:t>
      </w:r>
    </w:p>
    <w:bookmarkStart w:id="51" w:name="figure-1"/>
    <w:p>
      <w:pPr>
        <w:pStyle w:val="Heading2"/>
      </w:pPr>
      <w:r>
        <w:t xml:space="preserve">Figure 1</w:t>
      </w:r>
    </w:p>
    <w:p>
      <w:pPr>
        <w:pStyle w:val="FirstParagraph"/>
      </w:pPr>
      <w:r>
        <w:drawing>
          <wp:inline>
            <wp:extent cx="5067300" cy="2070983"/>
            <wp:effectExtent b="0" l="0" r="0" t="0"/>
            <wp:docPr descr="Figure 1" title="" id="49" name="Picture"/>
            <a:graphic>
              <a:graphicData uri="http://schemas.openxmlformats.org/drawingml/2006/picture">
                <pic:pic>
                  <pic:nvPicPr>
                    <pic:cNvPr descr="/home/lzq/workspace/parttime/stream-recoverability/figures/main/figure_01.png" id="50" name="Picture"/>
                    <pic:cNvPicPr>
                      <a:picLocks noChangeArrowheads="1" noChangeAspect="1"/>
                    </pic:cNvPicPr>
                  </pic:nvPicPr>
                  <pic:blipFill>
                    <a:blip r:embed="rId48"/>
                    <a:stretch>
                      <a:fillRect/>
                    </a:stretch>
                  </pic:blipFill>
                  <pic:spPr bwMode="auto">
                    <a:xfrm>
                      <a:off x="0" y="0"/>
                      <a:ext cx="5067300" cy="2070983"/>
                    </a:xfrm>
                    <a:prstGeom prst="rect">
                      <a:avLst/>
                    </a:prstGeom>
                    <a:noFill/>
                    <a:ln w="9525">
                      <a:noFill/>
                      <a:headEnd/>
                      <a:tailEnd/>
                    </a:ln>
                  </pic:spPr>
                </pic:pic>
              </a:graphicData>
            </a:graphic>
          </wp:inline>
        </w:drawing>
      </w:r>
      <w:r>
        <w:t xml:space="preserve"> </w:t>
      </w:r>
      <w:r>
        <w:rPr>
          <w:i/>
          <w:iCs/>
        </w:rPr>
        <w:t xml:space="preserve">Figure 1. Study networks, monitoring stations, and regulating dams.. (a) Jinsha River case-study stations and Guanyinyan Dam. B1, S2, and P3 are separated by 463 and 558 river km; straight connecting segments indicate station order rather than the detailed river centerline. (b) Upper-to-Middle Chattahoochee sites from immediately below Buford Dam through the Atlanta reach. Station coordinates are documented inventory locations. The Guanyinyan symbol uses a cartographic RCC-dam coordinate; the scientific distance context is the official 27 river km to P3. Basemap © OpenStreetMap contributors.</w:t>
      </w:r>
    </w:p>
    <w:bookmarkEnd w:id="51"/>
    <w:bookmarkStart w:id="55" w:name="figure-2"/>
    <w:p>
      <w:pPr>
        <w:pStyle w:val="Heading2"/>
      </w:pPr>
      <w:r>
        <w:t xml:space="preserve">Figure 2</w:t>
      </w:r>
    </w:p>
    <w:p>
      <w:pPr>
        <w:pStyle w:val="FirstParagraph"/>
      </w:pPr>
      <w:r>
        <w:drawing>
          <wp:inline>
            <wp:extent cx="5067300" cy="3525078"/>
            <wp:effectExtent b="0" l="0" r="0" t="0"/>
            <wp:docPr descr="Figure 2" title="" id="53" name="Picture"/>
            <a:graphic>
              <a:graphicData uri="http://schemas.openxmlformats.org/drawingml/2006/picture">
                <pic:pic>
                  <pic:nvPicPr>
                    <pic:cNvPr descr="/home/lzq/workspace/parttime/stream-recoverability/figures/main/figure_02.png" id="54" name="Picture"/>
                    <pic:cNvPicPr>
                      <a:picLocks noChangeArrowheads="1" noChangeAspect="1"/>
                    </pic:cNvPicPr>
                  </pic:nvPicPr>
                  <pic:blipFill>
                    <a:blip r:embed="rId52"/>
                    <a:stretch>
                      <a:fillRect/>
                    </a:stretch>
                  </pic:blipFill>
                  <pic:spPr bwMode="auto">
                    <a:xfrm>
                      <a:off x="0" y="0"/>
                      <a:ext cx="5067300" cy="3525078"/>
                    </a:xfrm>
                    <a:prstGeom prst="rect">
                      <a:avLst/>
                    </a:prstGeom>
                    <a:noFill/>
                    <a:ln w="9525">
                      <a:noFill/>
                      <a:headEnd/>
                      <a:tailEnd/>
                    </a:ln>
                  </pic:spPr>
                </pic:pic>
              </a:graphicData>
            </a:graphic>
          </wp:inline>
        </w:drawing>
      </w:r>
      <w:r>
        <w:t xml:space="preserve"> </w:t>
      </w:r>
      <w:r>
        <w:rPr>
          <w:i/>
          <w:iCs/>
        </w:rPr>
        <w:t xml:space="preserve">Figure 2. Reservoir-associated thermal structure across two networks.. (a) Annual minimum stream temperature and (b) annual amplitude at B1, S2, and P3; the dashed line marks first-unit generation at Guanyinyan on 20 December 2014 and shading covers commissioning. The line is engineering context, not an estimated change date; formal method-sensitive results are in Figure S1. (c) Fitting-period temperature range versus lag-30 anomaly autocorrelation. Squares are memory-dominated and circles donor-dominated. (d) Chattahoochee downstream profile. Range increases and memory decreases away from Buford Dam. These are observational associations, not a causal heat-budget attribution.</w:t>
      </w:r>
    </w:p>
    <w:bookmarkEnd w:id="55"/>
    <w:bookmarkStart w:id="59" w:name="figure-3"/>
    <w:p>
      <w:pPr>
        <w:pStyle w:val="Heading2"/>
      </w:pPr>
      <w:r>
        <w:t xml:space="preserve">Figure 3</w:t>
      </w:r>
    </w:p>
    <w:p>
      <w:pPr>
        <w:pStyle w:val="FirstParagraph"/>
      </w:pPr>
      <w:r>
        <w:drawing>
          <wp:inline>
            <wp:extent cx="5067300" cy="1619874"/>
            <wp:effectExtent b="0" l="0" r="0" t="0"/>
            <wp:docPr descr="Figure 3" title="" id="57" name="Picture"/>
            <a:graphic>
              <a:graphicData uri="http://schemas.openxmlformats.org/drawingml/2006/picture">
                <pic:pic>
                  <pic:nvPicPr>
                    <pic:cNvPr descr="/home/lzq/workspace/parttime/stream-recoverability/figures/main/figure_03.png" id="58" name="Picture"/>
                    <pic:cNvPicPr>
                      <a:picLocks noChangeArrowheads="1" noChangeAspect="1"/>
                    </pic:cNvPicPr>
                  </pic:nvPicPr>
                  <pic:blipFill>
                    <a:blip r:embed="rId56"/>
                    <a:stretch>
                      <a:fillRect/>
                    </a:stretch>
                  </pic:blipFill>
                  <pic:spPr bwMode="auto">
                    <a:xfrm>
                      <a:off x="0" y="0"/>
                      <a:ext cx="5067300" cy="1619874"/>
                    </a:xfrm>
                    <a:prstGeom prst="rect">
                      <a:avLst/>
                    </a:prstGeom>
                    <a:noFill/>
                    <a:ln w="9525">
                      <a:noFill/>
                      <a:headEnd/>
                      <a:tailEnd/>
                    </a:ln>
                  </pic:spPr>
                </pic:pic>
              </a:graphicData>
            </a:graphic>
          </wp:inline>
        </w:drawing>
      </w:r>
      <w:r>
        <w:t xml:space="preserve"> </w:t>
      </w:r>
      <w:r>
        <w:rPr>
          <w:i/>
          <w:iCs/>
        </w:rPr>
        <w:t xml:space="preserve">Figure 3. Frozen covariance heuristic and post-hoc thermal-state control.. Best-roster-envelope climatology-relative skill and the train-only heuristic at B1, S2, and P3. Red/black use the original 2006–2015 calibration and denominator; blue re-scores fixed predictions and recalibrates the heuristic to 2016–2020. The blue analysis overlaps evaluated years and diagnoses nonstationarity; it is not predictive evidence. Shading is the 95% anchor/year bootstrap interval for the original descriptive envelope.</w:t>
      </w:r>
    </w:p>
    <w:bookmarkEnd w:id="59"/>
    <w:bookmarkStart w:id="63" w:name="figure-4"/>
    <w:p>
      <w:pPr>
        <w:pStyle w:val="Heading2"/>
      </w:pPr>
      <w:r>
        <w:t xml:space="preserve">Figure 4</w:t>
      </w:r>
    </w:p>
    <w:p>
      <w:pPr>
        <w:pStyle w:val="FirstParagraph"/>
      </w:pPr>
      <w:r>
        <w:drawing>
          <wp:inline>
            <wp:extent cx="5067300" cy="2907467"/>
            <wp:effectExtent b="0" l="0" r="0" t="0"/>
            <wp:docPr descr="Figure 4" title="" id="61" name="Picture"/>
            <a:graphic>
              <a:graphicData uri="http://schemas.openxmlformats.org/drawingml/2006/picture">
                <pic:pic>
                  <pic:nvPicPr>
                    <pic:cNvPr descr="/home/lzq/workspace/parttime/stream-recoverability/figures/main/figure_04.png" id="62" name="Picture"/>
                    <pic:cNvPicPr>
                      <a:picLocks noChangeArrowheads="1" noChangeAspect="1"/>
                    </pic:cNvPicPr>
                  </pic:nvPicPr>
                  <pic:blipFill>
                    <a:blip r:embed="rId60"/>
                    <a:stretch>
                      <a:fillRect/>
                    </a:stretch>
                  </pic:blipFill>
                  <pic:spPr bwMode="auto">
                    <a:xfrm>
                      <a:off x="0" y="0"/>
                      <a:ext cx="5067300" cy="2907467"/>
                    </a:xfrm>
                    <a:prstGeom prst="rect">
                      <a:avLst/>
                    </a:prstGeom>
                    <a:noFill/>
                    <a:ln w="9525">
                      <a:noFill/>
                      <a:headEnd/>
                      <a:tailEnd/>
                    </a:ln>
                  </pic:spPr>
                </pic:pic>
              </a:graphicData>
            </a:graphic>
          </wp:inline>
        </w:drawing>
      </w:r>
      <w:r>
        <w:t xml:space="preserve"> </w:t>
      </w:r>
      <w:r>
        <w:rPr>
          <w:i/>
          <w:iCs/>
        </w:rPr>
        <w:t xml:space="preserve">Figure 4. Recoverability in relative and absolute units.. Top: climatology-relative skill for five representative stable methods. Values below -0.5 are clipped for readability. Bottom: the same methods’ MAE in degrees C, with paired training-climatology MAE shown as a black dashed line. All methods use common artificial cells.</w:t>
      </w:r>
    </w:p>
    <w:bookmarkEnd w:id="63"/>
    <w:bookmarkStart w:id="67" w:name="figure-5"/>
    <w:p>
      <w:pPr>
        <w:pStyle w:val="Heading2"/>
      </w:pPr>
      <w:r>
        <w:t xml:space="preserve">Figure 5</w:t>
      </w:r>
    </w:p>
    <w:p>
      <w:pPr>
        <w:pStyle w:val="FirstParagraph"/>
      </w:pPr>
      <w:r>
        <w:drawing>
          <wp:inline>
            <wp:extent cx="5067300" cy="1674412"/>
            <wp:effectExtent b="0" l="0" r="0" t="0"/>
            <wp:docPr descr="Figure 5" title="" id="65" name="Picture"/>
            <a:graphic>
              <a:graphicData uri="http://schemas.openxmlformats.org/drawingml/2006/picture">
                <pic:pic>
                  <pic:nvPicPr>
                    <pic:cNvPr descr="/home/lzq/workspace/parttime/stream-recoverability/figures/main/figure_05.png" id="66" name="Picture"/>
                    <pic:cNvPicPr>
                      <a:picLocks noChangeArrowheads="1" noChangeAspect="1"/>
                    </pic:cNvPicPr>
                  </pic:nvPicPr>
                  <pic:blipFill>
                    <a:blip r:embed="rId64"/>
                    <a:stretch>
                      <a:fillRect/>
                    </a:stretch>
                  </pic:blipFill>
                  <pic:spPr bwMode="auto">
                    <a:xfrm>
                      <a:off x="0" y="0"/>
                      <a:ext cx="5067300" cy="1674412"/>
                    </a:xfrm>
                    <a:prstGeom prst="rect">
                      <a:avLst/>
                    </a:prstGeom>
                    <a:noFill/>
                    <a:ln w="9525">
                      <a:noFill/>
                      <a:headEnd/>
                      <a:tailEnd/>
                    </a:ln>
                  </pic:spPr>
                </pic:pic>
              </a:graphicData>
            </a:graphic>
          </wp:inline>
        </w:drawing>
      </w:r>
      <w:r>
        <w:t xml:space="preserve"> </w:t>
      </w:r>
      <w:r>
        <w:rPr>
          <w:i/>
          <w:iCs/>
        </w:rPr>
        <w:t xml:space="preserve">Figure 5. Cross-fitted node importance.. Mean failed-minus-full MAE after each singleton station failure, faceted by target and averaged over 10-, 30-, 90-, and 180-day gaps. For every target, gap, and failure set, the model is selected using the other two evaluation years and scored on the held-out year. Error bars are 95% matched-anchor bootstrap intervals stratified by year. The analysis is a post-hoc non-oracle sensitivity, not independent confirmation or a causal station value.</w:t>
      </w:r>
    </w:p>
    <w:bookmarkEnd w:id="67"/>
    <w:bookmarkStart w:id="71" w:name="figure-6"/>
    <w:p>
      <w:pPr>
        <w:pStyle w:val="Heading2"/>
      </w:pPr>
      <w:r>
        <w:t xml:space="preserve">Figure 6</w:t>
      </w:r>
    </w:p>
    <w:p>
      <w:pPr>
        <w:pStyle w:val="FirstParagraph"/>
      </w:pPr>
      <w:r>
        <w:drawing>
          <wp:inline>
            <wp:extent cx="5067300" cy="1923697"/>
            <wp:effectExtent b="0" l="0" r="0" t="0"/>
            <wp:docPr descr="Figure 6" title="" id="69" name="Picture"/>
            <a:graphic>
              <a:graphicData uri="http://schemas.openxmlformats.org/drawingml/2006/picture">
                <pic:pic>
                  <pic:nvPicPr>
                    <pic:cNvPr descr="/home/lzq/workspace/parttime/stream-recoverability/figures/main/figure_06.png" id="70" name="Picture"/>
                    <pic:cNvPicPr>
                      <a:picLocks noChangeArrowheads="1" noChangeAspect="1"/>
                    </pic:cNvPicPr>
                  </pic:nvPicPr>
                  <pic:blipFill>
                    <a:blip r:embed="rId68"/>
                    <a:stretch>
                      <a:fillRect/>
                    </a:stretch>
                  </pic:blipFill>
                  <pic:spPr bwMode="auto">
                    <a:xfrm>
                      <a:off x="0" y="0"/>
                      <a:ext cx="5067300" cy="1923697"/>
                    </a:xfrm>
                    <a:prstGeom prst="rect">
                      <a:avLst/>
                    </a:prstGeom>
                    <a:noFill/>
                    <a:ln w="9525">
                      <a:noFill/>
                      <a:headEnd/>
                      <a:tailEnd/>
                    </a:ln>
                  </pic:spPr>
                </pic:pic>
              </a:graphicData>
            </a:graphic>
          </wp:inline>
        </w:drawing>
      </w:r>
      <w:r>
        <w:t xml:space="preserve"> </w:t>
      </w:r>
      <w:r>
        <w:rPr>
          <w:i/>
          <w:iCs/>
        </w:rPr>
        <w:t xml:space="preserve">Figure 6. Held-out Chattahoochee fixed-model evaluation.. Mean 2021–2022 validation performance across all gaps and placements selected XGBoost at every site. (a) Solid curves score that fixed model on the single 2023–2025 placement; dashed curves are frozen train-only heuristic predictions. Error bars are plus or minus one XGBoost placement SD from 20 validation masks and are not confidence intervals for the held-out point. (b) Fitting-period anomaly memory versus fixed-model 180-day skill. Red identifies memory-dominated site 02334430 below Buford Dam. The best-roster envelope is omitted from the main figure because it selects on the scored cell.</w:t>
      </w:r>
    </w:p>
    <w:bookmarkEnd w:id="71"/>
    <w:bookmarkStart w:id="110" w:name="figure-7"/>
    <w:p>
      <w:pPr>
        <w:pStyle w:val="Heading2"/>
      </w:pPr>
      <w:r>
        <w:t xml:space="preserve">Figure 7</w:t>
      </w:r>
    </w:p>
    <w:p>
      <w:pPr>
        <w:pStyle w:val="FirstParagraph"/>
      </w:pPr>
      <w:r>
        <w:drawing>
          <wp:inline>
            <wp:extent cx="5067300" cy="1754487"/>
            <wp:effectExtent b="0" l="0" r="0" t="0"/>
            <wp:docPr descr="Figure 7" title="" id="73" name="Picture"/>
            <a:graphic>
              <a:graphicData uri="http://schemas.openxmlformats.org/drawingml/2006/picture">
                <pic:pic>
                  <pic:nvPicPr>
                    <pic:cNvPr descr="/home/lzq/workspace/parttime/stream-recoverability/figures/main/figure_07.png" id="74" name="Picture"/>
                    <pic:cNvPicPr>
                      <a:picLocks noChangeArrowheads="1" noChangeAspect="1"/>
                    </pic:cNvPicPr>
                  </pic:nvPicPr>
                  <pic:blipFill>
                    <a:blip r:embed="rId72"/>
                    <a:stretch>
                      <a:fillRect/>
                    </a:stretch>
                  </pic:blipFill>
                  <pic:spPr bwMode="auto">
                    <a:xfrm>
                      <a:off x="0" y="0"/>
                      <a:ext cx="5067300" cy="1754487"/>
                    </a:xfrm>
                    <a:prstGeom prst="rect">
                      <a:avLst/>
                    </a:prstGeom>
                    <a:noFill/>
                    <a:ln w="9525">
                      <a:noFill/>
                      <a:headEnd/>
                      <a:tailEnd/>
                    </a:ln>
                  </pic:spPr>
                </pic:pic>
              </a:graphicData>
            </a:graphic>
          </wp:inline>
        </w:drawing>
      </w:r>
      <w:r>
        <w:t xml:space="preserve"> </w:t>
      </w:r>
      <w:r>
        <w:rPr>
          <w:i/>
          <w:iCs/>
        </w:rPr>
        <w:t xml:space="preserve">Figure 7. Independently frozen United States regulation-panel test.. (a) Memory–range index by 2009 GAGES-II upstream-major-dam label for 335 eligible stations. (b) Frozen leave-one-aggregated-ecoregion-out ROC curve; the frozen primary pooled AUC is 0.407 and the cluster-bootstrap interval includes 0.5, so standalone national discrimination is not supported. A post-hoc within-fold diagnosis is reported in Text S15 and Table S8 and still finds no national skill. (c) Within regulated watersheds, median index declines across 0–5, 5–20, 20–50, and 50–100 km nearest-major-dam bins; whiskers show the interquartile range. The greater-than-100-km bin contains one station and is not interpreted. Results use the transport-limited panel after a frozen official API fallback.</w:t>
      </w:r>
    </w:p>
    <w:bookmarkStart w:id="109" w:name="refs"/>
    <w:bookmarkStart w:id="76" w:name="ref-bal2023streamtemperature"/>
    <w:p>
      <w:pPr>
        <w:pStyle w:val="Bibliography"/>
      </w:pPr>
      <w:r>
        <w:t xml:space="preserve">Bal, Guillaume, and Elvira de Eyto. 2023.</w:t>
      </w:r>
      <w:r>
        <w:t xml:space="preserve"> </w:t>
      </w:r>
      <w:r>
        <w:t xml:space="preserve">“Simple Bayesian Reconstruction and Forecasting of Stream Water Temperature for Ecologists—a Tool Using Air Temperature, Optionally Flow, in a Time Series Decomposition Approach.”</w:t>
      </w:r>
      <w:r>
        <w:t xml:space="preserve"> </w:t>
      </w:r>
      <w:r>
        <w:rPr>
          <w:i/>
          <w:iCs/>
        </w:rPr>
        <w:t xml:space="preserve">PLOS ONE</w:t>
      </w:r>
      <w:r>
        <w:t xml:space="preserve"> </w:t>
      </w:r>
      <w:r>
        <w:t xml:space="preserve">18 (9): e0291239.</w:t>
      </w:r>
      <w:r>
        <w:t xml:space="preserve"> </w:t>
      </w:r>
      <w:hyperlink r:id="rId75">
        <w:r>
          <w:rPr>
            <w:rStyle w:val="Hyperlink"/>
          </w:rPr>
          <w:t xml:space="preserve">https://doi.org/10.1371/journal.pone.0291239</w:t>
        </w:r>
      </w:hyperlink>
      <w:r>
        <w:t xml:space="preserve">.</w:t>
      </w:r>
    </w:p>
    <w:bookmarkEnd w:id="76"/>
    <w:bookmarkStart w:id="78" w:name="ref-cdt2026guanyinyan"/>
    <w:p>
      <w:pPr>
        <w:pStyle w:val="Bibliography"/>
      </w:pPr>
      <w:r>
        <w:t xml:space="preserve">China Datang Corporation. 2026.</w:t>
      </w:r>
      <w:r>
        <w:t xml:space="preserve"> </w:t>
      </w:r>
      <w:r>
        <w:rPr>
          <w:i/>
          <w:iCs/>
        </w:rPr>
        <w:t xml:space="preserve">Twenty Years of Guanyinyan Hydropower Development</w:t>
      </w:r>
      <w:r>
        <w:t xml:space="preserve">. Corporate project history.</w:t>
      </w:r>
      <w:r>
        <w:t xml:space="preserve"> </w:t>
      </w:r>
      <w:hyperlink r:id="rId77">
        <w:r>
          <w:rPr>
            <w:rStyle w:val="Hyperlink"/>
          </w:rPr>
          <w:t xml:space="preserve">https://www.china-cdt.com/dtwz/xwzx/sdbd/2026/6/I1516080066600108032.html</w:t>
        </w:r>
      </w:hyperlink>
      <w:r>
        <w:t xml:space="preserve">.</w:t>
      </w:r>
    </w:p>
    <w:bookmarkEnd w:id="78"/>
    <w:bookmarkStart w:id="80" w:name="ref-falcone2011gagesii"/>
    <w:p>
      <w:pPr>
        <w:pStyle w:val="Bibliography"/>
      </w:pPr>
      <w:r>
        <w:t xml:space="preserve">Falcone, James A. 2011.</w:t>
      </w:r>
      <w:r>
        <w:t xml:space="preserve"> </w:t>
      </w:r>
      <w:r>
        <w:rPr>
          <w:i/>
          <w:iCs/>
        </w:rPr>
        <w:t xml:space="preserve">GAGES-II</w:t>
      </w:r>
      <w:r>
        <w:rPr>
          <w:i/>
          <w:iCs/>
        </w:rPr>
        <w:t xml:space="preserve">: Geospatial Attributes of Gages for Evaluating Streamflow</w:t>
      </w:r>
      <w:r>
        <w:t xml:space="preserve">. U.S. Geological Survey data release.</w:t>
      </w:r>
      <w:r>
        <w:t xml:space="preserve"> </w:t>
      </w:r>
      <w:hyperlink r:id="rId79">
        <w:r>
          <w:rPr>
            <w:rStyle w:val="Hyperlink"/>
          </w:rPr>
          <w:t xml:space="preserve">https://doi.org/10.5066/P96CPHOT</w:t>
        </w:r>
      </w:hyperlink>
      <w:r>
        <w:t xml:space="preserve">.</w:t>
      </w:r>
    </w:p>
    <w:bookmarkEnd w:id="80"/>
    <w:bookmarkStart w:id="82" w:name="ref-johnson2021datagap"/>
    <w:p>
      <w:pPr>
        <w:pStyle w:val="Bibliography"/>
      </w:pPr>
      <w:r>
        <w:t xml:space="preserve">Johnson, Zachary C., Brittany G. Johnson, Martin A. Briggs, Craig D. Snyder, Nathaniel P. Hitt, and Warren D. Devine. 2021.</w:t>
      </w:r>
      <w:r>
        <w:t xml:space="preserve"> </w:t>
      </w:r>
      <w:r>
        <w:t xml:space="preserve">“Heed the Data Gap: Guidelines for Using Incomplete Datasets in Annual Stream Temperature Analyses.”</w:t>
      </w:r>
      <w:r>
        <w:t xml:space="preserve"> </w:t>
      </w:r>
      <w:r>
        <w:rPr>
          <w:i/>
          <w:iCs/>
        </w:rPr>
        <w:t xml:space="preserve">Ecological Indicators</w:t>
      </w:r>
      <w:r>
        <w:t xml:space="preserve"> </w:t>
      </w:r>
      <w:r>
        <w:t xml:space="preserve">122: 107229.</w:t>
      </w:r>
      <w:r>
        <w:t xml:space="preserve"> </w:t>
      </w:r>
      <w:hyperlink r:id="rId81">
        <w:r>
          <w:rPr>
            <w:rStyle w:val="Hyperlink"/>
          </w:rPr>
          <w:t xml:space="preserve">https://doi.org/10.1016/j.ecolind.2020.107229</w:t>
        </w:r>
      </w:hyperlink>
      <w:r>
        <w:t xml:space="preserve">.</w:t>
      </w:r>
    </w:p>
    <w:bookmarkEnd w:id="82"/>
    <w:bookmarkStart w:id="84" w:name="ref-li2017streamairimputation"/>
    <w:p>
      <w:pPr>
        <w:pStyle w:val="Bibliography"/>
      </w:pPr>
      <w:r>
        <w:t xml:space="preserve">Li, Han, Xinwei Deng, and Eric Smith. 2017.</w:t>
      </w:r>
      <w:r>
        <w:t xml:space="preserve"> </w:t>
      </w:r>
      <w:r>
        <w:t xml:space="preserve">“Missing Data Imputation for Paired Stream and Air Temperature Sensor Data.”</w:t>
      </w:r>
      <w:r>
        <w:t xml:space="preserve"> </w:t>
      </w:r>
      <w:r>
        <w:rPr>
          <w:i/>
          <w:iCs/>
        </w:rPr>
        <w:t xml:space="preserve">Environmetrics</w:t>
      </w:r>
      <w:r>
        <w:t xml:space="preserve"> </w:t>
      </w:r>
      <w:r>
        <w:t xml:space="preserve">28 (1): e2426.</w:t>
      </w:r>
      <w:r>
        <w:t xml:space="preserve"> </w:t>
      </w:r>
      <w:hyperlink r:id="rId83">
        <w:r>
          <w:rPr>
            <w:rStyle w:val="Hyperlink"/>
          </w:rPr>
          <w:t xml:space="preserve">https://doi.org/10.1002/env.2426</w:t>
        </w:r>
      </w:hyperlink>
      <w:r>
        <w:t xml:space="preserve">.</w:t>
      </w:r>
    </w:p>
    <w:bookmarkEnd w:id="84"/>
    <w:bookmarkStart w:id="86" w:name="ref-rccdams2026guanyinyan"/>
    <w:p>
      <w:pPr>
        <w:pStyle w:val="Bibliography"/>
      </w:pPr>
      <w:r>
        <w:t xml:space="preserve">Malcolm Dunstan and Associates. 2026.</w:t>
      </w:r>
      <w:r>
        <w:t xml:space="preserve"> </w:t>
      </w:r>
      <w:r>
        <w:rPr>
          <w:i/>
          <w:iCs/>
        </w:rPr>
        <w:t xml:space="preserve">Guanyinyan Dam: RCC Dam Database Record RCCDAM0643</w:t>
      </w:r>
      <w:r>
        <w:t xml:space="preserve">. Cartographic dam record.</w:t>
      </w:r>
      <w:r>
        <w:t xml:space="preserve"> </w:t>
      </w:r>
      <w:hyperlink r:id="rId85">
        <w:r>
          <w:rPr>
            <w:rStyle w:val="Hyperlink"/>
          </w:rPr>
          <w:t xml:space="preserve">https://rccdams.co.uk/dams/guanyinyan/</w:t>
        </w:r>
      </w:hyperlink>
      <w:r>
        <w:t xml:space="preserve">.</w:t>
      </w:r>
    </w:p>
    <w:bookmarkEnd w:id="86"/>
    <w:bookmarkStart w:id="88" w:name="ref-michie2020releases"/>
    <w:p>
      <w:pPr>
        <w:pStyle w:val="Bibliography"/>
      </w:pPr>
      <w:r>
        <w:t xml:space="preserve">Michie, Laura E., James N. Hitchcock, Jason D. Thiem, Craig A. Boys, and Simon M. Mitrovic. 2020.</w:t>
      </w:r>
      <w:r>
        <w:t xml:space="preserve"> </w:t>
      </w:r>
      <w:r>
        <w:t xml:space="preserve">“The Effect of Varied Dam Release Mechanisms and Storage Volume on Downstream River Thermal Regimes.”</w:t>
      </w:r>
      <w:r>
        <w:t xml:space="preserve"> </w:t>
      </w:r>
      <w:r>
        <w:rPr>
          <w:i/>
          <w:iCs/>
        </w:rPr>
        <w:t xml:space="preserve">Limnologica</w:t>
      </w:r>
      <w:r>
        <w:t xml:space="preserve"> </w:t>
      </w:r>
      <w:r>
        <w:t xml:space="preserve">81: 125760.</w:t>
      </w:r>
      <w:r>
        <w:t xml:space="preserve"> </w:t>
      </w:r>
      <w:hyperlink r:id="rId87">
        <w:r>
          <w:rPr>
            <w:rStyle w:val="Hyperlink"/>
          </w:rPr>
          <w:t xml:space="preserve">https://doi.org/10.1016/j.limno.2020.125760</w:t>
        </w:r>
      </w:hyperlink>
      <w:r>
        <w:t xml:space="preserve">.</w:t>
      </w:r>
    </w:p>
    <w:bookmarkEnd w:id="88"/>
    <w:bookmarkStart w:id="90" w:name="ref-mee2014guanyinyan"/>
    <w:p>
      <w:pPr>
        <w:pStyle w:val="Bibliography"/>
      </w:pPr>
      <w:r>
        <w:t xml:space="preserve">Ministry of Environmental Protection of the People’s Republic of China. 2014.</w:t>
      </w:r>
      <w:r>
        <w:t xml:space="preserve"> </w:t>
      </w:r>
      <w:r>
        <w:rPr>
          <w:i/>
          <w:iCs/>
        </w:rPr>
        <w:t xml:space="preserve">Reply on Environmental-Protection Acceptance for the Impoundment Stage of the Guanyinyan Hydropower Project on the Middle Jinsha River</w:t>
      </w:r>
      <w:r>
        <w:t xml:space="preserve">. Official approval, Huan Yan Han [2014] No. 84.</w:t>
      </w:r>
      <w:r>
        <w:t xml:space="preserve"> </w:t>
      </w:r>
      <w:hyperlink r:id="rId89">
        <w:r>
          <w:rPr>
            <w:rStyle w:val="Hyperlink"/>
          </w:rPr>
          <w:t xml:space="preserve">https://www.mee.gov.cn/gkml/sthjbgw/spwj1/201412/t20141210_292787.htm</w:t>
        </w:r>
      </w:hyperlink>
      <w:r>
        <w:t xml:space="preserve">.</w:t>
      </w:r>
    </w:p>
    <w:bookmarkEnd w:id="90"/>
    <w:bookmarkStart w:id="92" w:name="ref-nea2016powerreport"/>
    <w:p>
      <w:pPr>
        <w:pStyle w:val="Bibliography"/>
      </w:pPr>
      <w:r>
        <w:t xml:space="preserve">National Energy Administration of China. 2016.</w:t>
      </w:r>
      <w:r>
        <w:t xml:space="preserve"> </w:t>
      </w:r>
      <w:r>
        <w:rPr>
          <w:i/>
          <w:iCs/>
        </w:rPr>
        <w:t xml:space="preserve">China Electric Power Industry Annual Development Report 2016</w:t>
      </w:r>
      <w:r>
        <w:t xml:space="preserve">. Industry development report.</w:t>
      </w:r>
      <w:r>
        <w:t xml:space="preserve"> </w:t>
      </w:r>
      <w:hyperlink r:id="rId91">
        <w:r>
          <w:rPr>
            <w:rStyle w:val="Hyperlink"/>
          </w:rPr>
          <w:t xml:space="preserve">https://gzb.nea.gov.cn/dtyw/hyxx/202310/t20231023_192141.html</w:t>
        </w:r>
      </w:hyperlink>
      <w:r>
        <w:t xml:space="preserve">.</w:t>
      </w:r>
    </w:p>
    <w:bookmarkEnd w:id="92"/>
    <w:bookmarkStart w:id="94" w:name="ref-seyedhashemi2021thermalsignatures"/>
    <w:p>
      <w:pPr>
        <w:pStyle w:val="Bibliography"/>
      </w:pPr>
      <w:r>
        <w:t xml:space="preserve">Seyedhashemi, Hanieh, Florentina Moatar, Jean-Philippe Vidal, et al. 2021.</w:t>
      </w:r>
      <w:r>
        <w:t xml:space="preserve"> </w:t>
      </w:r>
      <w:r>
        <w:t xml:space="preserve">“Thermal Signatures Identify the Influence of Dams and Ponds on Stream Temperature at the Regional Scale.”</w:t>
      </w:r>
      <w:r>
        <w:t xml:space="preserve"> </w:t>
      </w:r>
      <w:r>
        <w:rPr>
          <w:i/>
          <w:iCs/>
        </w:rPr>
        <w:t xml:space="preserve">Science of The Total Environment</w:t>
      </w:r>
      <w:r>
        <w:t xml:space="preserve"> </w:t>
      </w:r>
      <w:r>
        <w:t xml:space="preserve">766: 142667.</w:t>
      </w:r>
      <w:r>
        <w:t xml:space="preserve"> </w:t>
      </w:r>
      <w:hyperlink r:id="rId93">
        <w:r>
          <w:rPr>
            <w:rStyle w:val="Hyperlink"/>
          </w:rPr>
          <w:t xml:space="preserve">https://doi.org/10.1016/j.scitotenv.2020.142667</w:t>
        </w:r>
      </w:hyperlink>
      <w:r>
        <w:t xml:space="preserve">.</w:t>
      </w:r>
    </w:p>
    <w:bookmarkEnd w:id="94"/>
    <w:bookmarkStart w:id="96" w:name="ref-usace2026nid"/>
    <w:p>
      <w:pPr>
        <w:pStyle w:val="Bibliography"/>
      </w:pPr>
      <w:r>
        <w:t xml:space="preserve">U.S. Army Corps of Engineers. 2026.</w:t>
      </w:r>
      <w:r>
        <w:t xml:space="preserve"> </w:t>
      </w:r>
      <w:r>
        <w:rPr>
          <w:i/>
          <w:iCs/>
        </w:rPr>
        <w:t xml:space="preserve">National Inventory of Dams Public Web-GIS Services</w:t>
      </w:r>
      <w:r>
        <w:t xml:space="preserve">. Official public feature and mapping services.</w:t>
      </w:r>
      <w:r>
        <w:t xml:space="preserve"> </w:t>
      </w:r>
      <w:hyperlink r:id="rId95">
        <w:r>
          <w:rPr>
            <w:rStyle w:val="Hyperlink"/>
          </w:rPr>
          <w:t xml:space="preserve">https://nid.sec.usace.army.mil/nid/</w:t>
        </w:r>
      </w:hyperlink>
      <w:r>
        <w:t xml:space="preserve">.</w:t>
      </w:r>
    </w:p>
    <w:bookmarkEnd w:id="96"/>
    <w:bookmarkStart w:id="98" w:name="ref-usace2017buford"/>
    <w:p>
      <w:pPr>
        <w:pStyle w:val="Bibliography"/>
      </w:pPr>
      <w:r>
        <w:t xml:space="preserve">U.S. Army Corps of Engineers, Mobile District. 2017.</w:t>
      </w:r>
      <w:r>
        <w:t xml:space="preserve"> </w:t>
      </w:r>
      <w:r>
        <w:rPr>
          <w:i/>
          <w:iCs/>
        </w:rPr>
        <w:t xml:space="preserve">Apalachicola–Chattahoochee–Flint River Basin Water Control Manual, Appendix b: Buford Dam and Lake Sidney Lanier</w:t>
      </w:r>
      <w:r>
        <w:t xml:space="preserve">. U.S. Army Corps of Engineers.</w:t>
      </w:r>
      <w:r>
        <w:t xml:space="preserve"> </w:t>
      </w:r>
      <w:hyperlink r:id="rId97">
        <w:r>
          <w:rPr>
            <w:rStyle w:val="Hyperlink"/>
          </w:rPr>
          <w:t xml:space="preserve">https://water.usace.army.mil/cda/documents/wc/2050/ACF%20Buford_Final_Mar%202017.pdf</w:t>
        </w:r>
      </w:hyperlink>
      <w:r>
        <w:t xml:space="preserve">.</w:t>
      </w:r>
    </w:p>
    <w:bookmarkEnd w:id="98"/>
    <w:bookmarkStart w:id="100" w:name="ref-usgs1973buford"/>
    <w:p>
      <w:pPr>
        <w:pStyle w:val="Bibliography"/>
      </w:pPr>
      <w:r>
        <w:t xml:space="preserve">U.S. Geological Survey. 1973.</w:t>
      </w:r>
      <w:r>
        <w:t xml:space="preserve"> </w:t>
      </w:r>
      <w:r>
        <w:rPr>
          <w:i/>
          <w:iCs/>
        </w:rPr>
        <w:t xml:space="preserve">Water Resources Data for Georgia, 1973: Station 02334430, Chattahoochee River at Buford Dam, Near Buford, Georgia</w:t>
      </w:r>
      <w:r>
        <w:t xml:space="preserve">. U.S. Geological Survey.</w:t>
      </w:r>
      <w:r>
        <w:t xml:space="preserve"> </w:t>
      </w:r>
      <w:hyperlink r:id="rId99">
        <w:r>
          <w:rPr>
            <w:rStyle w:val="Hyperlink"/>
          </w:rPr>
          <w:t xml:space="preserve">https://pubs.usgs.gov/wdr/1973/ga-73-1/report.pdf</w:t>
        </w:r>
      </w:hyperlink>
      <w:r>
        <w:t xml:space="preserve">.</w:t>
      </w:r>
    </w:p>
    <w:bookmarkEnd w:id="100"/>
    <w:bookmarkStart w:id="102" w:name="ref-usgs2026waterapi"/>
    <w:p>
      <w:pPr>
        <w:pStyle w:val="Bibliography"/>
      </w:pPr>
      <w:r>
        <w:t xml:space="preserve">U.S. Geological Survey. 2026.</w:t>
      </w:r>
      <w:r>
        <w:t xml:space="preserve"> </w:t>
      </w:r>
      <w:r>
        <w:rPr>
          <w:i/>
          <w:iCs/>
        </w:rPr>
        <w:t xml:space="preserve">USGS Water Data APIs</w:t>
      </w:r>
      <w:r>
        <w:rPr>
          <w:i/>
          <w:iCs/>
        </w:rPr>
        <w:t xml:space="preserve">: Daily Values, Time-Series Metadata, and Monitoring Locations</w:t>
      </w:r>
      <w:r>
        <w:t xml:space="preserve">. Official OGC API documentation.</w:t>
      </w:r>
      <w:r>
        <w:t xml:space="preserve"> </w:t>
      </w:r>
      <w:hyperlink r:id="rId101">
        <w:r>
          <w:rPr>
            <w:rStyle w:val="Hyperlink"/>
          </w:rPr>
          <w:t xml:space="preserve">https://api.waterdata.usgs.gov/docs/ogcapi</w:t>
        </w:r>
      </w:hyperlink>
      <w:r>
        <w:t xml:space="preserve">.</w:t>
      </w:r>
    </w:p>
    <w:bookmarkEnd w:id="102"/>
    <w:bookmarkStart w:id="104" w:name="ref-wang2024yangtzetemperature"/>
    <w:p>
      <w:pPr>
        <w:pStyle w:val="Bibliography"/>
      </w:pPr>
      <w:r>
        <w:t xml:space="preserve">Wang, Zhangpeng, Jun Ma, Shengde Yu, et al. 2024.</w:t>
      </w:r>
      <w:r>
        <w:t xml:space="preserve"> </w:t>
      </w:r>
      <w:r>
        <w:t xml:space="preserve">“Analysis of Water Temperature Variations in the Yangtze River’s Upper and Middle Reaches in the Context of Cascade Hydropower Development.”</w:t>
      </w:r>
      <w:r>
        <w:t xml:space="preserve"> </w:t>
      </w:r>
      <w:r>
        <w:rPr>
          <w:i/>
          <w:iCs/>
        </w:rPr>
        <w:t xml:space="preserve">Water</w:t>
      </w:r>
      <w:r>
        <w:t xml:space="preserve"> </w:t>
      </w:r>
      <w:r>
        <w:t xml:space="preserve">16 (12): 1669.</w:t>
      </w:r>
      <w:r>
        <w:t xml:space="preserve"> </w:t>
      </w:r>
      <w:hyperlink r:id="rId103">
        <w:r>
          <w:rPr>
            <w:rStyle w:val="Hyperlink"/>
          </w:rPr>
          <w:t xml:space="preserve">https://doi.org/10.3390/w16121669</w:t>
        </w:r>
      </w:hyperlink>
      <w:r>
        <w:t xml:space="preserve">.</w:t>
      </w:r>
    </w:p>
    <w:bookmarkEnd w:id="104"/>
    <w:bookmarkStart w:id="106" w:name="ref-wei2026flowcomposition"/>
    <w:p>
      <w:pPr>
        <w:pStyle w:val="Bibliography"/>
      </w:pPr>
      <w:r>
        <w:t xml:space="preserve">Wei, Mengru, Tao Feng, Qiuwen Chen, et al. 2026.</w:t>
      </w:r>
      <w:r>
        <w:t xml:space="preserve"> </w:t>
      </w:r>
      <w:r>
        <w:t xml:space="preserve">“Flow Composition Mediates the Sensitivity to Air Temperature of Streams in a Qinghai-Tibetan Watershed.”</w:t>
      </w:r>
      <w:r>
        <w:t xml:space="preserve"> </w:t>
      </w:r>
      <w:r>
        <w:rPr>
          <w:i/>
          <w:iCs/>
        </w:rPr>
        <w:t xml:space="preserve">Communications Earth &amp; Environment</w:t>
      </w:r>
      <w:r>
        <w:t xml:space="preserve"> </w:t>
      </w:r>
      <w:r>
        <w:t xml:space="preserve">7 (1): 327.</w:t>
      </w:r>
      <w:r>
        <w:t xml:space="preserve"> </w:t>
      </w:r>
      <w:hyperlink r:id="rId105">
        <w:r>
          <w:rPr>
            <w:rStyle w:val="Hyperlink"/>
          </w:rPr>
          <w:t xml:space="preserve">https://doi.org/10.1038/s43247-026-03340-2</w:t>
        </w:r>
      </w:hyperlink>
      <w:r>
        <w:t xml:space="preserve">.</w:t>
      </w:r>
    </w:p>
    <w:bookmarkEnd w:id="106"/>
    <w:bookmarkStart w:id="108" w:name="ref-zhao2020danjiangkou"/>
    <w:p>
      <w:pPr>
        <w:pStyle w:val="Bibliography"/>
      </w:pPr>
      <w:r>
        <w:t xml:space="preserve">Zhao, Jiayang, Hui Li, Xiaobin Cai, et al. 2020.</w:t>
      </w:r>
      <w:r>
        <w:t xml:space="preserve"> </w:t>
      </w:r>
      <w:r>
        <w:t xml:space="preserve">“Long-Term (2002–2017) Impacts of Danjiangkou Dam on Thermal Regimes of Downstream Han River (China) Using Landsat Thermal Infrared Imagery.”</w:t>
      </w:r>
      <w:r>
        <w:t xml:space="preserve"> </w:t>
      </w:r>
      <w:r>
        <w:rPr>
          <w:i/>
          <w:iCs/>
        </w:rPr>
        <w:t xml:space="preserve">Journal of Hydrology</w:t>
      </w:r>
      <w:r>
        <w:t xml:space="preserve"> </w:t>
      </w:r>
      <w:r>
        <w:t xml:space="preserve">589: 125135.</w:t>
      </w:r>
      <w:r>
        <w:t xml:space="preserve"> </w:t>
      </w:r>
      <w:hyperlink r:id="rId107">
        <w:r>
          <w:rPr>
            <w:rStyle w:val="Hyperlink"/>
          </w:rPr>
          <w:t xml:space="preserve">https://doi.org/10.1016/j.jhydrol.2020.125135</w:t>
        </w:r>
      </w:hyperlink>
      <w:r>
        <w:t xml:space="preserve">.</w:t>
      </w:r>
    </w:p>
    <w:bookmarkEnd w:id="108"/>
    <w:bookmarkEnd w:id="109"/>
    <w:bookmarkEnd w:id="110"/>
    <w:bookmarkEnd w:id="111"/>
    <w:sectPr>
      <w:lnNumType w:countBy="1" w:restart="continuous"/>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hyperlink" Id="rId101" Target="https://api.waterdata.usgs.gov/docs/ogcapi" TargetMode="External" /><Relationship Type="http://schemas.openxmlformats.org/officeDocument/2006/relationships/hyperlink" Id="rId83" Target="https://doi.org/10.1002/env.2426" TargetMode="External" /><Relationship Type="http://schemas.openxmlformats.org/officeDocument/2006/relationships/hyperlink" Id="rId81" Target="https://doi.org/10.1016/j.ecolind.2020.107229" TargetMode="External" /><Relationship Type="http://schemas.openxmlformats.org/officeDocument/2006/relationships/hyperlink" Id="rId107" Target="https://doi.org/10.1016/j.jhydrol.2020.125135" TargetMode="External" /><Relationship Type="http://schemas.openxmlformats.org/officeDocument/2006/relationships/hyperlink" Id="rId87" Target="https://doi.org/10.1016/j.limno.2020.125760" TargetMode="External" /><Relationship Type="http://schemas.openxmlformats.org/officeDocument/2006/relationships/hyperlink" Id="rId93" Target="https://doi.org/10.1016/j.scitotenv.2020.142667" TargetMode="External" /><Relationship Type="http://schemas.openxmlformats.org/officeDocument/2006/relationships/hyperlink" Id="rId105" Target="https://doi.org/10.1038/s43247-026-03340-2" TargetMode="External" /><Relationship Type="http://schemas.openxmlformats.org/officeDocument/2006/relationships/hyperlink" Id="rId75" Target="https://doi.org/10.1371/journal.pone.0291239" TargetMode="External" /><Relationship Type="http://schemas.openxmlformats.org/officeDocument/2006/relationships/hyperlink" Id="rId103" Target="https://doi.org/10.3390/w16121669" TargetMode="External" /><Relationship Type="http://schemas.openxmlformats.org/officeDocument/2006/relationships/hyperlink" Id="rId79" Target="https://doi.org/10.5066/P96CPHOT" TargetMode="External" /><Relationship Type="http://schemas.openxmlformats.org/officeDocument/2006/relationships/hyperlink" Id="rId91" Target="https://gzb.nea.gov.cn/dtyw/hyxx/202310/t20231023_192141.html" TargetMode="External" /><Relationship Type="http://schemas.openxmlformats.org/officeDocument/2006/relationships/hyperlink" Id="rId95" Target="https://nid.sec.usace.army.mil/nid/" TargetMode="External" /><Relationship Type="http://schemas.openxmlformats.org/officeDocument/2006/relationships/hyperlink" Id="rId99" Target="https://pubs.usgs.gov/wdr/1973/ga-73-1/report.pdf" TargetMode="External" /><Relationship Type="http://schemas.openxmlformats.org/officeDocument/2006/relationships/hyperlink" Id="rId85" Target="https://rccdams.co.uk/dams/guanyinyan/" TargetMode="External" /><Relationship Type="http://schemas.openxmlformats.org/officeDocument/2006/relationships/hyperlink" Id="rId97" Target="https://water.usace.army.mil/cda/documents/wc/2050/ACF%20Buford_Final_Mar%202017.pdf" TargetMode="External" /><Relationship Type="http://schemas.openxmlformats.org/officeDocument/2006/relationships/hyperlink" Id="rId77" Target="https://www.china-cdt.com/dtwz/xwzx/sdbd/2026/6/I1516080066600108032.html" TargetMode="External" /><Relationship Type="http://schemas.openxmlformats.org/officeDocument/2006/relationships/hyperlink" Id="rId89" Target="https://www.mee.gov.cn/gkml/sthjbgw/spwj1/201412/t20141210_292787.htm" TargetMode="External" /></Relationships>
</file>

<file path=word/_rels/footnotes.xml.rels><?xml version="1.0" encoding="UTF-8"?><Relationships xmlns="http://schemas.openxmlformats.org/package/2006/relationships"><Relationship Type="http://schemas.openxmlformats.org/officeDocument/2006/relationships/hyperlink" Id="rId101" Target="https://api.waterdata.usgs.gov/docs/ogcapi" TargetMode="External" /><Relationship Type="http://schemas.openxmlformats.org/officeDocument/2006/relationships/hyperlink" Id="rId83" Target="https://doi.org/10.1002/env.2426" TargetMode="External" /><Relationship Type="http://schemas.openxmlformats.org/officeDocument/2006/relationships/hyperlink" Id="rId81" Target="https://doi.org/10.1016/j.ecolind.2020.107229" TargetMode="External" /><Relationship Type="http://schemas.openxmlformats.org/officeDocument/2006/relationships/hyperlink" Id="rId107" Target="https://doi.org/10.1016/j.jhydrol.2020.125135" TargetMode="External" /><Relationship Type="http://schemas.openxmlformats.org/officeDocument/2006/relationships/hyperlink" Id="rId87" Target="https://doi.org/10.1016/j.limno.2020.125760" TargetMode="External" /><Relationship Type="http://schemas.openxmlformats.org/officeDocument/2006/relationships/hyperlink" Id="rId93" Target="https://doi.org/10.1016/j.scitotenv.2020.142667" TargetMode="External" /><Relationship Type="http://schemas.openxmlformats.org/officeDocument/2006/relationships/hyperlink" Id="rId105" Target="https://doi.org/10.1038/s43247-026-03340-2" TargetMode="External" /><Relationship Type="http://schemas.openxmlformats.org/officeDocument/2006/relationships/hyperlink" Id="rId75" Target="https://doi.org/10.1371/journal.pone.0291239" TargetMode="External" /><Relationship Type="http://schemas.openxmlformats.org/officeDocument/2006/relationships/hyperlink" Id="rId103" Target="https://doi.org/10.3390/w16121669" TargetMode="External" /><Relationship Type="http://schemas.openxmlformats.org/officeDocument/2006/relationships/hyperlink" Id="rId79" Target="https://doi.org/10.5066/P96CPHOT" TargetMode="External" /><Relationship Type="http://schemas.openxmlformats.org/officeDocument/2006/relationships/hyperlink" Id="rId91" Target="https://gzb.nea.gov.cn/dtyw/hyxx/202310/t20231023_192141.html" TargetMode="External" /><Relationship Type="http://schemas.openxmlformats.org/officeDocument/2006/relationships/hyperlink" Id="rId95" Target="https://nid.sec.usace.army.mil/nid/" TargetMode="External" /><Relationship Type="http://schemas.openxmlformats.org/officeDocument/2006/relationships/hyperlink" Id="rId99" Target="https://pubs.usgs.gov/wdr/1973/ga-73-1/report.pdf" TargetMode="External" /><Relationship Type="http://schemas.openxmlformats.org/officeDocument/2006/relationships/hyperlink" Id="rId85" Target="https://rccdams.co.uk/dams/guanyinyan/" TargetMode="External" /><Relationship Type="http://schemas.openxmlformats.org/officeDocument/2006/relationships/hyperlink" Id="rId97" Target="https://water.usace.army.mil/cda/documents/wc/2050/ACF%20Buford_Final_Mar%202017.pdf" TargetMode="External" /><Relationship Type="http://schemas.openxmlformats.org/officeDocument/2006/relationships/hyperlink" Id="rId77" Target="https://www.china-cdt.com/dtwz/xwzx/sdbd/2026/6/I1516080066600108032.html" TargetMode="External" /><Relationship Type="http://schemas.openxmlformats.org/officeDocument/2006/relationships/hyperlink" Id="rId89" Target="https://www.mee.gov.cn/gkml/sthjbgw/spwj1/201412/t20141210_292787.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Reservoir-Associated Thermal Structure Predicts Stream-Temperature Recoverability in the Jinsha and Chattahoochee Rivers</dc:title>
  <dc:creator>[Full author names and affiliations required]</dc:creator>
  <cp:keywords>stream temperature, reservoir regulation, missing data, monitoring networks, thermal memory</cp:keywords>
  <dcterms:created xsi:type="dcterms:W3CDTF">2026-08-25T13:01:15Z</dcterms:created>
  <dcterms:modified xsi:type="dcterms:W3CDTF">2026-08-25T13:01:15Z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/home/lzq/workspace/parttime/stream-recoverability/paper/references.bib</vt:lpwstr>
  </property>
  <property fmtid="{D5CDD505-2E9C-101B-9397-08002B2CF9AE}" pid="3" name="date">
    <vt:lpwstr>Draft built from repository evidence</vt:lpwstr>
  </property>
</Properties>
</file>