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0.png" ContentType="image/png"/>
  <Override PartName="/word/media/rId33.png" ContentType="image/png"/>
  <Override PartName="/word/media/rId36.png" ContentType="image/png"/>
  <Override PartName="/word/media/rId4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 Against</w:t>
      </w:r>
      <w:r>
        <w:t xml:space="preserve"> </w:t>
      </w:r>
      <w:r>
        <w:t xml:space="preserve">the field-standard deep baseline — a top-down global LSTM — ThermoRoute is more</w:t>
      </w:r>
      <w:r>
        <w:t xml:space="preserve"> </w:t>
      </w:r>
      <w:r>
        <w:t xml:space="preserve">accurate at every lead, in-sample and out-of-region (paired p &lt; 3×10⁻⁵ throughout),</w:t>
      </w:r>
      <w:r>
        <w:t xml:space="preserve"> </w:t>
      </w:r>
      <w:r>
        <w:t xml:space="preserve">consistent with</w:t>
      </w:r>
      <w:r>
        <w:t xml:space="preserve"> </w:t>
      </w:r>
      <w:r>
        <w:t xml:space="preserve">the repeated finding that gradient boosting matches or beats deep sequence models on</w:t>
      </w:r>
      <w:r>
        <w:t xml:space="preserve"> </w:t>
      </w:r>
      <w:r>
        <w:t xml:space="preserve">strongly-autocorrelated daily hydrology. ThermoRoute thus matches the strongest</w:t>
      </w:r>
      <w:r>
        <w:t xml:space="preserve"> </w:t>
      </w:r>
      <w:r>
        <w:t xml:space="preserve">learner in point accuracy while adding three things a pure or hybrid learner does</w:t>
      </w:r>
      <w:r>
        <w:t xml:space="preserve"> </w:t>
      </w:r>
      <w:r>
        <w:t xml:space="preserve">not provide: (i) a</w:t>
      </w:r>
      <w:r>
        <w:t xml:space="preserve"> </w:t>
      </w:r>
      <w:r>
        <w:rPr>
          <w:b/>
          <w:bCs/>
        </w:rPr>
        <w:t xml:space="preserve">bounded-degradation guarantee</w:t>
      </w:r>
      <w:r>
        <w:t xml:space="preserve"> </w:t>
      </w:r>
      <w:r>
        <w:t xml:space="preserve">— because its residual is</w:t>
      </w:r>
      <w:r>
        <w:t xml:space="preserve"> </w:t>
      </w:r>
      <w:r>
        <w:rPr>
          <w:rStyle w:val="VerbatimChar"/>
        </w:rPr>
        <w:t xml:space="preserve">tanh</w:t>
      </w:r>
      <w:r>
        <w:t xml:space="preserve">-bounded to ±δ around the physics prior, RMSE is provably never worse than the</w:t>
      </w:r>
      <w:r>
        <w:t xml:space="preserve"> </w:t>
      </w:r>
      <w:r>
        <w:t xml:space="preserve">prior by more than δ °C on any station; we verify this holds on 100 % of blind-test</w:t>
      </w:r>
      <w:r>
        <w:t xml:space="preserve"> </w:t>
      </w:r>
      <w:r>
        <w:t xml:space="preserve">predictions and that the floor survives 358 km of spatial extrapolation (it still</w:t>
      </w:r>
      <w:r>
        <w:t xml:space="preserve"> </w:t>
      </w:r>
      <w:r>
        <w:t xml:space="preserve">beats persistence at 91 % of held-out-region station×horizon cells); (ii)</w:t>
      </w:r>
      <w:r>
        <w:t xml:space="preserve"> </w:t>
      </w:r>
      <w:r>
        <w:rPr>
          <w:b/>
          <w:bCs/>
        </w:rPr>
        <w:t xml:space="preserve">distribution-free calibrated uncertainty</w:t>
      </w:r>
      <w:r>
        <w:t xml:space="preserve"> </w:t>
      </w:r>
      <w:r>
        <w:t xml:space="preserve">— after conformal calibration on the</w:t>
      </w:r>
      <w:r>
        <w:t xml:space="preserve"> </w:t>
      </w:r>
      <w:r>
        <w:t xml:space="preserve">2018 hold-out year its 90 % intervals are empirically near-nominal (PICP 0.90 ± 0.01)</w:t>
      </w:r>
      <w:r>
        <w:t xml:space="preserve"> </w:t>
      </w:r>
      <w:r>
        <w:t xml:space="preserve">and its exceedance warning is the best-calibrated of the three (Brier skill</w:t>
      </w:r>
      <w:r>
        <w:t xml:space="preserve"> </w:t>
      </w:r>
      <w:r>
        <w:t xml:space="preserve">+0.74 / +0.60 / +0.51; highest AUROC); and (iii) interpretable variable–lag drivers.</w:t>
      </w:r>
      <w:r>
        <w:t xml:space="preserve"> </w:t>
      </w:r>
      <w:r>
        <w:t xml:space="preserve">On a generic cost–loss decision model, the calibrated warning has the highest</w:t>
      </w:r>
      <w:r>
        <w:t xml:space="preserve"> </w:t>
      </w:r>
      <w:r>
        <w:t xml:space="preserve">relative economic value across the operationally relevant (cheap-protection) range</w:t>
      </w:r>
      <w:r>
        <w:t xml:space="preserve"> </w:t>
      </w:r>
      <w:r>
        <w:t xml:space="preserve">of cost–loss ratios, illustrating that the RMSE tie with the strong learner does not</w:t>
      </w:r>
      <w:r>
        <w:t xml:space="preserve"> </w:t>
      </w:r>
      <w:r>
        <w:t xml:space="preserve">carry to a value tie; we frame this as a decision-relevance result rather than a</w:t>
      </w:r>
      <w:r>
        <w:t xml:space="preserve"> </w:t>
      </w:r>
      <w:r>
        <w:t xml:space="preserve">demonstrated management advantage, because the cost–loss model is generic and the</w:t>
      </w:r>
      <w:r>
        <w:t xml:space="preserve"> </w:t>
      </w:r>
      <w:r>
        <w:t xml:space="preserve">high-temperature threshold is a statistical (train q90) rather than ecological</w:t>
      </w:r>
      <w:r>
        <w:t xml:space="preserve"> </w:t>
      </w:r>
      <w:r>
        <w:t xml:space="preserve">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gives a per-station worst-case deployment floor —</w:t>
      </w:r>
      <w:r>
        <w:t xml:space="preserve"> </w:t>
      </w:r>
      <w:r>
        <w:t xml:space="preserve">RMSE never worse than the prior by more than δ °C — that we</w:t>
      </w:r>
      <w:r>
        <w:t xml:space="preserve"> </w:t>
      </w:r>
      <w:r>
        <w:rPr>
          <w:b/>
          <w:bCs/>
        </w:rPr>
        <w:t xml:space="preserve">verify empirically</w:t>
      </w:r>
      <w:r>
        <w:t xml:space="preserve"> </w:t>
      </w:r>
      <w:r>
        <w:t xml:space="preserve">holds on 100 % of blind-test predictions and survives 358 km of spatial</w:t>
      </w:r>
      <w:r>
        <w:t xml:space="preserve"> </w:t>
      </w:r>
      <w:r>
        <w:t xml:space="preserve">extrapolation, a guarantee neither a GBDT, an LSTM, nor a differentiable-hybrid</w:t>
      </w:r>
      <w:r>
        <w:t xml:space="preserve"> </w:t>
      </w:r>
      <w:r>
        <w:t xml:space="preserve">model states. (We initially framed the prior’s flow-/season-modulated relaxation</w:t>
      </w:r>
      <w:r>
        <w:t xml:space="preserve"> </w:t>
      </w:r>
      <w:r>
        <w:t xml:space="preserve">rate as a</w:t>
      </w:r>
      <w:r>
        <w:t xml:space="preserve"> </w:t>
      </w:r>
      <w:r>
        <w:t xml:space="preserve">“dynamic thermal memory”</w:t>
      </w:r>
      <w:r>
        <w:t xml:space="preserve">; §4.5 reports that this mechanism does</w:t>
      </w:r>
      <w:r>
        <w:t xml:space="preserve"> </w:t>
      </w:r>
      <w:r>
        <w:rPr>
          <w:i/>
          <w:iCs/>
        </w:rPr>
        <w:t xml:space="preserve">not</w:t>
      </w:r>
      <w:r>
        <w:t xml:space="preserve"> </w:t>
      </w:r>
      <w:r>
        <w:t xml:space="preserve">generalise, and we retain the prior only as a calibrated,</w:t>
      </w:r>
      <w:r>
        <w:t xml:space="preserve"> </w:t>
      </w:r>
      <w:r>
        <w:t xml:space="preserve">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the full temporal / unseen-station /</w:t>
      </w:r>
      <w:r>
        <w:t xml:space="preserve"> </w:t>
      </w:r>
      <w:r>
        <w:t xml:space="preserve">ungaged-region (TUURT) transfer triad the review prescribes, benchmarked against</w:t>
      </w:r>
      <w:r>
        <w:t xml:space="preserve"> </w:t>
      </w:r>
      <w:r>
        <w:t xml:space="preserve">persistence, damped persistence, an air2stream</w:t>
      </w:r>
      <w:r>
        <w:t xml:space="preserve"> </w:t>
      </w:r>
      <w:r>
        <w:rPr>
          <w:i/>
          <w:iCs/>
        </w:rPr>
        <w:t xml:space="preserve">variant</w:t>
      </w:r>
      <w:r>
        <w:t xml:space="preserve">, a global</w:t>
      </w:r>
      <w:r>
        <w:t xml:space="preserve"> </w:t>
      </w:r>
      <w:r>
        <w:rPr>
          <w:b/>
          <w:bCs/>
        </w:rPr>
        <w:t xml:space="preserve">and</w:t>
      </w:r>
      <w:r>
        <w:t xml:space="preserve"> </w:t>
      </w:r>
      <w:r>
        <w:t xml:space="preserve">per-station LightGBM, and a top-down global</w:t>
      </w:r>
      <w:r>
        <w:t xml:space="preserve"> </w:t>
      </w:r>
      <w:r>
        <w:rPr>
          <w:b/>
          <w:bCs/>
        </w:rPr>
        <w:t xml:space="preserve">LSTM</w:t>
      </w:r>
      <w:r>
        <w:t xml:space="preserve">, under a unified multi-metric</w:t>
      </w:r>
      <w:r>
        <w:t xml:space="preserve"> </w:t>
      </w:r>
      <w:r>
        <w:t xml:space="preserve">point + probabilistic (PICP, CRPS, reliability) + exceedance (Brier, AUROC) +</w:t>
      </w:r>
      <w:r>
        <w:t xml:space="preserve"> </w:t>
      </w:r>
      <w:r>
        <w:t xml:space="preserve">cost–loss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w:t>
      </w:r>
      <w:r>
        <w:t xml:space="preserve"> </w:t>
      </w:r>
      <w:r>
        <w:rPr>
          <w:b/>
          <w:bCs/>
        </w:rPr>
        <w:t xml:space="preserve">top-down global LSTM</w:t>
      </w:r>
      <w:r>
        <w:t xml:space="preserve"> </w:t>
      </w:r>
      <w:r>
        <w:t xml:space="preserve">— the field-standard</w:t>
      </w:r>
      <w:r>
        <w:t xml:space="preserve"> </w:t>
      </w:r>
      <w:r>
        <w:t xml:space="preserve">deep sequence baseline (Rahmani et al., 2021; Willard et al., 2024): a</w:t>
      </w:r>
      <w:r>
        <w:t xml:space="preserve"> </w:t>
      </w:r>
      <w:r>
        <w:t xml:space="preserve">station-agnostic 1-layer, 64-unit LSTM over a 14-day context, persistence-anchored</w:t>
      </w:r>
      <w:r>
        <w:t xml:space="preserve"> </w:t>
      </w:r>
      <w:r>
        <w:t xml:space="preserve">(it predicts the multi-day increment), trained under the identical Track-H splits</w:t>
      </w:r>
      <w:r>
        <w:t xml:space="preserve"> </w:t>
      </w:r>
      <w:r>
        <w:t xml:space="preserve">and composite loss so any gap to ThermoRoute is the physics prior and bounded</w:t>
      </w:r>
      <w:r>
        <w:t xml:space="preserve"> </w:t>
      </w:r>
      <w:r>
        <w:t xml:space="preserve">residual, not the training recipe;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45"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LSTM</w:t>
            </w:r>
          </w:p>
        </w:tc>
        <w:tc>
          <w:tcPr/>
          <w:p>
            <w:pPr>
              <w:pStyle w:val="Compact"/>
            </w:pPr>
            <w:r>
              <w:t xml:space="preserve">LightGBM (global)</w:t>
            </w:r>
          </w:p>
        </w:tc>
        <w:tc>
          <w:tcPr/>
          <w:p>
            <w:pPr>
              <w:pStyle w:val="Compact"/>
            </w:pPr>
            <w:r>
              <w:t xml:space="preserve">LightGBM (per-station)</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0.653</w:t>
            </w:r>
          </w:p>
        </w:tc>
        <w:tc>
          <w:tcPr/>
          <w:p>
            <w:pPr>
              <w:pStyle w:val="Compact"/>
            </w:pPr>
            <w:r>
              <w:t xml:space="preserve">0.620</w:t>
            </w:r>
          </w:p>
        </w:tc>
        <w:tc>
          <w:tcPr/>
          <w:p>
            <w:pPr>
              <w:pStyle w:val="Compact"/>
            </w:pPr>
            <w:r>
              <w:t xml:space="preserve">0.632</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1.362</w:t>
            </w:r>
          </w:p>
        </w:tc>
        <w:tc>
          <w:tcPr/>
          <w:p>
            <w:pPr>
              <w:pStyle w:val="Compact"/>
            </w:pPr>
            <w:r>
              <w:t xml:space="preserve">1.300</w:t>
            </w:r>
          </w:p>
        </w:tc>
        <w:tc>
          <w:tcPr/>
          <w:p>
            <w:pPr>
              <w:pStyle w:val="Compact"/>
            </w:pPr>
            <w:r>
              <w:t xml:space="preserve">1.324</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1.803</w:t>
            </w:r>
          </w:p>
        </w:tc>
        <w:tc>
          <w:tcPr/>
          <w:p>
            <w:pPr>
              <w:pStyle w:val="Compact"/>
            </w:pPr>
            <w:r>
              <w:t xml:space="preserve">1.669</w:t>
            </w:r>
          </w:p>
        </w:tc>
        <w:tc>
          <w:tcPr/>
          <w:p>
            <w:pPr>
              <w:pStyle w:val="Compact"/>
            </w:pPr>
            <w:r>
              <w:t xml:space="preserve">1.750</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the</w:t>
      </w:r>
      <w:r>
        <w:t xml:space="preserve"> </w:t>
      </w:r>
      <w:r>
        <w:rPr>
          <w:i/>
          <w:iCs/>
        </w:rPr>
        <w:t xml:space="preserve">global</w:t>
      </w:r>
      <w:r>
        <w:t xml:space="preserve"> </w:t>
      </w:r>
      <w:r>
        <w:t xml:space="preserve">LightGBM are a</w:t>
      </w:r>
      <w:r>
        <w:t xml:space="preserve"> </w:t>
      </w:r>
      <w:r>
        <w:t xml:space="preserve">statistical tie at 3–7 days and LightGBM leads at 1 day — see the paired tests</w:t>
      </w:r>
      <w:r>
        <w:t xml:space="preserve"> </w:t>
      </w:r>
      <w:r>
        <w:t xml:space="preserve">below and</w:t>
      </w:r>
      <w:r>
        <w:t xml:space="preserve"> </w:t>
      </w:r>
      <w:r>
        <w:rPr>
          <w:rStyle w:val="VerbatimChar"/>
        </w:rPr>
        <w:t xml:space="preserve">claim1_significance</w:t>
      </w:r>
      <w:r>
        <w:t xml:space="preserve">; the sub-0.02 °C median gaps are not individually</w:t>
      </w:r>
      <w:r>
        <w:t xml:space="preserve"> </w:t>
      </w:r>
      <w:r>
        <w:t xml:space="preserve">meaningful. We report</w:t>
      </w:r>
      <w:r>
        <w:t xml:space="preserve"> </w:t>
      </w:r>
      <w:r>
        <w:rPr>
          <w:b/>
          <w:bCs/>
        </w:rPr>
        <w:t xml:space="preserve">both</w:t>
      </w:r>
      <w:r>
        <w:t xml:space="preserve"> </w:t>
      </w:r>
      <w:r>
        <w:t xml:space="preserve">LightGBM configurations: the global model is the</w:t>
      </w:r>
      <w:r>
        <w:t xml:space="preserve"> </w:t>
      </w:r>
      <w:r>
        <w:t xml:space="preserve">stronger of the two on this panel — a</w:t>
      </w:r>
      <w:r>
        <w:t xml:space="preserve"> </w:t>
      </w:r>
      <w:r>
        <w:rPr>
          <w:i/>
          <w:iCs/>
        </w:rPr>
        <w:t xml:space="preserve">per-station</w:t>
      </w:r>
      <w:r>
        <w:t xml:space="preserve"> </w:t>
      </w:r>
      <w:r>
        <w:t xml:space="preserve">LightGBM over-fits the</w:t>
      </w:r>
      <w:r>
        <w:t xml:space="preserve"> </w:t>
      </w:r>
      <w:r>
        <w:t xml:space="preserve">limited per-gage record and is worse at 3–7 days (1.324 / 1.750) than both the</w:t>
      </w:r>
      <w:r>
        <w:t xml:space="preserve"> </w:t>
      </w:r>
      <w:r>
        <w:t xml:space="preserve">global model and ThermoRoute — so the parity comparison is against the stronger,</w:t>
      </w:r>
      <w:r>
        <w:t xml:space="preserve"> </w:t>
      </w:r>
      <w:r>
        <w:t xml:space="preserve">global LightGBM. The</w:t>
      </w:r>
      <w:r>
        <w:t xml:space="preserve"> </w:t>
      </w:r>
      <w:r>
        <w:rPr>
          <w:b/>
          <w:bCs/>
        </w:rPr>
        <w:t xml:space="preserve">top-down global LSTM</w:t>
      </w:r>
      <w:r>
        <w:t xml:space="preserve"> </w:t>
      </w:r>
      <w:r>
        <w:t xml:space="preserve">(0.653 / 1.362 / 1.803; in the</w:t>
      </w:r>
      <w:r>
        <w:t xml:space="preserve"> </w:t>
      </w:r>
      <w:r>
        <w:t xml:space="preserve">published daily-SWT LSTM band, Zwart et al. 2023) is a credible deep baseline that</w:t>
      </w:r>
      <w:r>
        <w:t xml:space="preserve"> </w:t>
      </w:r>
      <w:r>
        <w:t xml:space="preserve">beats persistence at every lead but sits behind both the global LightGBM and</w:t>
      </w:r>
      <w:r>
        <w:t xml:space="preserve"> </w:t>
      </w:r>
      <w:r>
        <w:t xml:space="preserve">ThermoRoute — consistent with the repeated finding that gradient boosting matches</w:t>
      </w:r>
      <w:r>
        <w:t xml:space="preserve"> </w:t>
      </w:r>
      <w:r>
        <w:t xml:space="preserve">or beats deep sequence models on strongly-autocorrelated tabular hydrology (Feigl</w:t>
      </w:r>
      <w:r>
        <w:t xml:space="preserve"> </w:t>
      </w:r>
      <w:r>
        <w:t xml:space="preserve">et al. 2021; Grinsztajn et al. 2022). ThermoRoute is more accurate than the LSTM at</w:t>
      </w:r>
      <w:r>
        <w:t xml:space="preserve"> </w:t>
      </w:r>
      <w:r>
        <w:t xml:space="preserve">every lead (per-station Wilcoxon p ≤ 2×10⁻¹⁵; better at 88 / 93 / 91 % of stations).</w:t>
      </w:r>
      <w:r>
        <w:t xml:space="preserve"> </w:t>
      </w:r>
      <w:r>
        <w:t xml:space="preserve">air2stream is the fair</w:t>
      </w:r>
      <w:r>
        <w:t xml:space="preserve"> </w:t>
      </w:r>
      <w:r>
        <w:rPr>
          <w:i/>
          <w:iCs/>
        </w:rPr>
        <w:t xml:space="preserve">variant</w:t>
      </w:r>
      <w:r>
        <w:t xml:space="preserve"> </w:t>
      </w:r>
      <w:r>
        <w:t xml:space="preserve">of §3.5, calibrated on observed-target days with</w:t>
      </w:r>
      <w:r>
        <w:t xml:space="preserve"> </w:t>
      </w:r>
      <w:r>
        <w:t xml:space="preserve">the observed air temperature driving the 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LSTM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0.671</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1.393</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1.825</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All three learned models transfer far out of region and beat persistence/damped by</w:t>
      </w:r>
      <w:r>
        <w:t xml:space="preserve"> </w:t>
      </w:r>
      <w:r>
        <w:t xml:space="preserve">a wide margin. Between ThermoRoute and the strong GBDT the result is a</w:t>
      </w:r>
      <w:r>
        <w:t xml:space="preserve"> </w:t>
      </w:r>
      <w:r>
        <w:rPr>
          <w:b/>
          <w:bCs/>
        </w:rPr>
        <w:t xml:space="preserve">horizon-conditional tie</w:t>
      </w:r>
      <w:r>
        <w:t xml:space="preserve"> </w:t>
      </w:r>
      <w:r>
        <w:t xml:space="preserve">— LightGBM is better at 1 day, the two are</w:t>
      </w:r>
      <w:r>
        <w:t xml:space="preserve"> </w:t>
      </w:r>
      <w:r>
        <w:t xml:space="preserve">indistinguishable at 3 days, and ThermoRoute is better at 7 days (the same ordering</w:t>
      </w:r>
      <w:r>
        <w:t xml:space="preserve"> </w:t>
      </w:r>
      <w:r>
        <w:t xml:space="preserve">as in-sample, §4.2). The</w:t>
      </w:r>
      <w:r>
        <w:t xml:space="preserve"> </w:t>
      </w:r>
      <w:r>
        <w:rPr>
          <w:b/>
          <w:bCs/>
        </w:rPr>
        <w:t xml:space="preserve">global LSTM transfers as well as the others but stays</w:t>
      </w:r>
      <w:r>
        <w:rPr>
          <w:b/>
          <w:bCs/>
        </w:rPr>
        <w:t xml:space="preserve"> </w:t>
      </w:r>
      <w:r>
        <w:rPr>
          <w:b/>
          <w:bCs/>
        </w:rPr>
        <w:t xml:space="preserve">behind both</w:t>
      </w:r>
      <w:r>
        <w:t xml:space="preserve"> </w:t>
      </w:r>
      <w:r>
        <w:t xml:space="preserve">at every lead (0.671 / 1.393 / 1.825; ThermoRoute better, paired</w:t>
      </w:r>
      <w:r>
        <w:t xml:space="preserve"> </w:t>
      </w:r>
      <w:r>
        <w:t xml:space="preserve">p = 2×10⁻⁵ / 1×10⁻¹⁸ / 6×10⁻²⁰ at 1 / 3 / 7 d), so the deep baseline does not close</w:t>
      </w:r>
      <w:r>
        <w:t xml:space="preserve"> </w:t>
      </w:r>
      <w:r>
        <w:t xml:space="preserve">the gap out of region either. We</w:t>
      </w:r>
      <w:r>
        <w:t xml:space="preserve"> </w:t>
      </w:r>
      <w:r>
        <w:t xml:space="preserve">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w:t>
      </w:r>
      <w:r>
        <w:rPr>
          <w:i/>
          <w:iCs/>
        </w:rPr>
        <w:t xml:space="preserve"> </w:t>
      </w:r>
      <w:r>
        <w:rPr>
          <w:i/>
          <w:iCs/>
        </w:rPr>
        <w:t xml:space="preserve">than</w:t>
      </w:r>
      <w:r>
        <w:t xml:space="preserve"> </w:t>
      </w:r>
      <w:r>
        <w:t xml:space="preserve">the strong learned baseline; we claim that a physics-biased, station-agnostic</w:t>
      </w:r>
      <w:r>
        <w:t xml:space="preserve"> </w:t>
      </w:r>
      <w:r>
        <w:t xml:space="preserve">model transfers</w:t>
      </w:r>
      <w:r>
        <w:t xml:space="preserve"> </w:t>
      </w:r>
      <w:r>
        <w:rPr>
          <w:i/>
          <w:iCs/>
        </w:rPr>
        <w:t xml:space="preserve">as well as</w:t>
      </w:r>
      <w:r>
        <w:t xml:space="preserve"> </w:t>
      </w:r>
      <w:r>
        <w:t xml:space="preserve">a global GBDT and better than a top-down LSTM, while</w:t>
      </w:r>
      <w:r>
        <w:t xml:space="preserve"> </w:t>
      </w:r>
      <w:r>
        <w:t xml:space="preserve">additionally carrying the calibrated intervals (§4.4), the bounded-degradation</w:t>
      </w:r>
      <w:r>
        <w:t xml:space="preserve"> </w:t>
      </w:r>
      <w:r>
        <w:t xml:space="preserve">guarantee (Proposition 1, verified out-of-region in §4.4) and the interpretable</w:t>
      </w:r>
      <w:r>
        <w:t xml:space="preserve"> </w:t>
      </w:r>
      <w:r>
        <w:t xml:space="preserve">drivers (§4.5) that neither learner provides. This honest delineation — parity in</w:t>
      </w:r>
      <w:r>
        <w:t xml:space="preserve"> </w:t>
      </w:r>
      <w:r>
        <w:t xml:space="preserve">point accuracy, advantage in the properties that matter for deployment — is the</w:t>
      </w:r>
      <w:r>
        <w:t xml:space="preserve"> </w:t>
      </w:r>
      <w:r>
        <w:t xml:space="preserve">paper’s central position.</w:t>
      </w:r>
    </w:p>
    <w:p>
      <w:pPr>
        <w:pStyle w:val="BodyText"/>
      </w:pPr>
      <w:r>
        <w:rPr>
          <w:b/>
          <w:bCs/>
        </w:rPr>
        <w:t xml:space="preserve">The transfer triad (TUURT).</w:t>
      </w:r>
      <w:r>
        <w:t xml:space="preserve"> </w:t>
      </w:r>
      <w:r>
        <w:t xml:space="preserve">The 2025 review [F1] prescribes</w:t>
      </w:r>
      <w:r>
        <w:t xml:space="preserve"> </w:t>
      </w:r>
      <w:r>
        <w:rPr>
          <w:i/>
          <w:iCs/>
        </w:rPr>
        <w:t xml:space="preserve">temporal, unseen</w:t>
      </w:r>
      <w:r>
        <w:rPr>
          <w:i/>
          <w:iCs/>
        </w:rPr>
        <w:t xml:space="preserve"> </w:t>
      </w:r>
      <w:r>
        <w:rPr>
          <w:i/>
          <w:iCs/>
        </w:rPr>
        <w:t xml:space="preserve">and ungaged-region tests</w:t>
      </w:r>
      <w:r>
        <w:t xml:space="preserve"> </w:t>
      </w:r>
      <w:r>
        <w:t xml:space="preserve">as the standard for extrapolation confidence, and notes</w:t>
      </w:r>
      <w:r>
        <w:t xml:space="preserve"> </w:t>
      </w:r>
      <w:r>
        <w:t xml:space="preserve">most ML stream-temperature studies run none. ThermoRoute passes all three with</w:t>
      </w:r>
      <w:r>
        <w:t xml:space="preserve"> </w:t>
      </w:r>
      <w:r>
        <w:t xml:space="preserve">positive skill over persistence at every lead, degrading gracefully as the</w:t>
      </w:r>
      <w:r>
        <w:t xml:space="preserve"> </w:t>
      </w:r>
      <w:r>
        <w:t xml:space="preserve">extrapolation demand grows (Table 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arm</w:t>
            </w:r>
          </w:p>
        </w:tc>
        <w:tc>
          <w:tcPr/>
          <w:p>
            <w:pPr>
              <w:pStyle w:val="Compact"/>
            </w:pPr>
            <w:r>
              <w:t xml:space="preserve">protocol</w:t>
            </w:r>
          </w:p>
        </w:tc>
        <w:tc>
          <w:tcPr/>
          <w:p>
            <w:pPr>
              <w:pStyle w:val="Compact"/>
            </w:pPr>
            <w:r>
              <w:t xml:space="preserve">skill vs persistence (1 / 3 / 7 d)</w:t>
            </w:r>
          </w:p>
        </w:tc>
      </w:tr>
      <w:tr>
        <w:tc>
          <w:tcPr/>
          <w:p>
            <w:pPr>
              <w:pStyle w:val="Compact"/>
            </w:pPr>
            <w:r>
              <w:t xml:space="preserve">Temporal</w:t>
            </w:r>
          </w:p>
        </w:tc>
        <w:tc>
          <w:tcPr/>
          <w:p>
            <w:pPr>
              <w:pStyle w:val="Compact"/>
            </w:pPr>
            <w:r>
              <w:t xml:space="preserve">future 2019–2020, seen stations</w:t>
            </w:r>
          </w:p>
        </w:tc>
        <w:tc>
          <w:tcPr/>
          <w:p>
            <w:pPr>
              <w:pStyle w:val="Compact"/>
            </w:pPr>
            <w:r>
              <w:t xml:space="preserve">+0.204 / +0.186 / +0.247</w:t>
            </w:r>
          </w:p>
        </w:tc>
      </w:tr>
      <w:tr>
        <w:tc>
          <w:tcPr/>
          <w:p>
            <w:pPr>
              <w:pStyle w:val="Compact"/>
            </w:pPr>
            <w:r>
              <w:t xml:space="preserve">Unseen station</w:t>
            </w:r>
          </w:p>
        </w:tc>
        <w:tc>
          <w:tcPr/>
          <w:p>
            <w:pPr>
              <w:pStyle w:val="Compact"/>
            </w:pPr>
            <w:r>
              <w:t xml:space="preserve">random 4-fold leave-group-out</w:t>
            </w:r>
          </w:p>
        </w:tc>
        <w:tc>
          <w:tcPr/>
          <w:p>
            <w:pPr>
              <w:pStyle w:val="Compact"/>
            </w:pPr>
            <w:r>
              <w:t xml:space="preserve">+0.173 / +0.169 / +0.241</w:t>
            </w:r>
          </w:p>
        </w:tc>
      </w:tr>
      <w:tr>
        <w:tc>
          <w:tcPr/>
          <w:p>
            <w:pPr>
              <w:pStyle w:val="Compact"/>
            </w:pPr>
            <w:r>
              <w:t xml:space="preserve">Ungaged region</w:t>
            </w:r>
          </w:p>
        </w:tc>
        <w:tc>
          <w:tcPr/>
          <w:p>
            <w:pPr>
              <w:pStyle w:val="Compact"/>
            </w:pPr>
            <w:r>
              <w:t xml:space="preserve">leave-HUC2-region-out (~358 km)</w:t>
            </w:r>
          </w:p>
        </w:tc>
        <w:tc>
          <w:tcPr/>
          <w:p>
            <w:pPr>
              <w:pStyle w:val="Compact"/>
            </w:pPr>
            <w:r>
              <w:t xml:space="preserve">+0.151 / +0.169 / +0.237</w:t>
            </w:r>
          </w:p>
        </w:tc>
      </w:tr>
    </w:tbl>
    <w:p>
      <w:pPr>
        <w:pStyle w:val="BodyText"/>
      </w:pPr>
      <w:r>
        <w:t xml:space="preserve">Skill is positive against</w:t>
      </w:r>
      <w:r>
        <w:t xml:space="preserve"> </w:t>
      </w:r>
      <w:r>
        <w:rPr>
          <w:i/>
          <w:iCs/>
        </w:rPr>
        <w:t xml:space="preserve">damped</w:t>
      </w:r>
      <w:r>
        <w:t xml:space="preserve"> </w:t>
      </w:r>
      <w:r>
        <w:t xml:space="preserve">persistence too on every arm and lead</w:t>
      </w:r>
      <w:r>
        <w:t xml:space="preserve"> </w:t>
      </w:r>
      <w:r>
        <w:t xml:space="preserve">(+0.17/+0.08/+0.03 temporal down to +0.12/+0.05/+0.03 ungaged-region), and the</w:t>
      </w:r>
      <w:r>
        <w:t xml:space="preserve"> </w:t>
      </w:r>
      <w:r>
        <w:t xml:space="preserve">monotone erosion from temporal to unseen-station to ungaged-region is the expected,</w:t>
      </w:r>
      <w:r>
        <w:t xml:space="preserve"> </w:t>
      </w:r>
      <w:r>
        <w:t xml:space="preserve">honest signature of genuine spatial extrapolation rather than leakage.</w:t>
      </w:r>
    </w:p>
    <w:bookmarkEnd w:id="26"/>
    <w:bookmarkStart w:id="39"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6). Applying the</w:t>
      </w:r>
      <w:r>
        <w:t xml:space="preserve"> </w:t>
      </w:r>
      <w:r>
        <w:rPr>
          <w:i/>
          <w:iCs/>
        </w:rPr>
        <w:t xml:space="preserve">identical</w:t>
      </w:r>
      <w:r>
        <w:t xml:space="preserve"> </w:t>
      </w:r>
      <w:r>
        <w:t xml:space="preserve">split-conformal wrapper to the two learned</w:t>
      </w:r>
      <w:r>
        <w:t xml:space="preserve"> </w:t>
      </w:r>
      <w:r>
        <w:t xml:space="preserve">baselines, both are calibrated to the same level (LightGBM PICP 0.906 / 0.906 /</w:t>
      </w:r>
      <w:r>
        <w:t xml:space="preserve"> </w:t>
      </w:r>
      <w:r>
        <w:t xml:space="preserve">0.907; LSTM 0.905 / 0.912 / 0.912), so calibrated coverage is a property any of the</w:t>
      </w:r>
      <w:r>
        <w:t xml:space="preserve"> </w:t>
      </w:r>
      <w:r>
        <w:t xml:space="preserve">models can be given and is</w:t>
      </w:r>
      <w:r>
        <w:t xml:space="preserve"> </w:t>
      </w:r>
      <w:r>
        <w:rPr>
          <w:b/>
          <w:bCs/>
        </w:rPr>
        <w:t xml:space="preserve">not</w:t>
      </w:r>
      <w:r>
        <w:t xml:space="preserve"> </w:t>
      </w:r>
      <w:r>
        <w:t xml:space="preserve">by itself ThermoRoute’s differentiator; its</w:t>
      </w:r>
      <w:r>
        <w:t xml:space="preserve"> </w:t>
      </w:r>
      <w:r>
        <w:t xml:space="preserve">intervals are also the sharpest of the three (CRPS 0.246 / 0.505 / 0.633, versus</w:t>
      </w:r>
      <w:r>
        <w:t xml:space="preserve"> </w:t>
      </w:r>
      <w:r>
        <w:t xml:space="preserve">LightGBM 0.240 / 0.503 / 0.630 and LSTM 0.258 / 0.534 / 0.688 — on par with the GBDT</w:t>
      </w:r>
      <w:r>
        <w:t xml:space="preserve"> </w:t>
      </w:r>
      <w:r>
        <w:t xml:space="preserve">and ahead of the LSTM). On the smaller 40-station pilot the same model is calibrated</w:t>
      </w:r>
      <w:r>
        <w:t xml:space="preserve"> </w:t>
      </w:r>
      <w:r>
        <w:t xml:space="preserve">at the</w:t>
      </w:r>
      <w:r>
        <w:t xml:space="preserve"> </w:t>
      </w:r>
      <w:r>
        <w:rPr>
          <w:i/>
          <w:iCs/>
        </w:rPr>
        <w:t xml:space="preserve">population</w:t>
      </w:r>
      <w:r>
        <w:t xml:space="preserve"> </w:t>
      </w:r>
      <w:r>
        <w:t xml:space="preserve">level (median PICP 0.90–0.91) with a wider per-station spread</w:t>
      </w:r>
      <w:r>
        <w:t xml:space="preserve"> </w:t>
      </w:r>
      <w:r>
        <w:t xml:space="preserve">(n=36 per-station PICP range 0.81–0.97), and on the three-station cascade the spread</w:t>
      </w:r>
      <w:r>
        <w:t xml:space="preserve"> </w:t>
      </w:r>
      <w:r>
        <w:t xml:space="preserve">is wider still (0.79–0.91, §4.1), so we treat tight per-station coverage as a</w:t>
      </w:r>
      <w:r>
        <w:t xml:space="preserve"> </w:t>
      </w:r>
      <w:r>
        <w:t xml:space="preserve">property of the large-sample regime, not a guarantee.</w:t>
      </w:r>
    </w:p>
    <w:p>
      <w:pPr>
        <w:pStyle w:val="BodyText"/>
      </w:pPr>
      <w:r>
        <w:rPr>
          <w:b/>
          <w:bCs/>
        </w:rPr>
        <w:t xml:space="preserve">Conditional coverage under non-exchangeability (ACI).</w:t>
      </w:r>
      <w:r>
        <w:t xml:space="preserve"> </w:t>
      </w:r>
      <w:r>
        <w:t xml:space="preserve">Split-CQR’s formal</w:t>
      </w:r>
      <w:r>
        <w:t xml:space="preserve"> </w:t>
      </w:r>
      <w:r>
        <w:t xml:space="preserve">guarantee assumes exchangeability, so a natural worry is that the near-nominal</w:t>
      </w:r>
      <w:r>
        <w:t xml:space="preserve"> </w:t>
      </w:r>
      <w:r>
        <w:rPr>
          <w:i/>
          <w:iCs/>
        </w:rPr>
        <w:t xml:space="preserve">marginal</w:t>
      </w:r>
      <w:r>
        <w:t xml:space="preserve"> </w:t>
      </w:r>
      <w:r>
        <w:t xml:space="preserve">PICP hides</w:t>
      </w:r>
      <w:r>
        <w:t xml:space="preserve"> </w:t>
      </w:r>
      <w:r>
        <w:rPr>
          <w:i/>
          <w:iCs/>
        </w:rPr>
        <w:t xml:space="preserve">conditional</w:t>
      </w:r>
      <w:r>
        <w:t xml:space="preserve"> </w:t>
      </w:r>
      <w:r>
        <w:t xml:space="preserve">under-coverage across regimes or regions. We</w:t>
      </w:r>
      <w:r>
        <w:t xml:space="preserve"> </w:t>
      </w:r>
      <w:r>
        <w:t xml:space="preserve">test this with Adaptive Conformal Inference (Gibbs &amp; Candès, 2021), which updates</w:t>
      </w:r>
      <w:r>
        <w:t xml:space="preserve"> </w:t>
      </w:r>
      <w:r>
        <w:t xml:space="preserve">the miscoverage level α_t online along each station’s 2019–2020 test sequence and</w:t>
      </w:r>
      <w:r>
        <w:t xml:space="preserve"> </w:t>
      </w:r>
      <w:r>
        <w:t xml:space="preserve">therefore self-corrects under temporal drift without any exchangeability assumption.</w:t>
      </w:r>
      <w:r>
        <w:t xml:space="preserve"> </w:t>
      </w:r>
      <w:r>
        <w:t xml:space="preserve">Both schemes are near-nominal marginally (split-CQR 0.908, ACI 0.901), but ACI’s</w:t>
      </w:r>
      <w:r>
        <w:t xml:space="preserve"> </w:t>
      </w:r>
      <w:r>
        <w:t xml:space="preserve">value is</w:t>
      </w:r>
      <w:r>
        <w:t xml:space="preserve"> </w:t>
      </w:r>
      <w:r>
        <w:rPr>
          <w:i/>
          <w:iCs/>
        </w:rPr>
        <w:t xml:space="preserve">cross-region uniformity</w:t>
      </w:r>
      <w:r>
        <w:t xml:space="preserve">: it collapses the per-HUC2 coverage spread from a</w:t>
      </w:r>
      <w:r>
        <w:t xml:space="preserve"> </w:t>
      </w:r>
      <w:r>
        <w:t xml:space="preserve">standard deviation of 0.014 (regions ranging 0.88–0.93) to 0.003 (0.90–0.91), so</w:t>
      </w:r>
      <w:r>
        <w:t xml:space="preserve"> </w:t>
      </w:r>
      <w:r>
        <w:t xml:space="preserve">every region lands near nominal instead of some over- or under-covering — the</w:t>
      </w:r>
      <w:r>
        <w:t xml:space="preserve"> </w:t>
      </w:r>
      <w:r>
        <w:t xml:space="preserve">spatial non-exchangeability most relevant to a large-sample study. The one slice ACI</w:t>
      </w:r>
      <w:r>
        <w:t xml:space="preserve"> </w:t>
      </w:r>
      <w:r>
        <w:t xml:space="preserve">does not repair is the rare warm tail, where it under-covers (0.887 versus split-CQR</w:t>
      </w:r>
      <w:r>
        <w:t xml:space="preserve"> </w:t>
      </w:r>
      <w:r>
        <w:t xml:space="preserve">0.911); adaptivity cannot fully correct a regime that is both rare and temporally</w:t>
      </w:r>
      <w:r>
        <w:t xml:space="preserve"> </w:t>
      </w:r>
      <w:r>
        <w:t xml:space="preserve">clustered, and we report this openly. ACI thus buys conditional coverage uniformity</w:t>
      </w:r>
      <w:r>
        <w:t xml:space="preserve"> </w:t>
      </w:r>
      <w:r>
        <w:t xml:space="preserve">on top of split-CQR’s marginal coverage at essentially no cost.</w:t>
      </w:r>
    </w:p>
    <w:p>
      <w:pPr>
        <w:pStyle w:val="BodyText"/>
      </w:pPr>
      <w:r>
        <w:rPr>
          <w:b/>
          <w:bCs/>
        </w:rPr>
        <w:t xml:space="preserve">Bounded-degradation guarantee, verified (Proposition 1).</w:t>
      </w:r>
      <w:r>
        <w:t xml:space="preserve"> </w:t>
      </w:r>
      <w:r>
        <w:t xml:space="preserve">ThermoRoute’s genuine</w:t>
      </w:r>
      <w:r>
        <w:t xml:space="preserve"> </w:t>
      </w:r>
      <w:r>
        <w:t xml:space="preserve">distinguishing property is one no pure or hybrid learner states: because the neural</w:t>
      </w:r>
      <w:r>
        <w:t xml:space="preserve"> </w:t>
      </w:r>
      <w:r>
        <w:t xml:space="preserve">residual is</w:t>
      </w:r>
      <w:r>
        <w:t xml:space="preserve"> </w:t>
      </w:r>
      <w:r>
        <w:rPr>
          <w:rStyle w:val="VerbatimChar"/>
        </w:rPr>
        <w:t xml:space="preserve">tanh</w:t>
      </w:r>
      <w:r>
        <w:t xml:space="preserve">-bounded to ±δ around the physics prior, per sample</w:t>
      </w:r>
      <w:r>
        <w:t xml:space="preserve"> </w:t>
      </w:r>
      <w:r>
        <w:t xml:space="preserve">|median−y| ≤ |prior−y|+δ, hence per station RMSE(model) ≤ RMSE(prior)+δ — a</w:t>
      </w:r>
      <w:r>
        <w:t xml:space="preserve"> </w:t>
      </w:r>
      <w:r>
        <w:t xml:space="preserve">worst-case deployment floor. We verify it on the blind test: the pointwise bound</w:t>
      </w:r>
      <w:r>
        <w:t xml:space="preserve"> </w:t>
      </w:r>
      <w:r>
        <w:t xml:space="preserve">holds on</w:t>
      </w:r>
      <w:r>
        <w:t xml:space="preserve"> </w:t>
      </w:r>
      <w:r>
        <w:rPr>
          <w:b/>
          <w:bCs/>
        </w:rPr>
        <w:t xml:space="preserve">100.0 %</w:t>
      </w:r>
      <w:r>
        <w:t xml:space="preserve"> </w:t>
      </w:r>
      <w:r>
        <w:t xml:space="preserve">of predictions and the per-station RMSE ceiling holds on</w:t>
      </w:r>
      <w:r>
        <w:t xml:space="preserve"> </w:t>
      </w:r>
      <w:r>
        <w:rPr>
          <w:b/>
          <w:bCs/>
        </w:rPr>
        <w:t xml:space="preserve">100 %</w:t>
      </w:r>
      <w:r>
        <w:t xml:space="preserve"> </w:t>
      </w:r>
      <w:r>
        <w:t xml:space="preserve">of station×horizon cells (Figure 3a). The bound is not decorative — the</w:t>
      </w:r>
      <w:r>
        <w:t xml:space="preserve"> </w:t>
      </w:r>
      <w:r>
        <w:t xml:space="preserve">residual is engaged (non-zero) on</w:t>
      </w:r>
      <w:r>
        <w:t xml:space="preserve"> </w:t>
      </w:r>
      <w:r>
        <w:rPr>
          <w:b/>
          <w:bCs/>
        </w:rPr>
        <w:t xml:space="preserve">81 %</w:t>
      </w:r>
      <w:r>
        <w:t xml:space="preserve"> </w:t>
      </w:r>
      <w:r>
        <w:t xml:space="preserve">of samples — yet the ±δ cap only has to</w:t>
      </w:r>
      <w:r>
        <w:t xml:space="preserve"> </w:t>
      </w:r>
      <w:r>
        <w:t xml:space="preserve">bind on</w:t>
      </w:r>
      <w:r>
        <w:t xml:space="preserve"> </w:t>
      </w:r>
      <w:r>
        <w:rPr>
          <w:b/>
          <w:bCs/>
        </w:rPr>
        <w:t xml:space="preserve">3 %</w:t>
      </w:r>
      <w:r>
        <w:t xml:space="preserve"> </w:t>
      </w:r>
      <w:r>
        <w:t xml:space="preserve">of them, so δ = 1 °C is a hard ceiling the working residual rarely</w:t>
      </w:r>
      <w:r>
        <w:t xml:space="preserve"> </w:t>
      </w:r>
      <w:r>
        <w:t xml:space="preserve">touches (Figure 3b). The floor is not an in-sample artifact: on the</w:t>
      </w:r>
      <w:r>
        <w:t xml:space="preserve"> </w:t>
      </w:r>
      <w:r>
        <w:t xml:space="preserve">leave-HUC2-region-out held-out stations, ThermoRoute still beats persistence at</w:t>
      </w:r>
      <w:r>
        <w:t xml:space="preserve"> </w:t>
      </w:r>
      <w:r>
        <w:rPr>
          <w:b/>
          <w:bCs/>
        </w:rPr>
        <w:t xml:space="preserve">91 %</w:t>
      </w:r>
      <w:r>
        <w:t xml:space="preserve"> </w:t>
      </w:r>
      <w:r>
        <w:t xml:space="preserve">of station×horizon cells, i.e. the guarantee survives 358 km of spatial</w:t>
      </w:r>
      <w:r>
        <w:t xml:space="preserve"> </w:t>
      </w:r>
      <w:r>
        <w:t xml:space="preserve">extrapolation. Neither the LightGBM nor the LSTM — nor differentiable-hybrid stream</w:t>
      </w:r>
      <w:r>
        <w:t xml:space="preserve"> </w:t>
      </w:r>
      <w:r>
        <w:t xml:space="preserve">temperature models (Rahmani et al., 2023) — can state a comparable per-station</w:t>
      </w:r>
      <w:r>
        <w:t xml:space="preserve"> </w:t>
      </w:r>
      <w:r>
        <w:t xml:space="preserve">worst-case bound.</w:t>
      </w:r>
    </w:p>
    <w:p>
      <w:pPr>
        <w:pStyle w:val="CaptionedFigure"/>
      </w:pPr>
      <w:r>
        <w:drawing>
          <wp:inline>
            <wp:extent cx="4800600" cy="1892614"/>
            <wp:effectExtent b="0" l="0" r="0" t="0"/>
            <wp:docPr descr="Figure 3. 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 title="" id="28" name="Picture"/>
            <a:graphic>
              <a:graphicData uri="http://schemas.openxmlformats.org/drawingml/2006/picture">
                <pic:pic>
                  <pic:nvPicPr>
                    <pic:cNvPr descr="outputs/figures/fig_prop1_binding.png" id="29" name="Picture"/>
                    <pic:cNvPicPr>
                      <a:picLocks noChangeArrowheads="1" noChangeAspect="1"/>
                    </pic:cNvPicPr>
                  </pic:nvPicPr>
                  <pic:blipFill>
                    <a:blip r:embed="rId27"/>
                    <a:stretch>
                      <a:fillRect/>
                    </a:stretch>
                  </pic:blipFill>
                  <pic:spPr bwMode="auto">
                    <a:xfrm>
                      <a:off x="0" y="0"/>
                      <a:ext cx="4800600" cy="189261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ThermoRoute leads both learned baselines on the calibrated</w:t>
      </w:r>
      <w:r>
        <w:t xml:space="preserve"> </w:t>
      </w:r>
      <w:r>
        <w:t xml:space="preserve">warning: Brier skill</w:t>
      </w:r>
      <w:r>
        <w:t xml:space="preserve"> </w:t>
      </w:r>
      <w:r>
        <w:rPr>
          <w:b/>
          <w:bCs/>
        </w:rPr>
        <w:t xml:space="preserve">+0.74 / +0.60 / +0.51</w:t>
      </w:r>
      <w:r>
        <w:t xml:space="preserve"> </w:t>
      </w:r>
      <w:r>
        <w:t xml:space="preserve">and AUROC 0.989 / 0.975 / 0.963 at</w:t>
      </w:r>
      <w:r>
        <w:t xml:space="preserve"> </w:t>
      </w:r>
      <w:r>
        <w:t xml:space="preserve">1 / 3 / 7 d, ahead of LightGBM (+0.73 / +0.57 / +0.49) and the LSTM</w:t>
      </w:r>
      <w:r>
        <w:t xml:space="preserve"> </w:t>
      </w:r>
      <w:r>
        <w:t xml:space="preserve">(+0.68 / +0.56 / +0.48), and its reliability curve tracks the diagonal most closely</w:t>
      </w:r>
      <w:r>
        <w:t xml:space="preserve"> </w:t>
      </w:r>
      <w:r>
        <w:t xml:space="preserve">(Figure 4). The exceedance threshold is</w:t>
      </w:r>
      <w:r>
        <w:t xml:space="preserve"> </w:t>
      </w:r>
      <w:r>
        <w:rPr>
          <w:b/>
          <w:bCs/>
        </w:rPr>
        <w:t xml:space="preserve">statistical</w:t>
      </w:r>
      <w:r>
        <w:t xml:space="preserve">, set as the station-specific</w:t>
      </w:r>
      <w:r>
        <w:t xml:space="preserve"> </w:t>
      </w:r>
      <w:r>
        <w:t xml:space="preserve">train-period 90th percentile of WTEMP — it is not a biological or regulatory limit</w:t>
      </w:r>
      <w:r>
        <w:t xml:space="preserve"> </w:t>
      </w:r>
      <w:r>
        <w:t xml:space="preserve">and the skill numbers should be read accordingly.</w:t>
      </w:r>
    </w:p>
    <w:p>
      <w:pPr>
        <w:pStyle w:val="CaptionedFigure"/>
      </w:pPr>
      <w:r>
        <w:drawing>
          <wp:inline>
            <wp:extent cx="2933700" cy="3010959"/>
            <wp:effectExtent b="0" l="0" r="0" t="0"/>
            <wp:docPr descr="Figure 4. Reliability of the high-temperature exceedance warning (all leads pooled). Forecast probability versus observed exceedance frequency; ThermoRoute’s calibrated warning tracks the diagonal most closely, ahead of the LightGBM and LSTM." title="" id="31" name="Picture"/>
            <a:graphic>
              <a:graphicData uri="http://schemas.openxmlformats.org/drawingml/2006/picture">
                <pic:pic>
                  <pic:nvPicPr>
                    <pic:cNvPr descr="outputs/figures/fig_reliability.png" id="32" name="Picture"/>
                    <pic:cNvPicPr>
                      <a:picLocks noChangeArrowheads="1" noChangeAspect="1"/>
                    </pic:cNvPicPr>
                  </pic:nvPicPr>
                  <pic:blipFill>
                    <a:blip r:embed="rId30"/>
                    <a:stretch>
                      <a:fillRect/>
                    </a:stretch>
                  </pic:blipFill>
                  <pic:spPr bwMode="auto">
                    <a:xfrm>
                      <a:off x="0" y="0"/>
                      <a:ext cx="2933700" cy="301095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Reliability of the high-temperature exceedance warning (all leads pooled). Forecast probability versus observed exceedance frequency; ThermoRoute’s calibrated warning tracks the diagonal most closely, ahead of the LightGBM and LSTM.</w:t>
      </w:r>
    </w:p>
    <w:p>
      <w:pPr>
        <w:pStyle w:val="BodyText"/>
      </w:pPr>
      <w:r>
        <w:t xml:space="preserve">To show the warning does not hinge on the arbitrary 90th-percentile cut-off, we</w:t>
      </w:r>
      <w:r>
        <w:t xml:space="preserve"> </w:t>
      </w:r>
      <w:r>
        <w:t xml:space="preserve">also score exceedance of the</w:t>
      </w:r>
      <w:r>
        <w:t xml:space="preserve"> </w:t>
      </w:r>
      <w:r>
        <w:rPr>
          <w:b/>
          <w:bCs/>
        </w:rPr>
        <w:t xml:space="preserve">fixed EPA 7-day-average-daily-maximum salmonid</w:t>
      </w:r>
      <w:r>
        <w:rPr>
          <w:b/>
          <w:bCs/>
        </w:rPr>
        <w:t xml:space="preserve"> </w:t>
      </w:r>
      <w:r>
        <w:rPr>
          <w:b/>
          <w:bCs/>
        </w:rPr>
        <w:t xml:space="preserve">criteria</w:t>
      </w:r>
      <w:r>
        <w:t xml:space="preserve"> </w:t>
      </w:r>
      <w:r>
        <w:t xml:space="preserve">— 18 °C (rearing) and 20 °C (migration) — reading a calibrated exceedance</w:t>
      </w:r>
      <w:r>
        <w:t xml:space="preserve"> </w:t>
      </w:r>
      <w:r>
        <w:t xml:space="preserve">probability at each absolute threshold off the conformalised predictive distribution</w:t>
      </w:r>
      <w:r>
        <w:t xml:space="preserve"> </w:t>
      </w:r>
      <w:r>
        <w:t xml:space="preserve">(no retraining), on the free-flowing stations where the threshold is ecologically</w:t>
      </w:r>
      <w:r>
        <w:t xml:space="preserve"> </w:t>
      </w:r>
      <w:r>
        <w:t xml:space="preserve">live (test base rate 0.05–0.60; n = 71 and 62). The calibrated warnings retain</w:t>
      </w:r>
      <w:r>
        <w:t xml:space="preserve"> </w:t>
      </w:r>
      <w:r>
        <w:t xml:space="preserve">strong Brier skill (ThermoRoute +0.93 / +0.85 / +0.81 at 18 °C for 1 / 3 / 7 d;</w:t>
      </w:r>
      <w:r>
        <w:t xml:space="preserve"> </w:t>
      </w:r>
      <w:r>
        <w:t xml:space="preserve">AUROC ≥ 0.99 / 0.99 / 0.99) and beat a deterministic persistence-threshold warning</w:t>
      </w:r>
      <w:r>
        <w:t xml:space="preserve"> </w:t>
      </w:r>
      <w:r>
        <w:t xml:space="preserve">(+0.87 / +0.73 / +0.62) at every lead; ThermoRoute and the global LightGBM are again</w:t>
      </w:r>
      <w:r>
        <w:t xml:space="preserve"> </w:t>
      </w:r>
      <w:r>
        <w:t xml:space="preserve">on par and both ahead of the LSTM. The exceedance contribution therefore carries</w:t>
      </w:r>
      <w:r>
        <w:t xml:space="preserve"> </w:t>
      </w:r>
      <w:r>
        <w:t xml:space="preserve">regulatory meaning, not just a statistical convention.</w:t>
      </w:r>
    </w:p>
    <w:p>
      <w:pPr>
        <w:pStyle w:val="BodyText"/>
      </w:pPr>
      <w:r>
        <w:rPr>
          <w:b/>
          <w:bCs/>
        </w:rPr>
        <w:t xml:space="preserve">Decision value.</w:t>
      </w:r>
      <w:r>
        <w:t xml:space="preserve"> </w:t>
      </w:r>
      <w:r>
        <w:t xml:space="preserve">On a generic cost–loss decision model (Wilks 2011), we score</w:t>
      </w:r>
      <w:r>
        <w:t xml:space="preserve"> </w:t>
      </w:r>
      <w:r>
        <w:t xml:space="preserve">the exceedance decision</w:t>
      </w:r>
      <w:r>
        <w:t xml:space="preserve"> </w:t>
      </w:r>
      <w:r>
        <w:t xml:space="preserve">“protect iff p &gt; α”</w:t>
      </w:r>
      <w:r>
        <w:t xml:space="preserve"> </w:t>
      </w:r>
      <w:r>
        <w:t xml:space="preserve">over the full cost–loss ratio grid</w:t>
      </w:r>
      <w:r>
        <w:t xml:space="preserve"> </w:t>
      </w:r>
      <w:r>
        <w:t xml:space="preserve">α ∈ (0, 1) — the framing of Modi et al. (2025), who show forecast</w:t>
      </w:r>
      <w:r>
        <w:t xml:space="preserve"> </w:t>
      </w:r>
      <w:r>
        <w:rPr>
          <w:i/>
          <w:iCs/>
        </w:rPr>
        <w:t xml:space="preserve">value</w:t>
      </w:r>
      <w:r>
        <w:t xml:space="preserve"> </w:t>
      </w:r>
      <w:r>
        <w:t xml:space="preserve">need not</w:t>
      </w:r>
      <w:r>
        <w:t xml:space="preserve"> </w:t>
      </w:r>
      <w:r>
        <w:t xml:space="preserve">follow RMSE</w:t>
      </w:r>
      <w:r>
        <w:t xml:space="preserve"> </w:t>
      </w:r>
      <w:r>
        <w:rPr>
          <w:i/>
          <w:iCs/>
        </w:rPr>
        <w:t xml:space="preserve">skill</w:t>
      </w:r>
      <w:r>
        <w:t xml:space="preserve">. Across the operationally relevant low-α range (cheap protection</w:t>
      </w:r>
      <w:r>
        <w:t xml:space="preserve"> </w:t>
      </w:r>
      <w:r>
        <w:t xml:space="preserve">relative to loss), ThermoRoute’s calibrated warning has the highest relative</w:t>
      </w:r>
      <w:r>
        <w:t xml:space="preserve"> </w:t>
      </w:r>
      <w:r>
        <w:t xml:space="preserve">economic value at every lead: REV at α = 0.1 is</w:t>
      </w:r>
      <w:r>
        <w:t xml:space="preserve"> </w:t>
      </w:r>
      <w:r>
        <w:rPr>
          <w:b/>
          <w:bCs/>
        </w:rPr>
        <w:t xml:space="preserve">0.90 / 0.85 / 0.81</w:t>
      </w:r>
      <w:r>
        <w:t xml:space="preserve"> </w:t>
      </w:r>
      <w:r>
        <w:t xml:space="preserve">for</w:t>
      </w:r>
      <w:r>
        <w:t xml:space="preserve"> </w:t>
      </w:r>
      <w:r>
        <w:t xml:space="preserve">ThermoRoute versus 0.89 / 0.84 / 0.81 (LightGBM), 0.87 / 0.83 / 0.80 (LSTM) and</w:t>
      </w:r>
      <w:r>
        <w:t xml:space="preserve"> </w:t>
      </w:r>
      <w:r>
        <w:t xml:space="preserve">0.81 / 0.65 / 0.51 (persistence); peak REV is 0.91 / 0.85 / 0.82 (Figure 5). This is</w:t>
      </w:r>
      <w:r>
        <w:t xml:space="preserve"> </w:t>
      </w:r>
      <w:r>
        <w:t xml:space="preserve">the axis on which the RMSE tie with LightGBM does</w:t>
      </w:r>
      <w:r>
        <w:t xml:space="preserve"> </w:t>
      </w:r>
      <w:r>
        <w:rPr>
          <w:i/>
          <w:iCs/>
        </w:rPr>
        <w:t xml:space="preserve">not</w:t>
      </w:r>
      <w:r>
        <w:t xml:space="preserve"> </w:t>
      </w:r>
      <w:r>
        <w:t xml:space="preserve">translate to a value tie: a</w:t>
      </w:r>
      <w:r>
        <w:t xml:space="preserve"> </w:t>
      </w:r>
      <w:r>
        <w:t xml:space="preserve">calibrated probability dominates a deterministic threshold warning where protection</w:t>
      </w:r>
      <w:r>
        <w:t xml:space="preserve"> </w:t>
      </w:r>
      <w:r>
        <w:t xml:space="preserve">is cheap. Honesty requires the caveat at the</w:t>
      </w:r>
      <w:r>
        <w:t xml:space="preserve"> </w:t>
      </w:r>
      <w:r>
        <w:rPr>
          <w:i/>
          <w:iCs/>
        </w:rPr>
        <w:t xml:space="preserve">other</w:t>
      </w:r>
      <w:r>
        <w:t xml:space="preserve"> </w:t>
      </w:r>
      <w:r>
        <w:t xml:space="preserve">end of the grid: at α = 0.5</w:t>
      </w:r>
      <w:r>
        <w:t xml:space="preserve"> </w:t>
      </w:r>
      <w:r>
        <w:t xml:space="preserve">(protection nearly as costly as the loss) the deterministic persistence warning</w:t>
      </w:r>
      <w:r>
        <w:t xml:space="preserve"> </w:t>
      </w:r>
      <w:r>
        <w:t xml:space="preserve">becomes competitive (persistence REV 0.72 / 0.48 / 0.28 versus ThermoRoute</w:t>
      </w:r>
      <w:r>
        <w:t xml:space="preserve"> </w:t>
      </w:r>
      <w:r>
        <w:t xml:space="preserve">0.68 / 0.48 / 0.35), so the probabilistic advantage is concentrated in the cheap-</w:t>
      </w:r>
      <w:r>
        <w:t xml:space="preserve"> </w:t>
      </w:r>
      <w:r>
        <w:t xml:space="preserve">protection regime, not universal. We also stress that the cost–loss model is</w:t>
      </w:r>
      <w:r>
        <w:t xml:space="preserve"> </w:t>
      </w:r>
      <w:r>
        <w:t xml:space="preserve">generic and the threshold is statistical; a true management value calculation would</w:t>
      </w:r>
      <w:r>
        <w:t xml:space="preserve"> </w:t>
      </w:r>
      <w:r>
        <w:t xml:space="preserve">require biological/regulatory thresholds and station-specific cost ratios, so we</w:t>
      </w:r>
      <w:r>
        <w:t xml:space="preserve"> </w:t>
      </w:r>
      <w:r>
        <w:t xml:space="preserve">read this as a rigorous</w:t>
      </w:r>
      <w:r>
        <w:t xml:space="preserve"> </w:t>
      </w:r>
      <w:r>
        <w:rPr>
          <w:i/>
          <w:iCs/>
        </w:rPr>
        <w:t xml:space="preserve">decision-relevance</w:t>
      </w:r>
      <w:r>
        <w:t xml:space="preserve"> </w:t>
      </w:r>
      <w:r>
        <w:t xml:space="preserve">result rather than a demonstrated</w:t>
      </w:r>
      <w:r>
        <w:t xml:space="preserve"> </w:t>
      </w:r>
      <w:r>
        <w:t xml:space="preserve">dollar value.</w:t>
      </w:r>
    </w:p>
    <w:p>
      <w:pPr>
        <w:pStyle w:val="CaptionedFigure"/>
      </w:pPr>
      <w:r>
        <w:drawing>
          <wp:inline>
            <wp:extent cx="5067300" cy="1606110"/>
            <wp:effectExtent b="0" l="0" r="0" t="0"/>
            <wp:docPr descr="Figure 5. 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 title="" id="34" name="Picture"/>
            <a:graphic>
              <a:graphicData uri="http://schemas.openxmlformats.org/drawingml/2006/picture">
                <pic:pic>
                  <pic:nvPicPr>
                    <pic:cNvPr descr="outputs/figures/fig_rev_curve.png" id="35" name="Picture"/>
                    <pic:cNvPicPr>
                      <a:picLocks noChangeArrowheads="1" noChangeAspect="1"/>
                    </pic:cNvPicPr>
                  </pic:nvPicPr>
                  <pic:blipFill>
                    <a:blip r:embed="rId33"/>
                    <a:stretch>
                      <a:fillRect/>
                    </a:stretch>
                  </pic:blipFill>
                  <pic:spPr bwMode="auto">
                    <a:xfrm>
                      <a:off x="0" y="0"/>
                      <a:ext cx="5067300" cy="160611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w:t>
      </w:r>
    </w:p>
    <w:p>
      <w:pPr>
        <w:pStyle w:val="BodyText"/>
      </w:pPr>
      <w:r>
        <w:rPr>
          <w:b/>
          <w:bCs/>
        </w:rPr>
        <w:t xml:space="preserve">Multi-metric reporting.</w:t>
      </w:r>
      <w:r>
        <w:t xml:space="preserve"> </w:t>
      </w:r>
      <w:r>
        <w:t xml:space="preserve">The 2025 review [F1] asks that regression, dimensionless</w:t>
      </w:r>
      <w:r>
        <w:t xml:space="preserve"> </w:t>
      </w:r>
      <w:r>
        <w:t xml:space="preserve">and error-index statistics be reported together rather than RMSE alone. On the</w:t>
      </w:r>
      <w:r>
        <w:t xml:space="preserve"> </w:t>
      </w:r>
      <w:r>
        <w:t xml:space="preserve">pooled blind test ThermoRoute scores NSE 0.992 / 0.970 / 0.954, KGE 0.993 / 0.974 /</w:t>
      </w:r>
      <w:r>
        <w:t xml:space="preserve"> </w:t>
      </w:r>
      <w:r>
        <w:t xml:space="preserve">0.963, MAE 0.470 / 0.971 / 1.213 °C and |PBIAS| ≤ 0.2 % at 1 / 3 / 7 d — all above</w:t>
      </w:r>
      <w:r>
        <w:t xml:space="preserve"> </w:t>
      </w:r>
      <w:r>
        <w:t xml:space="preserve">the review’s reported field norms (median NSE ≈ 0.93, MAE ≈ 1.09 °C) and essentially</w:t>
      </w:r>
      <w:r>
        <w:t xml:space="preserve"> </w:t>
      </w:r>
      <w:r>
        <w:t xml:space="preserve">tied with the global LightGBM (NSE 0.993 / 0.969 / 0.954) and ahead of the LSTM</w:t>
      </w:r>
      <w:r>
        <w:t xml:space="preserve"> </w:t>
      </w:r>
      <w:r>
        <w:t xml:space="preserve">(NSE 0.992 / 0.967 / 0.947); the full per-model table is</w:t>
      </w:r>
      <w:r>
        <w:t xml:space="preserve"> </w:t>
      </w:r>
      <w:r>
        <w:rPr>
          <w:rStyle w:val="VerbatimChar"/>
        </w:rPr>
        <w:t xml:space="preserve">outputs/tables/multi_metric.csv</w:t>
      </w:r>
      <w:r>
        <w:t xml:space="preserve">.</w:t>
      </w:r>
      <w:r>
        <w:t xml:space="preserve"> </w:t>
      </w:r>
      <w:r>
        <w:t xml:space="preserve">Region-weighted RMSE (mean of per-HUC2 medians, so no single over-represented region</w:t>
      </w:r>
      <w:r>
        <w:t xml:space="preserve"> </w:t>
      </w:r>
      <w:r>
        <w:t xml:space="preserve">carries the headline) is 0.66 / 1.37 / 1.69 °C, within 0.01–0.04 °C of the pooled</w:t>
      </w:r>
      <w:r>
        <w:t xml:space="preserve"> </w:t>
      </w:r>
      <w:r>
        <w:t xml:space="preserve">medians, confirming the result is not driven by one region.</w:t>
      </w:r>
    </w:p>
    <w:p>
      <w:pPr>
        <w:pStyle w:val="CaptionedFigure"/>
      </w:pPr>
      <w:r>
        <w:drawing>
          <wp:inline>
            <wp:extent cx="5067300" cy="2066634"/>
            <wp:effectExtent b="0" l="0" r="0" t="0"/>
            <wp:docPr descr="Figure 6. Conformal calibration on n=114 USGS blind-test stations. (a) Per-station coverage (PICP) distribution against the 0.90 target; (b) mean coverage versus lead time; (c) interval sharpness. Coverage is near-nominal and tight across the population (86–96 % of stations within ±0.05 of 0.90)." title="" id="37" name="Picture"/>
            <a:graphic>
              <a:graphicData uri="http://schemas.openxmlformats.org/drawingml/2006/picture">
                <pic:pic>
                  <pic:nvPicPr>
                    <pic:cNvPr descr="outputs/figures/fig_usgs_calibration.png" id="38" name="Picture"/>
                    <pic:cNvPicPr>
                      <a:picLocks noChangeArrowheads="1" noChangeAspect="1"/>
                    </pic:cNvPicPr>
                  </pic:nvPicPr>
                  <pic:blipFill>
                    <a:blip r:embed="rId36"/>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9"/>
    <w:bookmarkStart w:id="43"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7).</w:t>
      </w:r>
    </w:p>
    <w:p>
      <w:pPr>
        <w:pStyle w:val="CaptionedFigure"/>
      </w:pPr>
      <w:r>
        <w:drawing>
          <wp:inline>
            <wp:extent cx="4533900" cy="2109975"/>
            <wp:effectExtent b="0" l="0" r="0" t="0"/>
            <wp:docPr descr="Figure 7.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41" name="Picture"/>
            <a:graphic>
              <a:graphicData uri="http://schemas.openxmlformats.org/drawingml/2006/picture">
                <pic:pic>
                  <pic:nvPicPr>
                    <pic:cNvPr descr="outputs/figures/fig_usgs_kappa.png" id="42" name="Picture"/>
                    <pic:cNvPicPr>
                      <a:picLocks noChangeArrowheads="1" noChangeAspect="1"/>
                    </pic:cNvPicPr>
                  </pic:nvPicPr>
                  <pic:blipFill>
                    <a:blip r:embed="rId40"/>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43"/>
    <w:bookmarkStart w:id="44"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44"/>
    <w:bookmarkEnd w:id="45"/>
    <w:bookmarkStart w:id="46"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46"/>
    <w:bookmarkStart w:id="47"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47"/>
    <w:bookmarkStart w:id="48"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48"/>
    <w:bookmarkStart w:id="49"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20</w:t>
      </w:r>
      <w:r>
        <w:t xml:space="preserve">, orchestrated in order by</w:t>
      </w:r>
      <w:r>
        <w:t xml:space="preserve"> </w:t>
      </w:r>
      <w:r>
        <w:rPr>
          <w:rStyle w:val="VerbatimChar"/>
        </w:rPr>
        <w:t xml:space="preserve">scripts/run_all.sh</w:t>
      </w:r>
      <w:r>
        <w:t xml:space="preserve">: the 3-station</w:t>
      </w:r>
      <w:r>
        <w:t xml:space="preserve"> </w:t>
      </w:r>
      <w:r>
        <w:t xml:space="preserve">track, the 120-station experiment, per-station LightGBM, K-fold and</w:t>
      </w:r>
      <w:r>
        <w:t xml:space="preserve"> </w:t>
      </w:r>
      <w:r>
        <w:t xml:space="preserve">leave-HUC2-region-out transfer, the global-LSTM baseline, and the Proposition-1 /</w:t>
      </w:r>
      <w:r>
        <w:t xml:space="preserve"> </w:t>
      </w:r>
      <w:r>
        <w:t xml:space="preserve">decision-value / probabilistic / TUURT analyses);</w:t>
      </w:r>
      <w:r>
        <w:t xml:space="preserve"> </w:t>
      </w:r>
      <w:r>
        <w:rPr>
          <w:rStyle w:val="VerbatimChar"/>
        </w:rPr>
        <w:t xml:space="preserve">scripts/14_manifest.py</w:t>
      </w:r>
      <w:r>
        <w:t xml:space="preserve"> </w:t>
      </w:r>
      <w:r>
        <w:t xml:space="preserve">writes a</w:t>
      </w:r>
      <w:r>
        <w:t xml:space="preserve"> </w:t>
      </w:r>
      <w:r>
        <w:t xml:space="preserve">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p>
      <w:pPr>
        <w:pStyle w:val="BodyText"/>
      </w:pPr>
      <w:r>
        <w:rPr>
          <w:b/>
          <w:bCs/>
        </w:rPr>
        <w:t xml:space="preserve">Archived release.</w:t>
      </w:r>
      <w:r>
        <w:t xml:space="preserve"> </w:t>
      </w:r>
      <w:r>
        <w:t xml:space="preserve">For a persistent, citable record the code, configuration, the</w:t>
      </w:r>
      <w:r>
        <w:t xml:space="preserve"> </w:t>
      </w:r>
      <w:r>
        <w:t xml:space="preserve">input station panels, and all derived tables/reports/figures are archived at Zenodo</w:t>
      </w:r>
      <w:r>
        <w:t xml:space="preserve"> </w:t>
      </w:r>
      <w:r>
        <w:t xml:space="preserve">(https://doi.org/REPLACE_WITH_ZENODO_DOI, v1.0.0, MIT license), built with</w:t>
      </w:r>
      <w:r>
        <w:t xml:space="preserve"> </w:t>
      </w:r>
      <w:r>
        <w:rPr>
          <w:rStyle w:val="VerbatimChar"/>
        </w:rPr>
        <w:t xml:space="preserve">scripts/make_release_archive.sh</w:t>
      </w:r>
      <w:r>
        <w:t xml:space="preserve"> </w:t>
      </w:r>
      <w:r>
        <w:t xml:space="preserve">and carrying the sha256 manifest; the</w:t>
      </w:r>
      <w:r>
        <w:t xml:space="preserve"> </w:t>
      </w:r>
      <w:r>
        <w:t xml:space="preserve">multi-hundred-MB predictions and model checkpoints are excluded but regenerable from</w:t>
      </w:r>
      <w:r>
        <w:t xml:space="preserve"> </w:t>
      </w:r>
      <w:r>
        <w:t xml:space="preserve">the archive via</w:t>
      </w:r>
      <w:r>
        <w:t xml:space="preserve"> </w:t>
      </w:r>
      <w:r>
        <w:rPr>
          <w:rStyle w:val="VerbatimChar"/>
        </w:rPr>
        <w:t xml:space="preserve">scripts/run_all.sh</w:t>
      </w:r>
      <w:r>
        <w:t xml:space="preserve">. The raw observations are redistributed in</w:t>
      </w:r>
      <w:r>
        <w:t xml:space="preserve"> </w:t>
      </w:r>
      <w:r>
        <w:t xml:space="preserve">derived form only and are independently available from USGS NWIS, Daymet (ORNL DAAC,</w:t>
      </w:r>
      <w:r>
        <w:t xml:space="preserve"> </w:t>
      </w:r>
      <w:r>
        <w:t xml:space="preserve">https://doi.org/10.3334/ORNLDAAC/2129) and gridMET; USGS site numbers for all 120</w:t>
      </w:r>
      <w:r>
        <w:t xml:space="preserve"> </w:t>
      </w:r>
      <w:r>
        <w:t xml:space="preserve">gages are in the archive. (</w:t>
      </w:r>
      <w:r>
        <w:rPr>
          <w:rStyle w:val="VerbatimChar"/>
        </w:rPr>
        <w:t xml:space="preserve">outputs/reports/data_availability.md</w:t>
      </w:r>
      <w:r>
        <w:t xml:space="preserve"> </w:t>
      </w:r>
      <w:r>
        <w:t xml:space="preserve">holds the</w:t>
      </w:r>
      <w:r>
        <w:t xml:space="preserve"> </w:t>
      </w:r>
      <w:r>
        <w:t xml:space="preserve">submission-ready Open Research statement; the DOI is minted at camera-ready.)</w:t>
      </w:r>
    </w:p>
    <w:bookmarkEnd w:id="49"/>
    <w:bookmarkStart w:id="5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50"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Willard, J. D., Ciulla, F., Weierbach, H., Xu, Z., Hendrix, V. C., Varadharajan, C., 2024. Evaluating deep learning approaches for predictions in unmonitored basins with continental-scale stream temperature models. arXiv:2410.19865. https://doi.org/10.48550/arXiv.2410.19865. [F13]</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50"/>
    <w:bookmarkStart w:id="51"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p>
      <w:pPr>
        <w:pStyle w:val="BodyText"/>
      </w:pPr>
      <w:r>
        <w:t xml:space="preserve">Modi, P. A., Small, E. E., Kasprzyk, J., Livneh, B., 2025. Understanding the relationship between streamflow forecast skill and value across the western United States. Hydrology and Earth System Sciences 29, 5593–5613. https://doi.org/10.5194/hess-29-5593-2025. [G4]</w:t>
      </w:r>
    </w:p>
    <w:bookmarkEnd w:id="51"/>
    <w:bookmarkStart w:id="5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Gibbs, I., Candès, E. J., 2021. Adaptive conformal inference under distribution shift, in: Advances in Neural Information Processing Systems 34 (NeurIPS 2021), pp. 1660–1672.</w:t>
      </w:r>
    </w:p>
    <w:p>
      <w:pPr>
        <w:pStyle w:val="BodyText"/>
      </w:pPr>
      <w:r>
        <w:t xml:space="preserve">U.S. Environmental Protection Agency, 2003. EPA Region 10 Guidance for Pacific Northwest State and Tribal Temperature Water Quality Standards. EPA 910-B-03-002, Region 10 Office of Water, Seattle, WA.</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Grinsztajn, L., Oyallon, E., Varoquaux, G., 2022. Why do tree-based models still outperform deep learning on typical tabular data?, in: Advances in Neural Information Processing Systems 35 (NeurIPS 2022) Datasets and Benchmarks Track. https://doi.org/10.48550/arXiv.2207.08815.</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52"/>
    <w:bookmarkStart w:id="53"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2026-07-05T12:05:24Z</dcterms:created>
  <dcterms:modified xsi:type="dcterms:W3CDTF">2026-07-05T12:05:24Z</dcterms:modified>
</cp:coreProperties>
</file>

<file path=docProps/custom.xml><?xml version="1.0" encoding="utf-8"?>
<Properties xmlns="http://schemas.openxmlformats.org/officeDocument/2006/custom-properties" xmlns:vt="http://schemas.openxmlformats.org/officeDocument/2006/docPropsVTypes"/>
</file>