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0.png" ContentType="image/png"/>
  <Override PartName="/word/media/rId33.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2"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Holm-adjusted, p ≤ 3×10⁻¹⁶), with median skill vs</w:t>
      </w:r>
      <w:r>
        <w:t xml:space="preserve"> </w:t>
      </w:r>
      <w:r>
        <w:t xml:space="preserve">damped +0.16 / +0.07 / +0.03 at 1 / 3 / 7 days and better than damped at</w:t>
      </w:r>
      <w:r>
        <w:t xml:space="preserve"> </w:t>
      </w:r>
      <w:r>
        <w:rPr>
          <w:b/>
          <w:bCs/>
        </w:rPr>
        <w:t xml:space="preserve">85 / 89 / 89 %</w:t>
      </w:r>
      <w:r>
        <w:t xml:space="preserve"> </w:t>
      </w:r>
      <w:r>
        <w:t xml:space="preserve">of the n=114 blind-test stations (Wilson 95 % CIs all exclude</w:t>
      </w:r>
      <w:r>
        <w:t xml:space="preserve"> </w:t>
      </w:r>
      <w:r>
        <w:t xml:space="preserve">50 %; robust to a HUC2 cluster bootstrap), and beats an air2stream-style</w:t>
      </w:r>
      <w:r>
        <w:t xml:space="preserve"> </w:t>
      </w:r>
      <w:r>
        <w:t xml:space="preserve">8-parameter physical model (a fairly-calibrated</w:t>
      </w:r>
      <w:r>
        <w:t xml:space="preserve"> </w:t>
      </w:r>
      <w:r>
        <w:rPr>
          <w:i/>
          <w:iCs/>
        </w:rPr>
        <w:t xml:space="preserve">variant</w:t>
      </w:r>
      <w:r>
        <w:t xml:space="preserve"> </w:t>
      </w:r>
      <w:r>
        <w:t xml:space="preserve">of Toffolon–Piccolroaz)</w:t>
      </w:r>
      <w:r>
        <w:t xml:space="preserve"> </w:t>
      </w:r>
      <w:r>
        <w:t xml:space="preserve">on median RMSE at every lead (0.630 / 1.289 / 1.658 vs 0.733 / 1.409 / 1.805).</w:t>
      </w:r>
      <w:r>
        <w:t xml:space="preserve"> </w:t>
      </w:r>
      <w:r>
        <w:t xml:space="preserve">Against a strong gradient-boosting baseline (LightGBM) the honest result is</w:t>
      </w:r>
      <w:r>
        <w:t xml:space="preserve"> </w:t>
      </w:r>
      <w:r>
        <w:rPr>
          <w:b/>
          <w:bCs/>
        </w:rPr>
        <w:t xml:space="preserve">parity, not superiority</w:t>
      </w:r>
      <w:r>
        <w:t xml:space="preserve">: with the seed budget matched (each of five</w:t>
      </w:r>
      <w:r>
        <w:t xml:space="preserve"> </w:t>
      </w:r>
      <w:r>
        <w:t xml:space="preserve">ThermoRoute seeds scored as a single model), LightGBM is significantly more</w:t>
      </w:r>
      <w:r>
        <w:t xml:space="preserve"> </w:t>
      </w:r>
      <w:r>
        <w:t xml:space="preserve">accurate at 1 day (median skill −0.044, p = 1×10⁻¹⁴) while the two are</w:t>
      </w:r>
      <w:r>
        <w:t xml:space="preserve"> </w:t>
      </w:r>
      <w:r>
        <w:t xml:space="preserve">statistically indistinguishable at 3 and 7 days (median skill +0.002 and −0.002,</w:t>
      </w:r>
      <w:r>
        <w:t xml:space="preserve"> </w:t>
      </w:r>
      <w:r>
        <w:t xml:space="preserve">p = 0.76 and 0.52). This parity</w:t>
      </w:r>
      <w:r>
        <w:t xml:space="preserve"> </w:t>
      </w:r>
      <w:r>
        <w:rPr>
          <w:b/>
          <w:bCs/>
        </w:rPr>
        <w:t xml:space="preserve">also holds out-of-region</w:t>
      </w:r>
      <w:r>
        <w:t xml:space="preserve">: under a</w:t>
      </w:r>
      <w:r>
        <w:t xml:space="preserve"> </w:t>
      </w:r>
      <w:r>
        <w:t xml:space="preserve">leave-HUC2-region-out protocol (whole regions held out; mean 358 km to the</w:t>
      </w:r>
      <w:r>
        <w:t xml:space="preserve"> </w:t>
      </w:r>
      <w:r>
        <w:t xml:space="preserve">nearest training gage) both ThermoRoute and a global LightGBM transfer far beyond</w:t>
      </w:r>
      <w:r>
        <w:t xml:space="preserve"> </w:t>
      </w:r>
      <w:r>
        <w:t xml:space="preserve">persistence, and between them the result is a horizon-conditional tie (LightGBM</w:t>
      </w:r>
      <w:r>
        <w:t xml:space="preserve"> </w:t>
      </w:r>
      <w:r>
        <w:t xml:space="preserve">better at 1 day, tied at 3 days, ThermoRoute better at 7 days, p = 1×10⁻³). Against</w:t>
      </w:r>
      <w:r>
        <w:t xml:space="preserve"> </w:t>
      </w:r>
      <w:r>
        <w:t xml:space="preserve">the field-standard deep baseline — a top-down global LSTM — ThermoRoute is more</w:t>
      </w:r>
      <w:r>
        <w:t xml:space="preserve"> </w:t>
      </w:r>
      <w:r>
        <w:t xml:space="preserve">accurate at every lead, in-sample and out-of-region (p ≤ 5×10⁻¹⁶), consistent with</w:t>
      </w:r>
      <w:r>
        <w:t xml:space="preserve"> </w:t>
      </w:r>
      <w:r>
        <w:t xml:space="preserve">the repeated finding that gradient boosting matches or beats deep sequence models on</w:t>
      </w:r>
      <w:r>
        <w:t xml:space="preserve"> </w:t>
      </w:r>
      <w:r>
        <w:t xml:space="preserve">strongly-autocorrelated daily hydrology. ThermoRoute thus matches the strongest</w:t>
      </w:r>
      <w:r>
        <w:t xml:space="preserve"> </w:t>
      </w:r>
      <w:r>
        <w:t xml:space="preserve">learner in point accuracy while adding three things a pure or hybrid learner does</w:t>
      </w:r>
      <w:r>
        <w:t xml:space="preserve"> </w:t>
      </w:r>
      <w:r>
        <w:t xml:space="preserve">not provide: (i) a</w:t>
      </w:r>
      <w:r>
        <w:t xml:space="preserve"> </w:t>
      </w:r>
      <w:r>
        <w:rPr>
          <w:b/>
          <w:bCs/>
        </w:rPr>
        <w:t xml:space="preserve">bounded-degradation guarantee</w:t>
      </w:r>
      <w:r>
        <w:t xml:space="preserve"> </w:t>
      </w:r>
      <w:r>
        <w:t xml:space="preserve">— because its residual is</w:t>
      </w:r>
      <w:r>
        <w:t xml:space="preserve"> </w:t>
      </w:r>
      <w:r>
        <w:rPr>
          <w:rStyle w:val="VerbatimChar"/>
        </w:rPr>
        <w:t xml:space="preserve">tanh</w:t>
      </w:r>
      <w:r>
        <w:t xml:space="preserve">-bounded to ±δ around the physics prior, RMSE is provably never worse than the</w:t>
      </w:r>
      <w:r>
        <w:t xml:space="preserve"> </w:t>
      </w:r>
      <w:r>
        <w:t xml:space="preserve">prior by more than δ °C on any station; we verify this holds on 100 % of blind-test</w:t>
      </w:r>
      <w:r>
        <w:t xml:space="preserve"> </w:t>
      </w:r>
      <w:r>
        <w:t xml:space="preserve">predictions and that the floor survives 358 km of spatial extrapolation (it still</w:t>
      </w:r>
      <w:r>
        <w:t xml:space="preserve"> </w:t>
      </w:r>
      <w:r>
        <w:t xml:space="preserve">beats persistence at 91 % of held-out-region station×horizon cells); (ii)</w:t>
      </w:r>
      <w:r>
        <w:t xml:space="preserve"> </w:t>
      </w:r>
      <w:r>
        <w:rPr>
          <w:b/>
          <w:bCs/>
        </w:rPr>
        <w:t xml:space="preserve">distribution-free calibrated uncertainty</w:t>
      </w:r>
      <w:r>
        <w:t xml:space="preserve"> </w:t>
      </w:r>
      <w:r>
        <w:t xml:space="preserve">— after conformal calibration on the</w:t>
      </w:r>
      <w:r>
        <w:t xml:space="preserve"> </w:t>
      </w:r>
      <w:r>
        <w:t xml:space="preserve">2018 hold-out year its 90 % intervals are empirically near-nominal (PICP 0.90 ± 0.01)</w:t>
      </w:r>
      <w:r>
        <w:t xml:space="preserve"> </w:t>
      </w:r>
      <w:r>
        <w:t xml:space="preserve">and its exceedance warning is the best-calibrated of the three (Brier skill</w:t>
      </w:r>
      <w:r>
        <w:t xml:space="preserve"> </w:t>
      </w:r>
      <w:r>
        <w:t xml:space="preserve">+0.74 / +0.60 / +0.51; highest AUROC); and (iii) interpretable variable–lag drivers.</w:t>
      </w:r>
      <w:r>
        <w:t xml:space="preserve"> </w:t>
      </w:r>
      <w:r>
        <w:t xml:space="preserve">On a generic cost–loss decision model, the calibrated warning has the highest</w:t>
      </w:r>
      <w:r>
        <w:t xml:space="preserve"> </w:t>
      </w:r>
      <w:r>
        <w:t xml:space="preserve">relative economic value across the operationally relevant (cheap-protection) range</w:t>
      </w:r>
      <w:r>
        <w:t xml:space="preserve"> </w:t>
      </w:r>
      <w:r>
        <w:t xml:space="preserve">of cost–loss ratios, illustrating that the RMSE tie with the strong learner does not</w:t>
      </w:r>
      <w:r>
        <w:t xml:space="preserve"> </w:t>
      </w:r>
      <w:r>
        <w:t xml:space="preserve">carry to a value tie; we frame this as a decision-relevance result rather than a</w:t>
      </w:r>
      <w:r>
        <w:t xml:space="preserve"> </w:t>
      </w:r>
      <w:r>
        <w:t xml:space="preserve">demonstrated management advantage, because the cost–loss model is generic and the</w:t>
      </w:r>
      <w:r>
        <w:t xml:space="preserve"> </w:t>
      </w:r>
      <w:r>
        <w:t xml:space="preserve">high-temperature threshold is a statistical (train q90) rather than ecological</w:t>
      </w:r>
      <w:r>
        <w:t xml:space="preserve"> </w:t>
      </w:r>
      <w:r>
        <w:t xml:space="preserve">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0 %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large-sample hydrology; spatial transfer; conformal prediction;</w:t>
      </w:r>
      <w:r>
        <w:t xml:space="preserve"> </w:t>
      </w:r>
      <w:r>
        <w:t xml:space="preserve">calibrated uncertainty.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w:t>
      </w:r>
      <w:r>
        <w:t xml:space="preserve"> </w:t>
      </w:r>
      <w:r>
        <w:rPr>
          <w:i/>
          <w:iCs/>
        </w:rPr>
        <w:t xml:space="preserve">physics</w:t>
      </w:r>
      <w:r>
        <w:t xml:space="preserve"> </w:t>
      </w:r>
      <w:r>
        <w:t xml:space="preserve">baselines on point accuracy, is on par with</w:t>
      </w:r>
      <w:r>
        <w:t xml:space="preserve"> </w:t>
      </w:r>
      <w:r>
        <w:t xml:space="preserve">a strong gradient-boosting learner (better at 1 day, statistically tied at 3–7</w:t>
      </w:r>
      <w:r>
        <w:t xml:space="preserve"> </w:t>
      </w:r>
      <w:r>
        <w:t xml:space="preserve">days), transfers across unseen basins, and produces near-nominally-calibrated</w:t>
      </w:r>
      <w:r>
        <w:t xml:space="preserve"> </w:t>
      </w:r>
      <w:r>
        <w:t xml:space="preserve">warnings. We also report a negative result: the flow-dependent thermal memory</w:t>
      </w:r>
      <w:r>
        <w:t xml:space="preserve"> </w:t>
      </w:r>
      <w:r>
        <w:t xml:space="preserve">suggested by the three-station case does</w:t>
      </w:r>
      <w:r>
        <w:t xml:space="preserve"> </w:t>
      </w:r>
      <w:r>
        <w:rPr>
          <w:i/>
          <w:iCs/>
        </w:rPr>
        <w:t xml:space="preserve">not</w:t>
      </w:r>
      <w:r>
        <w:t xml:space="preserve"> </w:t>
      </w:r>
      <w:r>
        <w:t xml:space="preserve">generalise to the large sample,</w:t>
      </w:r>
      <w:r>
        <w:t xml:space="preserve"> </w:t>
      </w:r>
      <w:r>
        <w:t xml:space="preserve">and we retract that mechanism claim.</w:t>
      </w:r>
    </w:p>
    <w:p>
      <w:pPr>
        <w:pStyle w:val="BodyText"/>
      </w:pPr>
      <w:r>
        <w:t xml:space="preserve">Contributions:</w:t>
      </w:r>
    </w:p>
    <w:p>
      <w:pPr>
        <w:pStyle w:val="Compact"/>
        <w:numPr>
          <w:ilvl w:val="0"/>
          <w:numId w:val="1002"/>
        </w:numPr>
      </w:pPr>
      <w:r>
        <w:rPr>
          <w:b/>
          <w:bCs/>
        </w:rPr>
        <w:t xml:space="preserve">ThermoRoute</w:t>
      </w:r>
      <w:r>
        <w:t xml:space="preserve">, a physics-biased forecaster whose relaxation prior</w:t>
      </w:r>
      <w:r>
        <w:t xml:space="preserve"> </w:t>
      </w:r>
      <w:r>
        <w:rPr>
          <w:i/>
          <w:iCs/>
        </w:rPr>
        <w:t xml:space="preserve">provably</w:t>
      </w:r>
      <w:r>
        <w:rPr>
          <w:i/>
          <w:iCs/>
        </w:rPr>
        <w:t xml:space="preserve"> </w:t>
      </w:r>
      <w:r>
        <w:rPr>
          <w:i/>
          <w:iCs/>
        </w:rPr>
        <w:t xml:space="preserve">contains damped persistence</w:t>
      </w:r>
      <w:r>
        <w:t xml:space="preserve"> </w:t>
      </w:r>
      <w:r>
        <w:t xml:space="preserve">as a special case (Proposition 1) and whose</w:t>
      </w:r>
      <w:r>
        <w:t xml:space="preserve"> </w:t>
      </w:r>
      <w:r>
        <w:rPr>
          <w:i/>
          <w:iCs/>
        </w:rPr>
        <w:t xml:space="preserve">bounded</w:t>
      </w:r>
      <w:r>
        <w:t xml:space="preserve"> </w:t>
      </w:r>
      <w:r>
        <w:t xml:space="preserve">neural residual gives a per-station worst-case deployment floor —</w:t>
      </w:r>
      <w:r>
        <w:t xml:space="preserve"> </w:t>
      </w:r>
      <w:r>
        <w:t xml:space="preserve">RMSE never worse than the prior by more than δ °C — that we</w:t>
      </w:r>
      <w:r>
        <w:t xml:space="preserve"> </w:t>
      </w:r>
      <w:r>
        <w:rPr>
          <w:b/>
          <w:bCs/>
        </w:rPr>
        <w:t xml:space="preserve">verify empirically</w:t>
      </w:r>
      <w:r>
        <w:t xml:space="preserve"> </w:t>
      </w:r>
      <w:r>
        <w:t xml:space="preserve">holds on 100 % of blind-test predictions and survives 358 km of spatial</w:t>
      </w:r>
      <w:r>
        <w:t xml:space="preserve"> </w:t>
      </w:r>
      <w:r>
        <w:t xml:space="preserve">extrapolation, a guarantee neither a GBDT, an LSTM, nor a differentiable-hybrid</w:t>
      </w:r>
      <w:r>
        <w:t xml:space="preserve"> </w:t>
      </w:r>
      <w:r>
        <w:t xml:space="preserve">model states. (We initially framed the prior’s flow-/season-modulated relaxation</w:t>
      </w:r>
      <w:r>
        <w:t xml:space="preserve"> </w:t>
      </w:r>
      <w:r>
        <w:t xml:space="preserve">rate as a</w:t>
      </w:r>
      <w:r>
        <w:t xml:space="preserve"> </w:t>
      </w:r>
      <w:r>
        <w:t xml:space="preserve">“dynamic thermal memory”</w:t>
      </w:r>
      <w:r>
        <w:t xml:space="preserve">; §4.5 reports that this mechanism does</w:t>
      </w:r>
      <w:r>
        <w:t xml:space="preserve"> </w:t>
      </w:r>
      <w:r>
        <w:rPr>
          <w:i/>
          <w:iCs/>
        </w:rPr>
        <w:t xml:space="preserve">not</w:t>
      </w:r>
      <w:r>
        <w:t xml:space="preserve"> </w:t>
      </w:r>
      <w:r>
        <w:t xml:space="preserve">generalise, and we retain the prior only as a calibrated,</w:t>
      </w:r>
      <w:r>
        <w:t xml:space="preserve"> </w:t>
      </w:r>
      <w:r>
        <w:t xml:space="preserve">damped-persistence-anchored regulariser.)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the full temporal / unseen-station /</w:t>
      </w:r>
      <w:r>
        <w:t xml:space="preserve"> </w:t>
      </w:r>
      <w:r>
        <w:t xml:space="preserve">ungaged-region (TUURT) transfer triad the review prescribes, benchmarked against</w:t>
      </w:r>
      <w:r>
        <w:t xml:space="preserve"> </w:t>
      </w:r>
      <w:r>
        <w:t xml:space="preserve">persistence, damped persistence, an air2stream</w:t>
      </w:r>
      <w:r>
        <w:t xml:space="preserve"> </w:t>
      </w:r>
      <w:r>
        <w:rPr>
          <w:i/>
          <w:iCs/>
        </w:rPr>
        <w:t xml:space="preserve">variant</w:t>
      </w:r>
      <w:r>
        <w:t xml:space="preserve">, a global</w:t>
      </w:r>
      <w:r>
        <w:t xml:space="preserve"> </w:t>
      </w:r>
      <w:r>
        <w:rPr>
          <w:b/>
          <w:bCs/>
        </w:rPr>
        <w:t xml:space="preserve">and</w:t>
      </w:r>
      <w:r>
        <w:t xml:space="preserve"> </w:t>
      </w:r>
      <w:r>
        <w:t xml:space="preserve">per-station LightGBM, and a top-down global</w:t>
      </w:r>
      <w:r>
        <w:t xml:space="preserve"> </w:t>
      </w:r>
      <w:r>
        <w:rPr>
          <w:b/>
          <w:bCs/>
        </w:rPr>
        <w:t xml:space="preserve">LSTM</w:t>
      </w:r>
      <w:r>
        <w:t xml:space="preserve">, under a unified multi-metric</w:t>
      </w:r>
      <w:r>
        <w:t xml:space="preserve"> </w:t>
      </w:r>
      <w:r>
        <w:t xml:space="preserve">point + probabilistic (PICP, CRPS, reliability) + exceedance (Brier, AUROC) +</w:t>
      </w:r>
      <w:r>
        <w:t xml:space="preserve"> </w:t>
      </w:r>
      <w:r>
        <w:t xml:space="preserve">cost–loss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looser (±1.0 °C) on the</w:t>
      </w:r>
      <w:r>
        <w:t xml:space="preserve"> </w:t>
      </w:r>
      <w:r>
        <w:t xml:space="preserve">large sample where headroom exists. The large-sample bound was selected by a</w:t>
      </w:r>
      <w:r>
        <w:t xml:space="preserve"> </w:t>
      </w:r>
      <w:r>
        <w:rPr>
          <w:b/>
          <w:bCs/>
        </w:rPr>
        <w:t xml:space="preserve">validation-only sweep</w:t>
      </w:r>
      <w:r>
        <w:t xml:space="preserve"> </w:t>
      </w:r>
      <w:r>
        <w:t xml:space="preserve">over {0.4, 1.0, 1.5, 2.0} using three training seeds</w:t>
      </w:r>
      <w:r>
        <w:t xml:space="preserve"> </w:t>
      </w:r>
      <w:r>
        <w:t xml:space="preserve">per value, minimising the mean over horizons of the median per-station RMSE on</w:t>
      </w:r>
      <w:r>
        <w:t xml:space="preserve"> </w:t>
      </w:r>
      <w:r>
        <w:t xml:space="preserve">2016–2017 (</w:t>
      </w:r>
      <w:r>
        <w:rPr>
          <w:rStyle w:val="VerbatimChar"/>
        </w:rPr>
        <w:t xml:space="preserve">scripts/11_retune.py</w:t>
      </w:r>
      <w:r>
        <w:t xml:space="preserve">,</w:t>
      </w:r>
      <w:r>
        <w:t xml:space="preserve"> </w:t>
      </w:r>
      <w:r>
        <w:rPr>
          <w:rStyle w:val="VerbatimChar"/>
        </w:rPr>
        <w:t xml:space="preserve">outputs/tables/usgs_retune.csv</w:t>
      </w:r>
      <w:r>
        <w:t xml:space="preserve">); ±1.0 was</w:t>
      </w:r>
      <w:r>
        <w:t xml:space="preserve"> </w:t>
      </w:r>
      <w:r>
        <w:t xml:space="preserve">the winner (2016–2017 mean RMSE 1.227, versus 1.230 at ±1.5 and 1.233 at ±2.0).</w:t>
      </w:r>
    </w:p>
    <w:p>
      <w:pPr>
        <w:pStyle w:val="BodyText"/>
      </w:pPr>
      <w:r>
        <w:t xml:space="preserve">The clamp buys a worst-case safety guarantee that a free residual cannot:</w:t>
      </w:r>
    </w:p>
    <w:p>
      <w:pPr>
        <w:pStyle w:val="BlockText"/>
      </w:pPr>
      <w:r>
        <w:rPr>
          <w:b/>
          <w:bCs/>
        </w:rPr>
        <w:t xml:space="preserve">Proposition 1 (bounded degradation).</w:t>
      </w:r>
      <w:r>
        <w:t xml:space="preserve"> </w:t>
      </w:r>
      <w:r>
        <w:t xml:space="preserve">Let</w:t>
      </w:r>
      <w:r>
        <w:t xml:space="preserve"> </w:t>
      </w:r>
      <m:oMath>
        <m:sSubSup>
          <m:e>
            <m:r>
              <m:t>W</m:t>
            </m:r>
          </m:e>
          <m:sub>
            <m:r>
              <m:t>t</m:t>
            </m:r>
            <m:r>
              <m:rPr>
                <m:sty m:val="p"/>
              </m:rPr>
              <m:t>+</m:t>
            </m:r>
            <m:r>
              <m:t>h</m:t>
            </m:r>
          </m:sub>
          <m:sup>
            <m:r>
              <m:rPr>
                <m:sty m:val="p"/>
              </m:rPr>
              <m:t>p</m:t>
            </m:r>
            <m:r>
              <m:rPr>
                <m:sty m:val="p"/>
              </m:rPr>
              <m:t>r</m:t>
            </m:r>
            <m:r>
              <m:rPr>
                <m:sty m:val="p"/>
              </m:rPr>
              <m:t>i</m:t>
            </m:r>
            <m:r>
              <m:rPr>
                <m:sty m:val="p"/>
              </m:rPr>
              <m:t>o</m:t>
            </m:r>
            <m:r>
              <m:rPr>
                <m:sty m:val="p"/>
              </m:rPr>
              <m:t>r</m:t>
            </m:r>
          </m:sup>
        </m:sSubSup>
      </m:oMath>
      <w:r>
        <w:t xml:space="preserve"> </w:t>
      </w:r>
      <w:r>
        <w:t xml:space="preserve">be the</w:t>
      </w:r>
      <w:r>
        <w:t xml:space="preserve"> </w:t>
      </w:r>
      <w:r>
        <w:t xml:space="preserve">prior forecast and</w:t>
      </w:r>
      <w:r>
        <w:t xml:space="preserve"> </w:t>
      </w:r>
      <m:oMath>
        <m:sSub>
          <m:e>
            <m:acc>
              <m:accPr>
                <m:chr m:val="̂"/>
              </m:accPr>
              <m:e>
                <m:r>
                  <m:t>W</m:t>
                </m:r>
              </m:e>
            </m:acc>
          </m:e>
          <m:sub>
            <m:r>
              <m:t>t</m:t>
            </m:r>
            <m:r>
              <m:rPr>
                <m:sty m:val="p"/>
              </m:rPr>
              <m:t>+</m:t>
            </m:r>
            <m:r>
              <m:t>h</m:t>
            </m:r>
          </m:sub>
        </m:sSub>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rPr>
                <m:sty m:val="p"/>
              </m:rPr>
              <m:t>Δ</m:t>
            </m:r>
          </m:e>
          <m:sub>
            <m:r>
              <m:t>h</m:t>
            </m:r>
          </m:sub>
        </m:sSub>
      </m:oMath>
      <w:r>
        <w:t xml:space="preserve"> </w:t>
      </w:r>
      <w:r>
        <w:t xml:space="preserve">with</w:t>
      </w:r>
      <w:r>
        <w:t xml:space="preserve"> </w:t>
      </w:r>
      <m:oMath>
        <m:sSub>
          <m:e>
            <m:r>
              <m:rPr>
                <m:sty m:val="p"/>
              </m:rPr>
              <m:t>Δ</m:t>
            </m:r>
          </m:e>
          <m:sub>
            <m:r>
              <m:t>h</m:t>
            </m:r>
          </m:sub>
        </m:sSub>
        <m:r>
          <m:rPr>
            <m:sty m:val="p"/>
          </m:rPr>
          <m:t>=</m:t>
        </m:r>
        <m:r>
          <m:t>δ</m:t>
        </m:r>
        <m:r>
          <m:t> </m:t>
        </m:r>
        <m:r>
          <m:rPr>
            <m:sty m:val="p"/>
          </m:rPr>
          <m:t>tanh</m:t>
        </m:r>
        <m:r>
          <m:rPr>
            <m:sty m:val="p"/>
          </m:rPr>
          <m:t>(</m:t>
        </m:r>
        <m:sSub>
          <m:e>
            <m:r>
              <m:t>u</m:t>
            </m:r>
          </m:e>
          <m:sub>
            <m:r>
              <m:t>h</m:t>
            </m:r>
          </m:sub>
        </m:sSub>
        <m:r>
          <m:rPr>
            <m:sty m:val="p"/>
          </m:rPr>
          <m:t>)</m:t>
        </m:r>
      </m:oMath>
      <w:r>
        <w:t xml:space="preserve">, so</w:t>
      </w:r>
      <w:r>
        <w:t xml:space="preserve"> </w:t>
      </w:r>
      <m:oMath>
        <m:r>
          <m:rPr>
            <m:sty m:val="p"/>
          </m:rPr>
          <m:t>|</m:t>
        </m:r>
        <m:sSub>
          <m:e>
            <m:r>
              <m:rPr>
                <m:sty m:val="p"/>
              </m:rPr>
              <m:t>Δ</m:t>
            </m:r>
          </m:e>
          <m:sub>
            <m:r>
              <m:t>h</m:t>
            </m:r>
          </m:sub>
        </m:sSub>
        <m:r>
          <m:rPr>
            <m:sty m:val="p"/>
          </m:rPr>
          <m:t>|</m:t>
        </m:r>
        <m:r>
          <m:rPr>
            <m:sty m:val="p"/>
          </m:rPr>
          <m:t>&lt;</m:t>
        </m:r>
        <m:r>
          <m:t>δ</m:t>
        </m:r>
      </m:oMath>
      <w:r>
        <w:t xml:space="preserve">. Then for every</w:t>
      </w:r>
      <w:r>
        <w:t xml:space="preserve"> </w:t>
      </w:r>
      <w:r>
        <w:t xml:space="preserve">station, horizon and issue day,</w:t>
      </w:r>
      <w:r>
        <w:t xml:space="preserve"> </w:t>
      </w:r>
      <m:oMath>
        <m:r>
          <m:rPr>
            <m:sty m:val="p"/>
          </m:rPr>
          <m:t>|</m:t>
        </m:r>
        <m:sSub>
          <m:e>
            <m:acc>
              <m:accPr>
                <m:chr m:val="̂"/>
              </m:accPr>
              <m:e>
                <m:r>
                  <m:t>W</m:t>
                </m:r>
              </m:e>
            </m:acc>
          </m:e>
          <m:sub>
            <m:r>
              <m:t>t</m:t>
            </m:r>
            <m:r>
              <m:rPr>
                <m:sty m:val="p"/>
              </m:rPr>
              <m:t>+</m:t>
            </m:r>
            <m:r>
              <m:t>h</m:t>
            </m:r>
          </m:sub>
        </m:sSub>
        <m:r>
          <m:rPr>
            <m:sty m:val="p"/>
          </m:rPr>
          <m:t>−</m:t>
        </m:r>
        <m:sSub>
          <m:e>
            <m:r>
              <m:t>W</m:t>
            </m:r>
          </m:e>
          <m:sub>
            <m:r>
              <m:t>t</m:t>
            </m:r>
            <m:r>
              <m:rPr>
                <m:sty m:val="p"/>
              </m:rPr>
              <m:t>+</m:t>
            </m:r>
            <m:r>
              <m:t>h</m:t>
            </m:r>
          </m:sub>
        </m:sSub>
        <m:r>
          <m:rPr>
            <m:sty m:val="p"/>
          </m:rPr>
          <m:t>|</m:t>
        </m:r>
        <m:r>
          <m:rPr>
            <m:sty m:val="p"/>
          </m:rPr>
          <m:t>&lt;</m:t>
        </m:r>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t>W</m:t>
            </m:r>
          </m:e>
          <m:sub>
            <m:r>
              <m:t>t</m:t>
            </m:r>
            <m:r>
              <m:rPr>
                <m:sty m:val="p"/>
              </m:rPr>
              <m:t>+</m:t>
            </m:r>
            <m:r>
              <m:t>h</m:t>
            </m:r>
          </m:sub>
        </m:sSub>
        <m:r>
          <m:rPr>
            <m:sty m:val="p"/>
          </m:rPr>
          <m:t>|</m:t>
        </m:r>
        <m:r>
          <m:rPr>
            <m:sty m:val="p"/>
          </m:rPr>
          <m:t>+</m:t>
        </m:r>
        <m:r>
          <m:t>δ</m:t>
        </m:r>
      </m:oMath>
      <w:r>
        <w:t xml:space="preserve">,</w:t>
      </w:r>
      <w:r>
        <w:t xml:space="preserve"> </w:t>
      </w:r>
      <w:r>
        <w:t xml:space="preserve">and hence per-station</w:t>
      </w:r>
      <w:r>
        <w:t xml:space="preserve"> </w:t>
      </w:r>
      <m:oMath>
        <m:r>
          <m:rPr>
            <m:sty m:val="p"/>
          </m:rPr>
          <m:t>R</m:t>
        </m:r>
        <m:r>
          <m:rPr>
            <m:sty m:val="p"/>
          </m:rPr>
          <m:t>M</m:t>
        </m:r>
        <m:r>
          <m:rPr>
            <m:sty m:val="p"/>
          </m:rPr>
          <m:t>S</m:t>
        </m:r>
        <m:r>
          <m:rPr>
            <m:sty m:val="p"/>
          </m:rPr>
          <m:t>E</m:t>
        </m:r>
        <m:r>
          <m:rPr>
            <m:sty m:val="p"/>
          </m:rPr>
          <m:t>(</m:t>
        </m:r>
        <m:acc>
          <m:accPr>
            <m:chr m:val="̂"/>
          </m:accPr>
          <m:e>
            <m:r>
              <m:t>W</m:t>
            </m:r>
          </m:e>
        </m:acc>
        <m:r>
          <m:rPr>
            <m:sty m:val="p"/>
          </m:rPr>
          <m:t>)</m:t>
        </m:r>
        <m:r>
          <m:rPr>
            <m:sty m:val="p"/>
          </m:rPr>
          <m:t>≤</m:t>
        </m:r>
        <m:r>
          <m:rPr>
            <m:sty m:val="p"/>
          </m:rPr>
          <m:t>R</m:t>
        </m:r>
        <m:r>
          <m:rPr>
            <m:sty m:val="p"/>
          </m:rPr>
          <m:t>M</m:t>
        </m:r>
        <m:r>
          <m:rPr>
            <m:sty m:val="p"/>
          </m:rPr>
          <m:t>S</m:t>
        </m:r>
        <m:r>
          <m:rPr>
            <m:sty m:val="p"/>
          </m:rPr>
          <m:t>E</m:t>
        </m:r>
        <m:r>
          <m:rPr>
            <m:sty m:val="p"/>
          </m:rPr>
          <m:t>(</m:t>
        </m:r>
        <m:sSup>
          <m:e>
            <m:r>
              <m:t>W</m:t>
            </m:r>
          </m:e>
          <m:sup>
            <m:r>
              <m:rPr>
                <m:sty m:val="p"/>
              </m:rPr>
              <m:t>p</m:t>
            </m:r>
            <m:r>
              <m:rPr>
                <m:sty m:val="p"/>
              </m:rPr>
              <m:t>r</m:t>
            </m:r>
            <m:r>
              <m:rPr>
                <m:sty m:val="p"/>
              </m:rPr>
              <m:t>i</m:t>
            </m:r>
            <m:r>
              <m:rPr>
                <m:sty m:val="p"/>
              </m:rPr>
              <m:t>o</m:t>
            </m:r>
            <m:r>
              <m:rPr>
                <m:sty m:val="p"/>
              </m:rPr>
              <m:t>r</m:t>
            </m:r>
          </m:sup>
        </m:sSup>
        <m:r>
          <m:rPr>
            <m:sty m:val="p"/>
          </m:rPr>
          <m:t>)</m:t>
        </m:r>
        <m:r>
          <m:rPr>
            <m:sty m:val="p"/>
          </m:rPr>
          <m:t>+</m:t>
        </m:r>
        <m:r>
          <m:t>δ</m:t>
        </m:r>
      </m:oMath>
      <w:r>
        <w:t xml:space="preserve">.</w:t>
      </w:r>
      <w:r>
        <w:t xml:space="preserve"> </w:t>
      </w:r>
      <w:r>
        <w:t xml:space="preserve">Because the prior reduces to damped persistence when</w:t>
      </w:r>
      <w:r>
        <w:t xml:space="preserve"> </w:t>
      </w:r>
      <m:oMath>
        <m:sSub>
          <m:e>
            <m:r>
              <m:t>e</m:t>
            </m:r>
          </m:e>
          <m:sub>
            <m:r>
              <m:t>t</m:t>
            </m:r>
          </m:sub>
        </m:sSub>
        <m:r>
          <m:rPr>
            <m:sty m:val="p"/>
          </m:rPr>
          <m:t>=</m:t>
        </m:r>
        <m:r>
          <m:t>0</m:t>
        </m:r>
        <m:r>
          <m:rPr>
            <m:sty m:val="p"/>
          </m:rPr>
          <m:t>,</m:t>
        </m:r>
        <m:r>
          <m:t> </m:t>
        </m:r>
        <m:r>
          <m:t>κ</m:t>
        </m:r>
        <m:r>
          <m:rPr>
            <m:sty m:val="p"/>
          </m:rPr>
          <m:t>=</m:t>
        </m:r>
        <m:r>
          <m:t>1</m:t>
        </m:r>
        <m:r>
          <m:rPr>
            <m:sty m:val="p"/>
          </m:rPr>
          <m:t>−</m:t>
        </m:r>
        <m:r>
          <m:t>φ</m:t>
        </m:r>
      </m:oMath>
      <w:r>
        <w:t xml:space="preserve"> </w:t>
      </w:r>
      <w:r>
        <w:t xml:space="preserve">(the contained baseline), the learned model can never be worse than damped</w:t>
      </w:r>
      <w:r>
        <w:t xml:space="preserve"> </w:t>
      </w:r>
      <w:r>
        <w:t xml:space="preserve">persistence by more than</w:t>
      </w:r>
      <w:r>
        <w:t xml:space="preserve"> </w:t>
      </w:r>
      <m:oMath>
        <m:r>
          <m:t>δ</m:t>
        </m:r>
      </m:oMath>
      <w:r>
        <w:t xml:space="preserve"> </w:t>
      </w:r>
      <w:r>
        <w:t xml:space="preserve">°C on any station — a floor a generic</w:t>
      </w:r>
      <w:r>
        <w:t xml:space="preserve"> </w:t>
      </w:r>
      <w:r>
        <w:t xml:space="preserve">unconstrained learner (GBDT or free-headed net) does not provide.</w:t>
      </w:r>
    </w:p>
    <w:p>
      <w:pPr>
        <w:pStyle w:val="FirstParagraph"/>
      </w:pPr>
      <w:r>
        <w:rPr>
          <w:i/>
          <w:iCs/>
        </w:rPr>
        <w:t xml:space="preserve">Proof.</w:t>
      </w:r>
      <w:r>
        <w:t xml:space="preserve"> </w:t>
      </w:r>
      <w:r>
        <w:t xml:space="preserve">The first inequality is the triangle inequality on</w:t>
      </w:r>
      <w:r>
        <w:t xml:space="preserve"> </w:t>
      </w:r>
      <m:oMath>
        <m:acc>
          <m:accPr>
            <m:chr m:val="̂"/>
          </m:accPr>
          <m:e>
            <m:r>
              <m:t>W</m:t>
            </m:r>
          </m:e>
        </m:acc>
        <m:r>
          <m:rPr>
            <m:sty m:val="p"/>
          </m:rPr>
          <m:t>=</m:t>
        </m:r>
        <m:sSup>
          <m:e>
            <m:r>
              <m:t>W</m:t>
            </m:r>
          </m:e>
          <m:sup>
            <m:r>
              <m:rPr>
                <m:sty m:val="p"/>
              </m:rPr>
              <m:t>p</m:t>
            </m:r>
            <m:r>
              <m:rPr>
                <m:sty m:val="p"/>
              </m:rPr>
              <m:t>r</m:t>
            </m:r>
            <m:r>
              <m:rPr>
                <m:sty m:val="p"/>
              </m:rPr>
              <m:t>i</m:t>
            </m:r>
            <m:r>
              <m:rPr>
                <m:sty m:val="p"/>
              </m:rPr>
              <m:t>o</m:t>
            </m:r>
            <m:r>
              <m:rPr>
                <m:sty m:val="p"/>
              </m:rPr>
              <m:t>r</m:t>
            </m:r>
          </m:sup>
        </m:sSup>
        <m:r>
          <m:rPr>
            <m:sty m:val="p"/>
          </m:rPr>
          <m:t>+</m:t>
        </m:r>
        <m:sSub>
          <m:e>
            <m:r>
              <m:rPr>
                <m:sty m:val="p"/>
              </m:rPr>
              <m:t>Δ</m:t>
            </m:r>
          </m:e>
          <m:sub>
            <m:r>
              <m:t>h</m:t>
            </m:r>
          </m:sub>
        </m:sSub>
      </m:oMath>
      <w:r>
        <w:t xml:space="preserve"> </w:t>
      </w:r>
      <w:r>
        <w:t xml:space="preserve">with</w:t>
      </w:r>
      <w:r>
        <w:t xml:space="preserve"> </w:t>
      </w:r>
      <m:oMath>
        <m:r>
          <m:rPr>
            <m:sty m:val="p"/>
          </m:rPr>
          <m:t>|</m:t>
        </m:r>
        <m:sSub>
          <m:e>
            <m:r>
              <m:rPr>
                <m:sty m:val="p"/>
              </m:rPr>
              <m:t>Δ</m:t>
            </m:r>
          </m:e>
          <m:sub>
            <m:r>
              <m:t>h</m:t>
            </m:r>
          </m:sub>
        </m:sSub>
        <m:r>
          <m:rPr>
            <m:sty m:val="p"/>
          </m:rPr>
          <m:t>|</m:t>
        </m:r>
        <m:r>
          <m:rPr>
            <m:sty m:val="p"/>
          </m:rPr>
          <m:t>&lt;</m:t>
        </m:r>
        <m:r>
          <m:t>δ</m:t>
        </m:r>
      </m:oMath>
      <w:r>
        <w:t xml:space="preserve">; squaring,</w:t>
      </w:r>
      <w:r>
        <w:t xml:space="preserve"> </w:t>
      </w:r>
      <w:r>
        <w:t xml:space="preserve">averaging over a station’s days and taking the root (Minkowski) gives the RMSE</w:t>
      </w:r>
      <w:r>
        <w:t xml:space="preserve"> </w:t>
      </w:r>
      <w:r>
        <w:t xml:space="preserve">bound. ∎ This is why we clamp rather than blend: it turns</w:t>
      </w:r>
      <w:r>
        <w:t xml:space="preserve"> </w:t>
      </w:r>
      <w:r>
        <w:t xml:space="preserve">“the residual usually</w:t>
      </w:r>
      <w:r>
        <w:t xml:space="preserve"> </w:t>
      </w:r>
      <w:r>
        <w:t xml:space="preserve">helps”</w:t>
      </w:r>
      <w:r>
        <w:t xml:space="preserve"> </w:t>
      </w:r>
      <w:r>
        <w:t xml:space="preserve">into</w:t>
      </w:r>
      <w:r>
        <w:t xml:space="preserve"> </w:t>
      </w:r>
      <w:r>
        <w:t xml:space="preserve">“the residual provably cannot hurt by more than δ”</w:t>
      </w:r>
      <w:r>
        <w:t xml:space="preserve"> </w:t>
      </w:r>
      <w:r>
        <w:t xml:space="preserve">— the property</w:t>
      </w:r>
      <w:r>
        <w:t xml:space="preserve"> </w:t>
      </w:r>
      <w:r>
        <w:t xml:space="preserve">that makes a physics-biased forecaster safe to deploy where a bare learner’s tail</w:t>
      </w:r>
      <w:r>
        <w:t xml:space="preserve"> </w:t>
      </w:r>
      <w:r>
        <w:t xml:space="preserve">behaviour is unbounded.</w:t>
      </w:r>
      <w:r>
        <w:t xml:space="preserve"> </w:t>
      </w:r>
      <w:r>
        <w:rPr>
          <w:i/>
          <w:iCs/>
        </w:rPr>
        <w:t xml:space="preserve">Disclosure:</w:t>
      </w:r>
      <w:r>
        <w:t xml:space="preserve"> </w:t>
      </w:r>
      <w:r>
        <w:t xml:space="preserve">an earlier version of this study fixed the bound at ±1.5 using a</w:t>
      </w:r>
      <w:r>
        <w:t xml:space="preserve"> </w:t>
      </w:r>
      <w:r>
        <w:t xml:space="preserve">sweep that had read the blind-test years — a protocol violation; on discovering</w:t>
      </w:r>
      <w:r>
        <w:t xml:space="preserve"> </w:t>
      </w:r>
      <w:r>
        <w:t xml:space="preserve">it we re-ran the sweep on the validation split only, which selected ±1.0, and</w:t>
      </w:r>
      <w:r>
        <w:t xml:space="preserve"> </w:t>
      </w:r>
      <w:r>
        <w:t xml:space="preserve">regenerated</w:t>
      </w:r>
      <w:r>
        <w:t xml:space="preserve"> </w:t>
      </w:r>
      <w:r>
        <w:rPr>
          <w:b/>
          <w:bCs/>
        </w:rPr>
        <w:t xml:space="preserve">every</w:t>
      </w:r>
      <w:r>
        <w:t xml:space="preserve"> </w:t>
      </w:r>
      <w:r>
        <w:t xml:space="preserve">large-sample number in this manuscript at ±1.0. The blind</w:t>
      </w:r>
      <w:r>
        <w:t xml:space="preserve"> </w:t>
      </w:r>
      <w:r>
        <w:t xml:space="preserve">test was evaluated once, after the bound was frozen on validation.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w:t>
      </w:r>
      <w:r>
        <w:t xml:space="preserve"> </w:t>
      </w:r>
      <w:r>
        <w:rPr>
          <w:b/>
          <w:bCs/>
        </w:rPr>
        <w:t xml:space="preserve">top-down global LSTM</w:t>
      </w:r>
      <w:r>
        <w:t xml:space="preserve"> </w:t>
      </w:r>
      <w:r>
        <w:t xml:space="preserve">— the field-standard</w:t>
      </w:r>
      <w:r>
        <w:t xml:space="preserve"> </w:t>
      </w:r>
      <w:r>
        <w:t xml:space="preserve">deep sequence baseline (Rahmani et al., 2021; Willard et al., 2024): a</w:t>
      </w:r>
      <w:r>
        <w:t xml:space="preserve"> </w:t>
      </w:r>
      <w:r>
        <w:t xml:space="preserve">station-agnostic 1-layer, 64-unit LSTM over a 14-day context, persistence-anchored</w:t>
      </w:r>
      <w:r>
        <w:t xml:space="preserve"> </w:t>
      </w:r>
      <w:r>
        <w:t xml:space="preserve">(it predicts the multi-day increment), trained under the identical Track-H splits</w:t>
      </w:r>
      <w:r>
        <w:t xml:space="preserve"> </w:t>
      </w:r>
      <w:r>
        <w:t xml:space="preserve">and composite loss so any gap to ThermoRoute is the physics prior and bounded</w:t>
      </w:r>
      <w:r>
        <w:t xml:space="preserve"> </w:t>
      </w:r>
      <w:r>
        <w:t xml:space="preserve">residual, not the training recipe;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42"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1bc45eb63e48eb9e4fde456d5b553ce9c80de7"/>
    <w:p>
      <w:pPr>
        <w:pStyle w:val="Heading3"/>
      </w:pPr>
      <w:r>
        <w:t xml:space="preserve">4.2 Large-sample USGS — ThermoRoute beats the physics baselines and is on par with a strong learner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set to</w:t>
      </w:r>
      <w:r>
        <w:t xml:space="preserve"> </w:t>
      </w:r>
      <w:r>
        <w:t xml:space="preserve">±1.0 °C on the large sample — the value chosen by the validation-only sweep of</w:t>
      </w:r>
      <w:r>
        <w:t xml:space="preserve"> </w:t>
      </w:r>
      <w:r>
        <w:t xml:space="preserve">§3.3); an air2stream-style 8-parameter model (a</w:t>
      </w:r>
      <w:r>
        <w:t xml:space="preserve"> </w:t>
      </w:r>
      <w:r>
        <w:rPr>
          <w:i/>
          <w:iCs/>
        </w:rPr>
        <w:t xml:space="preserve">variant</w:t>
      </w:r>
      <w:r>
        <w:t xml:space="preserve"> </w:t>
      </w:r>
      <w:r>
        <w:t xml:space="preserve">of</w:t>
      </w:r>
      <w:r>
        <w:t xml:space="preserve"> </w:t>
      </w:r>
      <w:r>
        <w:t xml:space="preserve">Toffolon–Piccolroaz — §3.5) is 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LSTM</w:t>
            </w:r>
          </w:p>
        </w:tc>
        <w:tc>
          <w:tcPr/>
          <w:p>
            <w:pPr>
              <w:pStyle w:val="Compact"/>
            </w:pPr>
            <w:r>
              <w:t xml:space="preserve">LightGBM (global)</w:t>
            </w:r>
          </w:p>
        </w:tc>
        <w:tc>
          <w:tcPr/>
          <w:p>
            <w:pPr>
              <w:pStyle w:val="Compact"/>
            </w:pPr>
            <w:r>
              <w:t xml:space="preserve">LightGBM (per-station)</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0.733</w:t>
            </w:r>
          </w:p>
        </w:tc>
        <w:tc>
          <w:tcPr/>
          <w:p>
            <w:pPr>
              <w:pStyle w:val="Compact"/>
            </w:pPr>
            <w:r>
              <w:t xml:space="preserve">0.653</w:t>
            </w:r>
          </w:p>
        </w:tc>
        <w:tc>
          <w:tcPr/>
          <w:p>
            <w:pPr>
              <w:pStyle w:val="Compact"/>
            </w:pPr>
            <w:r>
              <w:t xml:space="preserve">0.620</w:t>
            </w:r>
          </w:p>
        </w:tc>
        <w:tc>
          <w:tcPr/>
          <w:p>
            <w:pPr>
              <w:pStyle w:val="Compact"/>
            </w:pPr>
            <w:r>
              <w:t xml:space="preserve">0.632</w:t>
            </w:r>
          </w:p>
        </w:tc>
        <w:tc>
          <w:tcPr/>
          <w:p>
            <w:pPr>
              <w:pStyle w:val="Compact"/>
            </w:pPr>
            <w:r>
              <w:t xml:space="preserve">0.630</w:t>
            </w:r>
          </w:p>
        </w:tc>
        <w:tc>
          <w:tcPr/>
          <w:p>
            <w:pPr>
              <w:pStyle w:val="Compact"/>
            </w:pPr>
            <w:r>
              <w:t xml:space="preserve">+0.204</w:t>
            </w:r>
          </w:p>
        </w:tc>
        <w:tc>
          <w:tcPr/>
          <w:p>
            <w:pPr>
              <w:pStyle w:val="Compact"/>
            </w:pPr>
            <w:r>
              <w:t xml:space="preserve">+0.172</w:t>
            </w:r>
          </w:p>
        </w:tc>
        <w:tc>
          <w:tcPr/>
          <w:p>
            <w:pPr>
              <w:pStyle w:val="Compact"/>
            </w:pPr>
            <w:r>
              <w:t xml:space="preserve">88 %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1.409</w:t>
            </w:r>
          </w:p>
        </w:tc>
        <w:tc>
          <w:tcPr/>
          <w:p>
            <w:pPr>
              <w:pStyle w:val="Compact"/>
            </w:pPr>
            <w:r>
              <w:t xml:space="preserve">1.362</w:t>
            </w:r>
          </w:p>
        </w:tc>
        <w:tc>
          <w:tcPr/>
          <w:p>
            <w:pPr>
              <w:pStyle w:val="Compact"/>
            </w:pPr>
            <w:r>
              <w:t xml:space="preserve">1.300</w:t>
            </w:r>
          </w:p>
        </w:tc>
        <w:tc>
          <w:tcPr/>
          <w:p>
            <w:pPr>
              <w:pStyle w:val="Compact"/>
            </w:pPr>
            <w:r>
              <w:t xml:space="preserve">1.324</w:t>
            </w:r>
          </w:p>
        </w:tc>
        <w:tc>
          <w:tcPr/>
          <w:p>
            <w:pPr>
              <w:pStyle w:val="Compact"/>
            </w:pPr>
            <w:r>
              <w:t xml:space="preserve">1.289</w:t>
            </w:r>
          </w:p>
        </w:tc>
        <w:tc>
          <w:tcPr/>
          <w:p>
            <w:pPr>
              <w:pStyle w:val="Compact"/>
            </w:pPr>
            <w:r>
              <w:t xml:space="preserve">+0.186</w:t>
            </w:r>
          </w:p>
        </w:tc>
        <w:tc>
          <w:tcPr/>
          <w:p>
            <w:pPr>
              <w:pStyle w:val="Compact"/>
            </w:pPr>
            <w:r>
              <w:t xml:space="preserve">+0.078</w:t>
            </w:r>
          </w:p>
        </w:tc>
        <w:tc>
          <w:tcPr/>
          <w:p>
            <w:pPr>
              <w:pStyle w:val="Compact"/>
            </w:pPr>
            <w:r>
              <w:t xml:space="preserve">94 %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1.805</w:t>
            </w:r>
          </w:p>
        </w:tc>
        <w:tc>
          <w:tcPr/>
          <w:p>
            <w:pPr>
              <w:pStyle w:val="Compact"/>
            </w:pPr>
            <w:r>
              <w:t xml:space="preserve">1.803</w:t>
            </w:r>
          </w:p>
        </w:tc>
        <w:tc>
          <w:tcPr/>
          <w:p>
            <w:pPr>
              <w:pStyle w:val="Compact"/>
            </w:pPr>
            <w:r>
              <w:t xml:space="preserve">1.669</w:t>
            </w:r>
          </w:p>
        </w:tc>
        <w:tc>
          <w:tcPr/>
          <w:p>
            <w:pPr>
              <w:pStyle w:val="Compact"/>
            </w:pPr>
            <w:r>
              <w:t xml:space="preserve">1.750</w:t>
            </w:r>
          </w:p>
        </w:tc>
        <w:tc>
          <w:tcPr/>
          <w:p>
            <w:pPr>
              <w:pStyle w:val="Compact"/>
            </w:pPr>
            <w:r>
              <w:t xml:space="preserve">1.658</w:t>
            </w:r>
          </w:p>
        </w:tc>
        <w:tc>
          <w:tcPr/>
          <w:p>
            <w:pPr>
              <w:pStyle w:val="Compact"/>
            </w:pPr>
            <w:r>
              <w:t xml:space="preserve">+0.247</w:t>
            </w:r>
          </w:p>
        </w:tc>
        <w:tc>
          <w:tcPr/>
          <w:p>
            <w:pPr>
              <w:pStyle w:val="Compact"/>
            </w:pPr>
            <w:r>
              <w:t xml:space="preserve">+0.035</w:t>
            </w:r>
          </w:p>
        </w:tc>
        <w:tc>
          <w:tcPr/>
          <w:p>
            <w:pPr>
              <w:pStyle w:val="Compact"/>
            </w:pPr>
            <w:r>
              <w:t xml:space="preserve">92 %</w:t>
            </w:r>
          </w:p>
        </w:tc>
      </w:tr>
    </w:tbl>
    <w:p>
      <w:pPr>
        <w:pStyle w:val="BodyText"/>
      </w:pPr>
      <w:r>
        <w:t xml:space="preserve">(Medians are not bolded because ThermoRoute and the</w:t>
      </w:r>
      <w:r>
        <w:t xml:space="preserve"> </w:t>
      </w:r>
      <w:r>
        <w:rPr>
          <w:i/>
          <w:iCs/>
        </w:rPr>
        <w:t xml:space="preserve">global</w:t>
      </w:r>
      <w:r>
        <w:t xml:space="preserve"> </w:t>
      </w:r>
      <w:r>
        <w:t xml:space="preserve">LightGBM are a</w:t>
      </w:r>
      <w:r>
        <w:t xml:space="preserve"> </w:t>
      </w:r>
      <w:r>
        <w:t xml:space="preserve">statistical tie at 3–7 days and LightGBM leads at 1 day — see the paired tests</w:t>
      </w:r>
      <w:r>
        <w:t xml:space="preserve"> </w:t>
      </w:r>
      <w:r>
        <w:t xml:space="preserve">below and</w:t>
      </w:r>
      <w:r>
        <w:t xml:space="preserve"> </w:t>
      </w:r>
      <w:r>
        <w:rPr>
          <w:rStyle w:val="VerbatimChar"/>
        </w:rPr>
        <w:t xml:space="preserve">claim1_significance</w:t>
      </w:r>
      <w:r>
        <w:t xml:space="preserve">; the sub-0.02 °C median gaps are not individually</w:t>
      </w:r>
      <w:r>
        <w:t xml:space="preserve"> </w:t>
      </w:r>
      <w:r>
        <w:t xml:space="preserve">meaningful. We report</w:t>
      </w:r>
      <w:r>
        <w:t xml:space="preserve"> </w:t>
      </w:r>
      <w:r>
        <w:rPr>
          <w:b/>
          <w:bCs/>
        </w:rPr>
        <w:t xml:space="preserve">both</w:t>
      </w:r>
      <w:r>
        <w:t xml:space="preserve"> </w:t>
      </w:r>
      <w:r>
        <w:t xml:space="preserve">LightGBM configurations: the global model is the</w:t>
      </w:r>
      <w:r>
        <w:t xml:space="preserve"> </w:t>
      </w:r>
      <w:r>
        <w:t xml:space="preserve">stronger of the two on this panel — a</w:t>
      </w:r>
      <w:r>
        <w:t xml:space="preserve"> </w:t>
      </w:r>
      <w:r>
        <w:rPr>
          <w:i/>
          <w:iCs/>
        </w:rPr>
        <w:t xml:space="preserve">per-station</w:t>
      </w:r>
      <w:r>
        <w:t xml:space="preserve"> </w:t>
      </w:r>
      <w:r>
        <w:t xml:space="preserve">LightGBM over-fits the</w:t>
      </w:r>
      <w:r>
        <w:t xml:space="preserve"> </w:t>
      </w:r>
      <w:r>
        <w:t xml:space="preserve">limited per-gage record and is worse at 3–7 days (1.324 / 1.750) than both the</w:t>
      </w:r>
      <w:r>
        <w:t xml:space="preserve"> </w:t>
      </w:r>
      <w:r>
        <w:t xml:space="preserve">global model and ThermoRoute — so the parity comparison is against the stronger,</w:t>
      </w:r>
      <w:r>
        <w:t xml:space="preserve"> </w:t>
      </w:r>
      <w:r>
        <w:t xml:space="preserve">global LightGBM. The</w:t>
      </w:r>
      <w:r>
        <w:t xml:space="preserve"> </w:t>
      </w:r>
      <w:r>
        <w:rPr>
          <w:b/>
          <w:bCs/>
        </w:rPr>
        <w:t xml:space="preserve">top-down global LSTM</w:t>
      </w:r>
      <w:r>
        <w:t xml:space="preserve"> </w:t>
      </w:r>
      <w:r>
        <w:t xml:space="preserve">(0.653 / 1.362 / 1.803; in the</w:t>
      </w:r>
      <w:r>
        <w:t xml:space="preserve"> </w:t>
      </w:r>
      <w:r>
        <w:t xml:space="preserve">published daily-SWT LSTM band, Zwart et al. 2023) is a credible deep baseline that</w:t>
      </w:r>
      <w:r>
        <w:t xml:space="preserve"> </w:t>
      </w:r>
      <w:r>
        <w:t xml:space="preserve">beats persistence at every lead but sits behind both the global LightGBM and</w:t>
      </w:r>
      <w:r>
        <w:t xml:space="preserve"> </w:t>
      </w:r>
      <w:r>
        <w:t xml:space="preserve">ThermoRoute — consistent with the repeated finding that gradient boosting matches</w:t>
      </w:r>
      <w:r>
        <w:t xml:space="preserve"> </w:t>
      </w:r>
      <w:r>
        <w:t xml:space="preserve">or beats deep sequence models on strongly-autocorrelated tabular hydrology (Feigl</w:t>
      </w:r>
      <w:r>
        <w:t xml:space="preserve"> </w:t>
      </w:r>
      <w:r>
        <w:t xml:space="preserve">et al. 2021; Grinsztajn et al. 2022). ThermoRoute is more accurate than the LSTM at</w:t>
      </w:r>
      <w:r>
        <w:t xml:space="preserve"> </w:t>
      </w:r>
      <w:r>
        <w:t xml:space="preserve">every lead (per-station Wilcoxon p ≤ 5×10⁻¹⁶; better at 88 / 93 / 91 % of stations).</w:t>
      </w:r>
      <w:r>
        <w:t xml:space="preserve"> </w:t>
      </w:r>
      <w:r>
        <w:t xml:space="preserve">air2stream is the fair</w:t>
      </w:r>
      <w:r>
        <w:t xml:space="preserve"> </w:t>
      </w:r>
      <w:r>
        <w:rPr>
          <w:i/>
          <w:iCs/>
        </w:rPr>
        <w:t xml:space="preserve">variant</w:t>
      </w:r>
      <w:r>
        <w:t xml:space="preserve"> </w:t>
      </w:r>
      <w:r>
        <w:t xml:space="preserve">of §3.5, calibrated on observed-target days with</w:t>
      </w:r>
      <w:r>
        <w:t xml:space="preserve"> </w:t>
      </w:r>
      <w:r>
        <w:t xml:space="preserve">the observed air temperature driving the first step.)</w:t>
      </w:r>
    </w:p>
    <w:p>
      <w:pPr>
        <w:pStyle w:val="BodyText"/>
      </w:pPr>
      <w:r>
        <w:t xml:space="preserve">ThermoRoute beats every</w:t>
      </w:r>
      <w:r>
        <w:t xml:space="preserve"> </w:t>
      </w:r>
      <w:r>
        <w:rPr>
          <w:i/>
          <w:iCs/>
        </w:rPr>
        <w:t xml:space="preserve">physics</w:t>
      </w:r>
      <w:r>
        <w:t xml:space="preserve"> </w:t>
      </w:r>
      <w:r>
        <w:t xml:space="preserve">baseline (persistence, damped persistence,</w:t>
      </w:r>
      <w:r>
        <w:t xml:space="preserve"> </w:t>
      </w:r>
      <w:r>
        <w:t xml:space="preserve">air2stream) at every horizon. Per-station Wilcoxon paired tests on the n=114</w:t>
      </w:r>
      <w:r>
        <w:t xml:space="preserve"> </w:t>
      </w:r>
      <w:r>
        <w:t xml:space="preserve">blind-test stations (per-seed protocol, Holm-adjusted across the 9 horizon ×</w:t>
      </w:r>
      <w:r>
        <w:t xml:space="preserve"> </w:t>
      </w:r>
      <w:r>
        <w:t xml:space="preserve">reference tests) give median skill +0.157 / +0.072 / +0.029 vs damped</w:t>
      </w:r>
      <w:r>
        <w:t xml:space="preserve"> </w:t>
      </w:r>
      <w:r>
        <w:t xml:space="preserve">persistence (p ≤ 3×10⁻¹⁶ at every horizon; ThermoRoute better at 85 / 89 / 89 %</w:t>
      </w:r>
      <w:r>
        <w:t xml:space="preserve"> </w:t>
      </w:r>
      <w:r>
        <w:t xml:space="preserve">of stations) and +0.186 / +0.180 / +0.243 vs raw persistence (p ≤ 2×10⁻¹⁸).</w:t>
      </w:r>
      <w:r>
        <w:t xml:space="preserve"> </w:t>
      </w:r>
      <w:r>
        <w:t xml:space="preserve">Both the station bootstrap and a</w:t>
      </w:r>
      <w:r>
        <w:t xml:space="preserve"> </w:t>
      </w:r>
      <w:r>
        <w:rPr>
          <w:b/>
          <w:bCs/>
        </w:rPr>
        <w:t xml:space="preserve">HUC2 cluster bootstrap</w:t>
      </w:r>
      <w:r>
        <w:t xml:space="preserve"> </w:t>
      </w:r>
      <w:r>
        <w:t xml:space="preserve">— which resamples</w:t>
      </w:r>
      <w:r>
        <w:t xml:space="preserve"> </w:t>
      </w:r>
      <w:r>
        <w:t xml:space="preserve">whole hydrologic regions rather than treating spatially-correlated stations as</w:t>
      </w:r>
      <w:r>
        <w:t xml:space="preserve"> </w:t>
      </w:r>
      <w:r>
        <w:t xml:space="preserve">independent — give 95 % CIs that exclude zero at every horizon</w:t>
      </w:r>
      <w:r>
        <w:t xml:space="preserve"> </w:t>
      </w:r>
      <w:r>
        <w:t xml:space="preserve">(Table</w:t>
      </w:r>
      <w:r>
        <w:t xml:space="preserve"> </w:t>
      </w:r>
      <w:r>
        <w:rPr>
          <w:rStyle w:val="VerbatimChar"/>
        </w:rPr>
        <w:t xml:space="preserve">claim1_significance</w:t>
      </w:r>
      <w:r>
        <w:t xml:space="preserve">).</w:t>
      </w:r>
    </w:p>
    <w:p>
      <w:pPr>
        <w:pStyle w:val="BodyText"/>
      </w:pPr>
      <w:r>
        <w:t xml:space="preserve">The strong gradient-boosting baseline (LightGBM) is the most interesting</w:t>
      </w:r>
      <w:r>
        <w:t xml:space="preserve"> </w:t>
      </w:r>
      <w:r>
        <w:t xml:space="preserve">comparison, and the honest result is a</w:t>
      </w:r>
      <w:r>
        <w:t xml:space="preserve"> </w:t>
      </w:r>
      <w:r>
        <w:rPr>
          <w:b/>
          <w:bCs/>
        </w:rPr>
        <w:t xml:space="preserve">near-tie that we do not oversell</w:t>
      </w:r>
      <w:r>
        <w:t xml:space="preserve">.</w:t>
      </w:r>
      <w:r>
        <w:t xml:space="preserve"> </w:t>
      </w:r>
      <w:r>
        <w:t xml:space="preserve">Under the</w:t>
      </w:r>
      <w:r>
        <w:t xml:space="preserve"> </w:t>
      </w:r>
      <w:r>
        <w:rPr>
          <w:i/>
          <w:iCs/>
        </w:rPr>
        <w:t xml:space="preserve">per-seed</w:t>
      </w:r>
      <w:r>
        <w:t xml:space="preserve"> </w:t>
      </w:r>
      <w:r>
        <w:t xml:space="preserve">protocol — each ThermoRoute seed scored as a single model</w:t>
      </w:r>
      <w:r>
        <w:t xml:space="preserve"> </w:t>
      </w:r>
      <w:r>
        <w:t xml:space="preserve">against the single-model LightGBM, so the model budgets match — LightGBM is</w:t>
      </w:r>
      <w:r>
        <w:t xml:space="preserve"> </w:t>
      </w:r>
      <w:r>
        <w:t xml:space="preserve">significantly more accurate at 1 day (median skill −0.044, Holm p = 1×10⁻¹⁴;</w:t>
      </w:r>
      <w:r>
        <w:t xml:space="preserve"> </w:t>
      </w:r>
      <w:r>
        <w:t xml:space="preserve">ThermoRoute wins only 10 % of stations), while at 3 and 7 days the two are</w:t>
      </w:r>
      <w:r>
        <w:t xml:space="preserve"> </w:t>
      </w:r>
      <w:r>
        <w:rPr>
          <w:b/>
          <w:bCs/>
        </w:rPr>
        <w:t xml:space="preserve">statistically indistinguishable</w:t>
      </w:r>
      <w:r>
        <w:t xml:space="preserve"> </w:t>
      </w:r>
      <w:r>
        <w:t xml:space="preserve">(median skill +0.002 and −0.002, Holm</w:t>
      </w:r>
      <w:r>
        <w:t xml:space="preserve"> </w:t>
      </w:r>
      <w:r>
        <w:t xml:space="preserve">p = 0.76 and 0.52; ThermoRoute wins 53 % and 46 % of stations). The deployed</w:t>
      </w:r>
      <w:r>
        <w:t xml:space="preserve"> </w:t>
      </w:r>
      <w:r>
        <w:t xml:space="preserve">5-seed</w:t>
      </w:r>
      <w:r>
        <w:t xml:space="preserve"> </w:t>
      </w:r>
      <w:r>
        <w:rPr>
          <w:i/>
          <w:iCs/>
        </w:rPr>
        <w:t xml:space="preserve">ensemble</w:t>
      </w:r>
      <w:r>
        <w:t xml:space="preserve"> </w:t>
      </w:r>
      <w:r>
        <w:t xml:space="preserve">— which carries the usual ensemble advantage over a single</w:t>
      </w:r>
      <w:r>
        <w:t xml:space="preserve"> </w:t>
      </w:r>
      <w:r>
        <w:t xml:space="preserve">model, and is labelled as such — shifts this marginally in ThermoRoute’s favour:</w:t>
      </w:r>
      <w:r>
        <w:t xml:space="preserve"> </w:t>
      </w:r>
      <w:r>
        <w:t xml:space="preserve">a small but significant edge at 3 days (median skill +0.009, Holm p = 3×10⁻⁵),</w:t>
      </w:r>
      <w:r>
        <w:t xml:space="preserve"> </w:t>
      </w:r>
      <w:r>
        <w:t xml:space="preserve">still behind at 1 day (−0.019) and tied at 7 days (+0.004, p = 0.09). We</w:t>
      </w:r>
      <w:r>
        <w:t xml:space="preserve"> </w:t>
      </w:r>
      <w:r>
        <w:t xml:space="preserve">therefore claim (i) a robust, significant improvement over the</w:t>
      </w:r>
      <w:r>
        <w:t xml:space="preserve"> </w:t>
      </w:r>
      <w:r>
        <w:rPr>
          <w:i/>
          <w:iCs/>
        </w:rPr>
        <w:t xml:space="preserve">physics</w:t>
      </w:r>
      <w:r>
        <w:t xml:space="preserve"> </w:t>
      </w:r>
      <w:r>
        <w:t xml:space="preserve">baselines at every horizon, and (ii)</w:t>
      </w:r>
      <w:r>
        <w:t xml:space="preserve"> </w:t>
      </w:r>
      <w:r>
        <w:rPr>
          <w:b/>
          <w:bCs/>
        </w:rPr>
        <w:t xml:space="preserve">parity, not superiority, against the</w:t>
      </w:r>
      <w:r>
        <w:rPr>
          <w:b/>
          <w:bCs/>
        </w:rPr>
        <w:t xml:space="preserve"> </w:t>
      </w:r>
      <w:r>
        <w:rPr>
          <w:b/>
          <w:bCs/>
        </w:rPr>
        <w:t xml:space="preserve">strong learned baseline</w:t>
      </w:r>
      <w:r>
        <w:t xml:space="preserve">: LightGBM is better at 1 day and the two are on par at</w:t>
      </w:r>
      <w:r>
        <w:t xml:space="preserve"> </w:t>
      </w:r>
      <w:r>
        <w:t xml:space="preserve">3–7 days once the seed budget is matched. We do</w:t>
      </w:r>
      <w:r>
        <w:t xml:space="preserve"> </w:t>
      </w:r>
      <w:r>
        <w:rPr>
          <w:b/>
          <w:bCs/>
        </w:rPr>
        <w:t xml:space="preserve">not</w:t>
      </w:r>
      <w:r>
        <w:t xml:space="preserve"> </w:t>
      </w:r>
      <w:r>
        <w:t xml:space="preserve">claim an advantage over</w:t>
      </w:r>
      <w:r>
        <w:t xml:space="preserve"> </w:t>
      </w:r>
      <w:r>
        <w:t xml:space="preserve">LightGBM, and we report the unfavourable short-horizon result openly. The</w:t>
      </w:r>
      <w:r>
        <w:t xml:space="preserve"> </w:t>
      </w:r>
      <w:r>
        <w:t xml:space="preserve">intermediate 40-station pilot gives the same qualitative ordering (Figure 2).</w:t>
      </w:r>
    </w:p>
    <w:p>
      <w:pPr>
        <w:pStyle w:val="CaptionedFigure"/>
      </w:pPr>
      <w:r>
        <w:drawing>
          <wp:inline>
            <wp:extent cx="5067300" cy="2176643"/>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766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0.696</w:t>
            </w:r>
          </w:p>
        </w:tc>
        <w:tc>
          <w:tcPr/>
          <w:p>
            <w:pPr>
              <w:pStyle w:val="Compact"/>
            </w:pPr>
            <w:r>
              <w:rPr>
                <w:b/>
                <w:bCs/>
              </w:rPr>
              <w:t xml:space="preserve">+0.173 ± 0.021</w:t>
            </w:r>
          </w:p>
        </w:tc>
        <w:tc>
          <w:tcPr/>
          <w:p>
            <w:pPr>
              <w:pStyle w:val="Compact"/>
            </w:pPr>
            <w:r>
              <w:t xml:space="preserve">+0.140 ± 0.023</w:t>
            </w:r>
          </w:p>
        </w:tc>
      </w:tr>
      <w:tr>
        <w:tc>
          <w:tcPr/>
          <w:p>
            <w:pPr>
              <w:pStyle w:val="Compact"/>
            </w:pPr>
            <w:r>
              <w:t xml:space="preserve">3 d</w:t>
            </w:r>
          </w:p>
        </w:tc>
        <w:tc>
          <w:tcPr/>
          <w:p>
            <w:pPr>
              <w:pStyle w:val="Compact"/>
            </w:pPr>
            <w:r>
              <w:t xml:space="preserve">1.361</w:t>
            </w:r>
          </w:p>
        </w:tc>
        <w:tc>
          <w:tcPr/>
          <w:p>
            <w:pPr>
              <w:pStyle w:val="Compact"/>
            </w:pPr>
            <w:r>
              <w:rPr>
                <w:b/>
                <w:bCs/>
              </w:rPr>
              <w:t xml:space="preserve">+0.169 ± 0.010</w:t>
            </w:r>
          </w:p>
        </w:tc>
        <w:tc>
          <w:tcPr/>
          <w:p>
            <w:pPr>
              <w:pStyle w:val="Compact"/>
            </w:pPr>
            <w:r>
              <w:t xml:space="preserve">+0.057 ± 0.012</w:t>
            </w:r>
          </w:p>
        </w:tc>
      </w:tr>
      <w:tr>
        <w:tc>
          <w:tcPr/>
          <w:p>
            <w:pPr>
              <w:pStyle w:val="Compact"/>
            </w:pPr>
            <w:r>
              <w:t xml:space="preserve">7 d</w:t>
            </w:r>
          </w:p>
        </w:tc>
        <w:tc>
          <w:tcPr/>
          <w:p>
            <w:pPr>
              <w:pStyle w:val="Compact"/>
            </w:pPr>
            <w:r>
              <w:t xml:space="preserve">1.654</w:t>
            </w:r>
          </w:p>
        </w:tc>
        <w:tc>
          <w:tcPr/>
          <w:p>
            <w:pPr>
              <w:pStyle w:val="Compact"/>
            </w:pPr>
            <w:r>
              <w:rPr>
                <w:b/>
                <w:bCs/>
              </w:rPr>
              <w:t xml:space="preserve">+0.241 ± 0.011</w:t>
            </w:r>
          </w:p>
        </w:tc>
        <w:tc>
          <w:tcPr/>
          <w:p>
            <w:pPr>
              <w:pStyle w:val="Compact"/>
            </w:pPr>
            <w:r>
              <w:t xml:space="preserve">+0.028 ± 0.011</w:t>
            </w:r>
          </w:p>
        </w:tc>
      </w:tr>
    </w:tbl>
    <w:p>
      <w:pPr>
        <w:pStyle w:val="BodyText"/>
      </w:pPr>
      <w:r>
        <w:t xml:space="preserve">ThermoRoute transfers to unseen basins with a skill over persistence of</w:t>
      </w:r>
      <w:r>
        <w:t xml:space="preserve"> </w:t>
      </w:r>
      <w:r>
        <w:t xml:space="preserve">+0.17 / +0.17 / +0.24 at 1 / 3 / 7 days and small across-fold variability</w:t>
      </w:r>
      <w:r>
        <w:t xml:space="preserve"> </w:t>
      </w:r>
      <w:r>
        <w:t xml:space="preserve">(std ≤ 0.023),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w:t>
      </w:r>
    </w:p>
    <w:p>
      <w:pPr>
        <w:pStyle w:val="BodyText"/>
      </w:pPr>
      <w:r>
        <w:rPr>
          <w:b/>
          <w:bCs/>
        </w:rPr>
        <w:t xml:space="preserve">Leave-region-out, benchmarked against the strong learned baseline.</w:t>
      </w:r>
      <w:r>
        <w:t xml:space="preserve"> </w:t>
      </w:r>
      <w:r>
        <w:t xml:space="preserve">A random</w:t>
      </w:r>
      <w:r>
        <w:t xml:space="preserve"> </w:t>
      </w:r>
      <w:r>
        <w:t xml:space="preserve">station split can leak: gages on the same river and in the same HUC2 region</w:t>
      </w:r>
      <w:r>
        <w:t xml:space="preserve"> </w:t>
      </w:r>
      <w:r>
        <w:t xml:space="preserve">straddle train and test. We therefore also run a</w:t>
      </w:r>
      <w:r>
        <w:t xml:space="preserve"> </w:t>
      </w:r>
      <w:r>
        <w:rPr>
          <w:b/>
          <w:bCs/>
        </w:rPr>
        <w:t xml:space="preserve">leave-HUC2-region-out</w:t>
      </w:r>
      <w:r>
        <w:t xml:space="preserve"> </w:t>
      </w:r>
      <w:r>
        <w:t xml:space="preserve">protocol — the 16 regions are packed into four folds and</w:t>
      </w:r>
      <w:r>
        <w:t xml:space="preserve"> </w:t>
      </w:r>
      <w:r>
        <w:rPr>
          <w:i/>
          <w:iCs/>
        </w:rPr>
        <w:t xml:space="preserve">whole regions</w:t>
      </w:r>
      <w:r>
        <w:t xml:space="preserve"> </w:t>
      </w:r>
      <w:r>
        <w:t xml:space="preserve">are held</w:t>
      </w:r>
      <w:r>
        <w:t xml:space="preserve"> </w:t>
      </w:r>
      <w:r>
        <w:t xml:space="preserve">out, so no held-out gage shares a river or region with training (mean distance</w:t>
      </w:r>
      <w:r>
        <w:t xml:space="preserve"> </w:t>
      </w:r>
      <w:r>
        <w:t xml:space="preserve">from a held-out gage to its nearest training gage rises from ≈0 to</w:t>
      </w:r>
      <w:r>
        <w:t xml:space="preserve"> </w:t>
      </w:r>
      <w:r>
        <w:rPr>
          <w:b/>
          <w:bCs/>
        </w:rPr>
        <w:t xml:space="preserve">358 km</w:t>
      </w:r>
      <w:r>
        <w:t xml:space="preserve">) —</w:t>
      </w:r>
      <w:r>
        <w:t xml:space="preserve"> </w:t>
      </w:r>
      <w:r>
        <w:t xml:space="preserve">and, crucially, we run the</w:t>
      </w:r>
      <w:r>
        <w:t xml:space="preserve"> </w:t>
      </w:r>
      <w:r>
        <w:rPr>
          <w:b/>
          <w:bCs/>
        </w:rPr>
        <w:t xml:space="preserve">global LightGBM under the identical protocol</w:t>
      </w:r>
      <w:r>
        <w:t xml:space="preserve"> </w:t>
      </w:r>
      <w:r>
        <w:t xml:space="preserve">so</w:t>
      </w:r>
      <w:r>
        <w:t xml:space="preserve"> </w:t>
      </w:r>
      <w:r>
        <w:t xml:space="preserve">transfer is measured against the strong learned baseline, not only persistence</w:t>
      </w:r>
      <w:r>
        <w:t xml:space="preserve"> </w:t>
      </w:r>
      <w:r>
        <w:t xml:space="preserve">(Table 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horizon</w:t>
            </w:r>
          </w:p>
        </w:tc>
        <w:tc>
          <w:tcPr/>
          <w:p>
            <w:pPr>
              <w:pStyle w:val="Compact"/>
            </w:pPr>
            <w:r>
              <w:t xml:space="preserve">ThermoRoute RMSE</w:t>
            </w:r>
          </w:p>
        </w:tc>
        <w:tc>
          <w:tcPr/>
          <w:p>
            <w:pPr>
              <w:pStyle w:val="Compact"/>
            </w:pPr>
            <w:r>
              <w:t xml:space="preserve">LightGBM RMSE</w:t>
            </w:r>
          </w:p>
        </w:tc>
        <w:tc>
          <w:tcPr/>
          <w:p>
            <w:pPr>
              <w:pStyle w:val="Compact"/>
            </w:pPr>
            <w:r>
              <w:t xml:space="preserve">LSTM RMSE</w:t>
            </w:r>
          </w:p>
        </w:tc>
        <w:tc>
          <w:tcPr/>
          <w:p>
            <w:pPr>
              <w:pStyle w:val="Compact"/>
            </w:pPr>
            <w:r>
              <w:t xml:space="preserve">TR skill vs persist</w:t>
            </w:r>
          </w:p>
        </w:tc>
        <w:tc>
          <w:tcPr/>
          <w:p>
            <w:pPr>
              <w:pStyle w:val="Compact"/>
            </w:pPr>
            <w:r>
              <w:t xml:space="preserve">LGB skill vs persist</w:t>
            </w:r>
          </w:p>
        </w:tc>
        <w:tc>
          <w:tcPr/>
          <w:p>
            <w:pPr>
              <w:pStyle w:val="Compact"/>
            </w:pPr>
            <w:r>
              <w:t xml:space="preserve">TR−LGB paired Wilcoxon p</w:t>
            </w:r>
          </w:p>
        </w:tc>
      </w:tr>
      <w:tr>
        <w:tc>
          <w:tcPr/>
          <w:p>
            <w:pPr>
              <w:pStyle w:val="Compact"/>
            </w:pPr>
            <w:r>
              <w:t xml:space="preserve">1 d</w:t>
            </w:r>
          </w:p>
        </w:tc>
        <w:tc>
          <w:tcPr/>
          <w:p>
            <w:pPr>
              <w:pStyle w:val="Compact"/>
            </w:pPr>
            <w:r>
              <w:t xml:space="preserve">0.667</w:t>
            </w:r>
          </w:p>
        </w:tc>
        <w:tc>
          <w:tcPr/>
          <w:p>
            <w:pPr>
              <w:pStyle w:val="Compact"/>
            </w:pPr>
            <w:r>
              <w:t xml:space="preserve">0.650</w:t>
            </w:r>
          </w:p>
        </w:tc>
        <w:tc>
          <w:tcPr/>
          <w:p>
            <w:pPr>
              <w:pStyle w:val="Compact"/>
            </w:pPr>
            <w:r>
              <w:t xml:space="preserve">0.671</w:t>
            </w:r>
          </w:p>
        </w:tc>
        <w:tc>
          <w:tcPr/>
          <w:p>
            <w:pPr>
              <w:pStyle w:val="Compact"/>
            </w:pPr>
            <w:r>
              <w:t xml:space="preserve">+0.151</w:t>
            </w:r>
          </w:p>
        </w:tc>
        <w:tc>
          <w:tcPr/>
          <w:p>
            <w:pPr>
              <w:pStyle w:val="Compact"/>
            </w:pPr>
            <w:r>
              <w:t xml:space="preserve">+0.175</w:t>
            </w:r>
          </w:p>
        </w:tc>
        <w:tc>
          <w:tcPr/>
          <w:p>
            <w:pPr>
              <w:pStyle w:val="Compact"/>
            </w:pPr>
            <w:r>
              <w:t xml:space="preserve">5×10⁻⁹ (LGB better)</w:t>
            </w:r>
          </w:p>
        </w:tc>
      </w:tr>
      <w:tr>
        <w:tc>
          <w:tcPr/>
          <w:p>
            <w:pPr>
              <w:pStyle w:val="Compact"/>
            </w:pPr>
            <w:r>
              <w:t xml:space="preserve">3 d</w:t>
            </w:r>
          </w:p>
        </w:tc>
        <w:tc>
          <w:tcPr/>
          <w:p>
            <w:pPr>
              <w:pStyle w:val="Compact"/>
            </w:pPr>
            <w:r>
              <w:t xml:space="preserve">1.323</w:t>
            </w:r>
          </w:p>
        </w:tc>
        <w:tc>
          <w:tcPr/>
          <w:p>
            <w:pPr>
              <w:pStyle w:val="Compact"/>
            </w:pPr>
            <w:r>
              <w:t xml:space="preserve">1.321</w:t>
            </w:r>
          </w:p>
        </w:tc>
        <w:tc>
          <w:tcPr/>
          <w:p>
            <w:pPr>
              <w:pStyle w:val="Compact"/>
            </w:pPr>
            <w:r>
              <w:t xml:space="preserve">1.393</w:t>
            </w:r>
          </w:p>
        </w:tc>
        <w:tc>
          <w:tcPr/>
          <w:p>
            <w:pPr>
              <w:pStyle w:val="Compact"/>
            </w:pPr>
            <w:r>
              <w:t xml:space="preserve">+0.169</w:t>
            </w:r>
          </w:p>
        </w:tc>
        <w:tc>
          <w:tcPr/>
          <w:p>
            <w:pPr>
              <w:pStyle w:val="Compact"/>
            </w:pPr>
            <w:r>
              <w:t xml:space="preserve">+0.168</w:t>
            </w:r>
          </w:p>
        </w:tc>
        <w:tc>
          <w:tcPr/>
          <w:p>
            <w:pPr>
              <w:pStyle w:val="Compact"/>
            </w:pPr>
            <w:r>
              <w:t xml:space="preserve">0.95 (tie)</w:t>
            </w:r>
          </w:p>
        </w:tc>
      </w:tr>
      <w:tr>
        <w:tc>
          <w:tcPr/>
          <w:p>
            <w:pPr>
              <w:pStyle w:val="Compact"/>
            </w:pPr>
            <w:r>
              <w:t xml:space="preserve">7 d</w:t>
            </w:r>
          </w:p>
        </w:tc>
        <w:tc>
          <w:tcPr/>
          <w:p>
            <w:pPr>
              <w:pStyle w:val="Compact"/>
            </w:pPr>
            <w:r>
              <w:t xml:space="preserve">1.675</w:t>
            </w:r>
          </w:p>
        </w:tc>
        <w:tc>
          <w:tcPr/>
          <w:p>
            <w:pPr>
              <w:pStyle w:val="Compact"/>
            </w:pPr>
            <w:r>
              <w:t xml:space="preserve">1.683</w:t>
            </w:r>
          </w:p>
        </w:tc>
        <w:tc>
          <w:tcPr/>
          <w:p>
            <w:pPr>
              <w:pStyle w:val="Compact"/>
            </w:pPr>
            <w:r>
              <w:t xml:space="preserve">1.825</w:t>
            </w:r>
          </w:p>
        </w:tc>
        <w:tc>
          <w:tcPr/>
          <w:p>
            <w:pPr>
              <w:pStyle w:val="Compact"/>
            </w:pPr>
            <w:r>
              <w:t xml:space="preserve">+0.237</w:t>
            </w:r>
          </w:p>
        </w:tc>
        <w:tc>
          <w:tcPr/>
          <w:p>
            <w:pPr>
              <w:pStyle w:val="Compact"/>
            </w:pPr>
            <w:r>
              <w:t xml:space="preserve">+0.232</w:t>
            </w:r>
          </w:p>
        </w:tc>
        <w:tc>
          <w:tcPr/>
          <w:p>
            <w:pPr>
              <w:pStyle w:val="Compact"/>
            </w:pPr>
            <w:r>
              <w:t xml:space="preserve">1×10⁻³ (TR better)</w:t>
            </w:r>
          </w:p>
        </w:tc>
      </w:tr>
    </w:tbl>
    <w:p>
      <w:pPr>
        <w:pStyle w:val="BodyText"/>
      </w:pPr>
      <w:r>
        <w:t xml:space="preserve">All three learned models transfer far out of region and beat persistence/damped by</w:t>
      </w:r>
      <w:r>
        <w:t xml:space="preserve"> </w:t>
      </w:r>
      <w:r>
        <w:t xml:space="preserve">a wide margin. Between ThermoRoute and the strong GBDT the result is a</w:t>
      </w:r>
      <w:r>
        <w:t xml:space="preserve"> </w:t>
      </w:r>
      <w:r>
        <w:rPr>
          <w:b/>
          <w:bCs/>
        </w:rPr>
        <w:t xml:space="preserve">horizon-conditional tie</w:t>
      </w:r>
      <w:r>
        <w:t xml:space="preserve"> </w:t>
      </w:r>
      <w:r>
        <w:t xml:space="preserve">— LightGBM is better at 1 day, the two are</w:t>
      </w:r>
      <w:r>
        <w:t xml:space="preserve"> </w:t>
      </w:r>
      <w:r>
        <w:t xml:space="preserve">indistinguishable at 3 days, and ThermoRoute is better at 7 days (the same ordering</w:t>
      </w:r>
      <w:r>
        <w:t xml:space="preserve"> </w:t>
      </w:r>
      <w:r>
        <w:t xml:space="preserve">as in-sample, §4.2). The</w:t>
      </w:r>
      <w:r>
        <w:t xml:space="preserve"> </w:t>
      </w:r>
      <w:r>
        <w:rPr>
          <w:b/>
          <w:bCs/>
        </w:rPr>
        <w:t xml:space="preserve">global LSTM transfers as well as the others but stays</w:t>
      </w:r>
      <w:r>
        <w:rPr>
          <w:b/>
          <w:bCs/>
        </w:rPr>
        <w:t xml:space="preserve"> </w:t>
      </w:r>
      <w:r>
        <w:rPr>
          <w:b/>
          <w:bCs/>
        </w:rPr>
        <w:t xml:space="preserve">behind both</w:t>
      </w:r>
      <w:r>
        <w:t xml:space="preserve"> </w:t>
      </w:r>
      <w:r>
        <w:t xml:space="preserve">at every lead (0.671 / 1.393 / 1.825; ThermoRoute better with paired</w:t>
      </w:r>
      <w:r>
        <w:t xml:space="preserve"> </w:t>
      </w:r>
      <w:r>
        <w:t xml:space="preserve">p ≤ 6×10⁻²⁰), so the deep baseline does not close the gap out of region either. We</w:t>
      </w:r>
      <w:r>
        <w:t xml:space="preserve"> </w:t>
      </w:r>
      <w:r>
        <w:t xml:space="preserve">therefore do</w:t>
      </w:r>
      <w:r>
        <w:t xml:space="preserve"> </w:t>
      </w:r>
      <w:r>
        <w:rPr>
          <w:b/>
          <w:bCs/>
        </w:rPr>
        <w:t xml:space="preserve">not</w:t>
      </w:r>
      <w:r>
        <w:t xml:space="preserve"> </w:t>
      </w:r>
      <w:r>
        <w:t xml:space="preserve">claim that ThermoRoute generalises to ungauged basins</w:t>
      </w:r>
      <w:r>
        <w:t xml:space="preserve"> </w:t>
      </w:r>
      <w:r>
        <w:rPr>
          <w:i/>
          <w:iCs/>
        </w:rPr>
        <w:t xml:space="preserve">better</w:t>
      </w:r>
      <w:r>
        <w:rPr>
          <w:i/>
          <w:iCs/>
        </w:rPr>
        <w:t xml:space="preserve"> </w:t>
      </w:r>
      <w:r>
        <w:rPr>
          <w:i/>
          <w:iCs/>
        </w:rPr>
        <w:t xml:space="preserve">than</w:t>
      </w:r>
      <w:r>
        <w:t xml:space="preserve"> </w:t>
      </w:r>
      <w:r>
        <w:t xml:space="preserve">the strong learned baseline; we claim that a physics-biased, station-agnostic</w:t>
      </w:r>
      <w:r>
        <w:t xml:space="preserve"> </w:t>
      </w:r>
      <w:r>
        <w:t xml:space="preserve">model transfers</w:t>
      </w:r>
      <w:r>
        <w:t xml:space="preserve"> </w:t>
      </w:r>
      <w:r>
        <w:rPr>
          <w:i/>
          <w:iCs/>
        </w:rPr>
        <w:t xml:space="preserve">as well as</w:t>
      </w:r>
      <w:r>
        <w:t xml:space="preserve"> </w:t>
      </w:r>
      <w:r>
        <w:t xml:space="preserve">a global GBDT and better than a top-down LSTM, while</w:t>
      </w:r>
      <w:r>
        <w:t xml:space="preserve"> </w:t>
      </w:r>
      <w:r>
        <w:t xml:space="preserve">additionally carrying the calibrated intervals (§4.4), the bounded-degradation</w:t>
      </w:r>
      <w:r>
        <w:t xml:space="preserve"> </w:t>
      </w:r>
      <w:r>
        <w:t xml:space="preserve">guarantee (Proposition 1, verified out-of-region in §4.4) and the interpretable</w:t>
      </w:r>
      <w:r>
        <w:t xml:space="preserve"> </w:t>
      </w:r>
      <w:r>
        <w:t xml:space="preserve">drivers (§4.5) that neither learner provides. This honest delineation — parity in</w:t>
      </w:r>
      <w:r>
        <w:t xml:space="preserve"> </w:t>
      </w:r>
      <w:r>
        <w:t xml:space="preserve">point accuracy, advantage in the properties that matter for deployment — is the</w:t>
      </w:r>
      <w:r>
        <w:t xml:space="preserve"> </w:t>
      </w:r>
      <w:r>
        <w:t xml:space="preserve">paper’s central position.</w:t>
      </w:r>
    </w:p>
    <w:p>
      <w:pPr>
        <w:pStyle w:val="BodyText"/>
      </w:pPr>
      <w:r>
        <w:rPr>
          <w:b/>
          <w:bCs/>
        </w:rPr>
        <w:t xml:space="preserve">The transfer triad (TUURT).</w:t>
      </w:r>
      <w:r>
        <w:t xml:space="preserve"> </w:t>
      </w:r>
      <w:r>
        <w:t xml:space="preserve">The 2025 review [F1] prescribes</w:t>
      </w:r>
      <w:r>
        <w:t xml:space="preserve"> </w:t>
      </w:r>
      <w:r>
        <w:rPr>
          <w:i/>
          <w:iCs/>
        </w:rPr>
        <w:t xml:space="preserve">temporal, unseen</w:t>
      </w:r>
      <w:r>
        <w:rPr>
          <w:i/>
          <w:iCs/>
        </w:rPr>
        <w:t xml:space="preserve"> </w:t>
      </w:r>
      <w:r>
        <w:rPr>
          <w:i/>
          <w:iCs/>
        </w:rPr>
        <w:t xml:space="preserve">and ungaged-region tests</w:t>
      </w:r>
      <w:r>
        <w:t xml:space="preserve"> </w:t>
      </w:r>
      <w:r>
        <w:t xml:space="preserve">as the standard for extrapolation confidence, and notes</w:t>
      </w:r>
      <w:r>
        <w:t xml:space="preserve"> </w:t>
      </w:r>
      <w:r>
        <w:t xml:space="preserve">most ML stream-temperature studies run none. ThermoRoute passes all three with</w:t>
      </w:r>
      <w:r>
        <w:t xml:space="preserve"> </w:t>
      </w:r>
      <w:r>
        <w:t xml:space="preserve">positive skill over persistence at every lead, degrading gracefully as the</w:t>
      </w:r>
      <w:r>
        <w:t xml:space="preserve"> </w:t>
      </w:r>
      <w:r>
        <w:t xml:space="preserve">extrapolation demand grows (Table 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arm</w:t>
            </w:r>
          </w:p>
        </w:tc>
        <w:tc>
          <w:tcPr/>
          <w:p>
            <w:pPr>
              <w:pStyle w:val="Compact"/>
            </w:pPr>
            <w:r>
              <w:t xml:space="preserve">protocol</w:t>
            </w:r>
          </w:p>
        </w:tc>
        <w:tc>
          <w:tcPr/>
          <w:p>
            <w:pPr>
              <w:pStyle w:val="Compact"/>
            </w:pPr>
            <w:r>
              <w:t xml:space="preserve">skill vs persistence (1 / 3 / 7 d)</w:t>
            </w:r>
          </w:p>
        </w:tc>
      </w:tr>
      <w:tr>
        <w:tc>
          <w:tcPr/>
          <w:p>
            <w:pPr>
              <w:pStyle w:val="Compact"/>
            </w:pPr>
            <w:r>
              <w:t xml:space="preserve">Temporal</w:t>
            </w:r>
          </w:p>
        </w:tc>
        <w:tc>
          <w:tcPr/>
          <w:p>
            <w:pPr>
              <w:pStyle w:val="Compact"/>
            </w:pPr>
            <w:r>
              <w:t xml:space="preserve">future 2019–2020, seen stations</w:t>
            </w:r>
          </w:p>
        </w:tc>
        <w:tc>
          <w:tcPr/>
          <w:p>
            <w:pPr>
              <w:pStyle w:val="Compact"/>
            </w:pPr>
            <w:r>
              <w:t xml:space="preserve">+0.204 / +0.186 / +0.247</w:t>
            </w:r>
          </w:p>
        </w:tc>
      </w:tr>
      <w:tr>
        <w:tc>
          <w:tcPr/>
          <w:p>
            <w:pPr>
              <w:pStyle w:val="Compact"/>
            </w:pPr>
            <w:r>
              <w:t xml:space="preserve">Unseen station</w:t>
            </w:r>
          </w:p>
        </w:tc>
        <w:tc>
          <w:tcPr/>
          <w:p>
            <w:pPr>
              <w:pStyle w:val="Compact"/>
            </w:pPr>
            <w:r>
              <w:t xml:space="preserve">random 4-fold leave-group-out</w:t>
            </w:r>
          </w:p>
        </w:tc>
        <w:tc>
          <w:tcPr/>
          <w:p>
            <w:pPr>
              <w:pStyle w:val="Compact"/>
            </w:pPr>
            <w:r>
              <w:t xml:space="preserve">+0.173 / +0.169 / +0.241</w:t>
            </w:r>
          </w:p>
        </w:tc>
      </w:tr>
      <w:tr>
        <w:tc>
          <w:tcPr/>
          <w:p>
            <w:pPr>
              <w:pStyle w:val="Compact"/>
            </w:pPr>
            <w:r>
              <w:t xml:space="preserve">Ungaged region</w:t>
            </w:r>
          </w:p>
        </w:tc>
        <w:tc>
          <w:tcPr/>
          <w:p>
            <w:pPr>
              <w:pStyle w:val="Compact"/>
            </w:pPr>
            <w:r>
              <w:t xml:space="preserve">leave-HUC2-region-out (~358 km)</w:t>
            </w:r>
          </w:p>
        </w:tc>
        <w:tc>
          <w:tcPr/>
          <w:p>
            <w:pPr>
              <w:pStyle w:val="Compact"/>
            </w:pPr>
            <w:r>
              <w:t xml:space="preserve">+0.151 / +0.169 / +0.237</w:t>
            </w:r>
          </w:p>
        </w:tc>
      </w:tr>
    </w:tbl>
    <w:p>
      <w:pPr>
        <w:pStyle w:val="BodyText"/>
      </w:pPr>
      <w:r>
        <w:t xml:space="preserve">Skill is positive against</w:t>
      </w:r>
      <w:r>
        <w:t xml:space="preserve"> </w:t>
      </w:r>
      <w:r>
        <w:rPr>
          <w:i/>
          <w:iCs/>
        </w:rPr>
        <w:t xml:space="preserve">damped</w:t>
      </w:r>
      <w:r>
        <w:t xml:space="preserve"> </w:t>
      </w:r>
      <w:r>
        <w:t xml:space="preserve">persistence too on every arm and lead</w:t>
      </w:r>
      <w:r>
        <w:t xml:space="preserve"> </w:t>
      </w:r>
      <w:r>
        <w:t xml:space="preserve">(+0.17/+0.08/+0.03 temporal down to +0.12/+0.05/+0.03 ungaged-region), and the</w:t>
      </w:r>
      <w:r>
        <w:t xml:space="preserve"> </w:t>
      </w:r>
      <w:r>
        <w:t xml:space="preserve">monotone erosion from temporal to unseen-station to ungaged-region is the expected,</w:t>
      </w:r>
      <w:r>
        <w:t xml:space="preserve"> </w:t>
      </w:r>
      <w:r>
        <w:t xml:space="preserve">honest signature of genuine spatial extrapolation rather than leakage.</w:t>
      </w:r>
    </w:p>
    <w:bookmarkEnd w:id="26"/>
    <w:bookmarkStart w:id="36"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0.911</w:t>
      </w:r>
      <w:r>
        <w:t xml:space="preserve"> </w:t>
      </w:r>
      <w:r>
        <w:t xml:space="preserve">at 1 / 3 / 7 days, with</w:t>
      </w:r>
      <w:r>
        <w:t xml:space="preserve"> </w:t>
      </w:r>
      <w:r>
        <w:rPr>
          <w:b/>
          <w:bCs/>
        </w:rPr>
        <w:t xml:space="preserve">96 / 88 / 86 %</w:t>
      </w:r>
      <w:r>
        <w:t xml:space="preserve"> </w:t>
      </w:r>
      <w:r>
        <w:t xml:space="preserve">of the n=114 blind-test stations</w:t>
      </w:r>
      <w:r>
        <w:t xml:space="preserve"> </w:t>
      </w:r>
      <w:r>
        <w:t xml:space="preserve">falling within ±0.05 of nominal (Wilson 95 % CIs: 91–99 %, 80–93 %, 78–91 %;</w:t>
      </w:r>
      <w:r>
        <w:t xml:space="preserve"> </w:t>
      </w:r>
      <w:r>
        <w:t xml:space="preserve">Figure 3). Applying the</w:t>
      </w:r>
      <w:r>
        <w:t xml:space="preserve"> </w:t>
      </w:r>
      <w:r>
        <w:rPr>
          <w:i/>
          <w:iCs/>
        </w:rPr>
        <w:t xml:space="preserve">identical</w:t>
      </w:r>
      <w:r>
        <w:t xml:space="preserve"> </w:t>
      </w:r>
      <w:r>
        <w:t xml:space="preserve">split-conformal wrapper to the two learned</w:t>
      </w:r>
      <w:r>
        <w:t xml:space="preserve"> </w:t>
      </w:r>
      <w:r>
        <w:t xml:space="preserve">baselines, both are calibrated to the same level (LightGBM PICP 0.906 / 0.906 /</w:t>
      </w:r>
      <w:r>
        <w:t xml:space="preserve"> </w:t>
      </w:r>
      <w:r>
        <w:t xml:space="preserve">0.907; LSTM 0.905 / 0.912 / 0.912), so calibrated coverage is a property any of the</w:t>
      </w:r>
      <w:r>
        <w:t xml:space="preserve"> </w:t>
      </w:r>
      <w:r>
        <w:t xml:space="preserve">models can be given and is</w:t>
      </w:r>
      <w:r>
        <w:t xml:space="preserve"> </w:t>
      </w:r>
      <w:r>
        <w:rPr>
          <w:b/>
          <w:bCs/>
        </w:rPr>
        <w:t xml:space="preserve">not</w:t>
      </w:r>
      <w:r>
        <w:t xml:space="preserve"> </w:t>
      </w:r>
      <w:r>
        <w:t xml:space="preserve">by itself ThermoRoute’s differentiator; its</w:t>
      </w:r>
      <w:r>
        <w:t xml:space="preserve"> </w:t>
      </w:r>
      <w:r>
        <w:t xml:space="preserve">intervals are also the sharpest of the three (CRPS 0.246 / 0.505 / 0.633, versus</w:t>
      </w:r>
      <w:r>
        <w:t xml:space="preserve"> </w:t>
      </w:r>
      <w:r>
        <w:t xml:space="preserve">LightGBM 0.240 / 0.503 / 0.630 and LSTM 0.258 / 0.534 / 0.688 — on par with the GBDT</w:t>
      </w:r>
      <w:r>
        <w:t xml:space="preserve"> </w:t>
      </w:r>
      <w:r>
        <w:t xml:space="preserve">and ahead of the LSTM). On the smaller 40-station pilot the same model is calibrated</w:t>
      </w:r>
      <w:r>
        <w:t xml:space="preserve"> </w:t>
      </w:r>
      <w:r>
        <w:t xml:space="preserve">at the</w:t>
      </w:r>
      <w:r>
        <w:t xml:space="preserve"> </w:t>
      </w:r>
      <w:r>
        <w:rPr>
          <w:i/>
          <w:iCs/>
        </w:rPr>
        <w:t xml:space="preserve">population</w:t>
      </w:r>
      <w:r>
        <w:t xml:space="preserve"> </w:t>
      </w:r>
      <w:r>
        <w:t xml:space="preserve">level (median PICP 0.90–0.91) with a wider per-station spread</w:t>
      </w:r>
      <w:r>
        <w:t xml:space="preserve"> </w:t>
      </w:r>
      <w:r>
        <w:t xml:space="preserve">(n=36 per-station PICP range 0.81–0.97), and on the three-station cascade the spread</w:t>
      </w:r>
      <w:r>
        <w:t xml:space="preserve"> </w:t>
      </w:r>
      <w:r>
        <w:t xml:space="preserve">is wider still (0.79–0.91, §4.1), so we treat tight per-station coverage as a</w:t>
      </w:r>
      <w:r>
        <w:t xml:space="preserve"> </w:t>
      </w:r>
      <w:r>
        <w:t xml:space="preserve">property of the large-sample regime, not a guarantee.</w:t>
      </w:r>
    </w:p>
    <w:p>
      <w:pPr>
        <w:pStyle w:val="BodyText"/>
      </w:pPr>
      <w:r>
        <w:rPr>
          <w:b/>
          <w:bCs/>
        </w:rPr>
        <w:t xml:space="preserve">Bounded-degradation guarantee, verified (Proposition 1).</w:t>
      </w:r>
      <w:r>
        <w:t xml:space="preserve"> </w:t>
      </w:r>
      <w:r>
        <w:t xml:space="preserve">ThermoRoute’s genuine</w:t>
      </w:r>
      <w:r>
        <w:t xml:space="preserve"> </w:t>
      </w:r>
      <w:r>
        <w:t xml:space="preserve">distinguishing property is one no pure or hybrid learner states: because the neural</w:t>
      </w:r>
      <w:r>
        <w:t xml:space="preserve"> </w:t>
      </w:r>
      <w:r>
        <w:t xml:space="preserve">residual is</w:t>
      </w:r>
      <w:r>
        <w:t xml:space="preserve"> </w:t>
      </w:r>
      <w:r>
        <w:rPr>
          <w:rStyle w:val="VerbatimChar"/>
        </w:rPr>
        <w:t xml:space="preserve">tanh</w:t>
      </w:r>
      <w:r>
        <w:t xml:space="preserve">-bounded to ±δ around the physics prior, per sample</w:t>
      </w:r>
      <w:r>
        <w:t xml:space="preserve"> </w:t>
      </w:r>
      <w:r>
        <w:t xml:space="preserve">|median−y| ≤ |prior−y|+δ, hence per station RMSE(model) ≤ RMSE(prior)+δ — a</w:t>
      </w:r>
      <w:r>
        <w:t xml:space="preserve"> </w:t>
      </w:r>
      <w:r>
        <w:t xml:space="preserve">worst-case deployment floor. We verify it on the blind test: the pointwise bound</w:t>
      </w:r>
      <w:r>
        <w:t xml:space="preserve"> </w:t>
      </w:r>
      <w:r>
        <w:t xml:space="preserve">holds on</w:t>
      </w:r>
      <w:r>
        <w:t xml:space="preserve"> </w:t>
      </w:r>
      <w:r>
        <w:rPr>
          <w:b/>
          <w:bCs/>
        </w:rPr>
        <w:t xml:space="preserve">100.0 %</w:t>
      </w:r>
      <w:r>
        <w:t xml:space="preserve"> </w:t>
      </w:r>
      <w:r>
        <w:t xml:space="preserve">of predictions and the per-station RMSE ceiling holds on</w:t>
      </w:r>
      <w:r>
        <w:t xml:space="preserve"> </w:t>
      </w:r>
      <w:r>
        <w:rPr>
          <w:b/>
          <w:bCs/>
        </w:rPr>
        <w:t xml:space="preserve">100 %</w:t>
      </w:r>
      <w:r>
        <w:t xml:space="preserve"> </w:t>
      </w:r>
      <w:r>
        <w:t xml:space="preserve">of station×horizon cells (Figure 4a). The bound is not decorative — the</w:t>
      </w:r>
      <w:r>
        <w:t xml:space="preserve"> </w:t>
      </w:r>
      <w:r>
        <w:t xml:space="preserve">residual is engaged (non-zero) on</w:t>
      </w:r>
      <w:r>
        <w:t xml:space="preserve"> </w:t>
      </w:r>
      <w:r>
        <w:rPr>
          <w:b/>
          <w:bCs/>
        </w:rPr>
        <w:t xml:space="preserve">81 %</w:t>
      </w:r>
      <w:r>
        <w:t xml:space="preserve"> </w:t>
      </w:r>
      <w:r>
        <w:t xml:space="preserve">of samples — yet the ±δ cap only has to</w:t>
      </w:r>
      <w:r>
        <w:t xml:space="preserve"> </w:t>
      </w:r>
      <w:r>
        <w:t xml:space="preserve">bind on</w:t>
      </w:r>
      <w:r>
        <w:t xml:space="preserve"> </w:t>
      </w:r>
      <w:r>
        <w:rPr>
          <w:b/>
          <w:bCs/>
        </w:rPr>
        <w:t xml:space="preserve">3 %</w:t>
      </w:r>
      <w:r>
        <w:t xml:space="preserve"> </w:t>
      </w:r>
      <w:r>
        <w:t xml:space="preserve">of them, so δ = 1 °C is a hard ceiling the working residual rarely</w:t>
      </w:r>
      <w:r>
        <w:t xml:space="preserve"> </w:t>
      </w:r>
      <w:r>
        <w:t xml:space="preserve">touches (Figure 4b). The floor is not an in-sample artifact: on the</w:t>
      </w:r>
      <w:r>
        <w:t xml:space="preserve"> </w:t>
      </w:r>
      <w:r>
        <w:t xml:space="preserve">leave-HUC2-region-out held-out stations, ThermoRoute still beats persistence at</w:t>
      </w:r>
      <w:r>
        <w:t xml:space="preserve"> </w:t>
      </w:r>
      <w:r>
        <w:rPr>
          <w:b/>
          <w:bCs/>
        </w:rPr>
        <w:t xml:space="preserve">91 %</w:t>
      </w:r>
      <w:r>
        <w:t xml:space="preserve"> </w:t>
      </w:r>
      <w:r>
        <w:t xml:space="preserve">of station×horizon cells, i.e. the guarantee survives 358 km of spatial</w:t>
      </w:r>
      <w:r>
        <w:t xml:space="preserve"> </w:t>
      </w:r>
      <w:r>
        <w:t xml:space="preserve">extrapolation. Neither the LightGBM nor the LSTM — nor differentiable-hybrid stream</w:t>
      </w:r>
      <w:r>
        <w:t xml:space="preserve"> </w:t>
      </w:r>
      <w:r>
        <w:t xml:space="preserve">temperature models (Rahmani et al., 2023) — can state a comparable per-station</w:t>
      </w:r>
      <w:r>
        <w:t xml:space="preserve"> </w:t>
      </w:r>
      <w:r>
        <w:t xml:space="preserve">worst-case bound.</w:t>
      </w:r>
    </w:p>
    <w:p>
      <w:pPr>
        <w:pStyle w:val="CaptionedFigure"/>
      </w:pPr>
      <w:r>
        <w:drawing>
          <wp:inline>
            <wp:extent cx="4800600" cy="1892614"/>
            <wp:effectExtent b="0" l="0" r="0" t="0"/>
            <wp:docPr descr="Figure 4. 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 title="" id="28" name="Picture"/>
            <a:graphic>
              <a:graphicData uri="http://schemas.openxmlformats.org/drawingml/2006/picture">
                <pic:pic>
                  <pic:nvPicPr>
                    <pic:cNvPr descr="outputs/figures/fig_prop1_binding.png" id="29" name="Picture"/>
                    <pic:cNvPicPr>
                      <a:picLocks noChangeArrowheads="1" noChangeAspect="1"/>
                    </pic:cNvPicPr>
                  </pic:nvPicPr>
                  <pic:blipFill>
                    <a:blip r:embed="rId27"/>
                    <a:stretch>
                      <a:fillRect/>
                    </a:stretch>
                  </pic:blipFill>
                  <pic:spPr bwMode="auto">
                    <a:xfrm>
                      <a:off x="0" y="0"/>
                      <a:ext cx="4800600" cy="18926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ThermoRoute leads both learned baselines on the calibrated</w:t>
      </w:r>
      <w:r>
        <w:t xml:space="preserve"> </w:t>
      </w:r>
      <w:r>
        <w:t xml:space="preserve">warning: Brier skill</w:t>
      </w:r>
      <w:r>
        <w:t xml:space="preserve"> </w:t>
      </w:r>
      <w:r>
        <w:rPr>
          <w:b/>
          <w:bCs/>
        </w:rPr>
        <w:t xml:space="preserve">+0.74 / +0.60 / +0.51</w:t>
      </w:r>
      <w:r>
        <w:t xml:space="preserve"> </w:t>
      </w:r>
      <w:r>
        <w:t xml:space="preserve">and AUROC 0.989 / 0.975 / 0.963 at</w:t>
      </w:r>
      <w:r>
        <w:t xml:space="preserve"> </w:t>
      </w:r>
      <w:r>
        <w:t xml:space="preserve">1 / 3 / 7 d, ahead of LightGBM (+0.73 / +0.57 / +0.49) and the LSTM</w:t>
      </w:r>
      <w:r>
        <w:t xml:space="preserve"> </w:t>
      </w:r>
      <w:r>
        <w:t xml:space="preserve">(+0.68 / +0.56 / +0.48), and its reliability curve tracks the diagonal most closely</w:t>
      </w:r>
      <w:r>
        <w:t xml:space="preserve"> </w:t>
      </w:r>
      <w:r>
        <w:t xml:space="preserve">(Figure 5). The exceedance threshold is</w:t>
      </w:r>
      <w:r>
        <w:t xml:space="preserve"> </w:t>
      </w:r>
      <w:r>
        <w:rPr>
          <w:b/>
          <w:bCs/>
        </w:rPr>
        <w:t xml:space="preserve">statistical</w:t>
      </w:r>
      <w:r>
        <w:t xml:space="preserve">, set as the station-specific</w:t>
      </w:r>
      <w:r>
        <w:t xml:space="preserve"> </w:t>
      </w:r>
      <w:r>
        <w:t xml:space="preserve">train-period 90th percentile of WTEMP — it is not a biological or regulatory limit</w:t>
      </w:r>
      <w:r>
        <w:t xml:space="preserve"> </w:t>
      </w:r>
      <w:r>
        <w:t xml:space="preserve">and the skill numbers should be read accordingly.</w:t>
      </w:r>
    </w:p>
    <w:p>
      <w:pPr>
        <w:pStyle w:val="CaptionedFigure"/>
      </w:pPr>
      <w:r>
        <w:drawing>
          <wp:inline>
            <wp:extent cx="2933700" cy="3010959"/>
            <wp:effectExtent b="0" l="0" r="0" t="0"/>
            <wp:docPr descr="Figure 5. Reliability of the high-temperature exceedance warning (all leads pooled). Forecast probability versus observed exceedance frequency; ThermoRoute’s calibrated warning tracks the diagonal most closely, ahead of the LightGBM and LSTM." title="" id="31" name="Picture"/>
            <a:graphic>
              <a:graphicData uri="http://schemas.openxmlformats.org/drawingml/2006/picture">
                <pic:pic>
                  <pic:nvPicPr>
                    <pic:cNvPr descr="outputs/figures/fig_reliability.png" id="32" name="Picture"/>
                    <pic:cNvPicPr>
                      <a:picLocks noChangeArrowheads="1" noChangeAspect="1"/>
                    </pic:cNvPicPr>
                  </pic:nvPicPr>
                  <pic:blipFill>
                    <a:blip r:embed="rId30"/>
                    <a:stretch>
                      <a:fillRect/>
                    </a:stretch>
                  </pic:blipFill>
                  <pic:spPr bwMode="auto">
                    <a:xfrm>
                      <a:off x="0" y="0"/>
                      <a:ext cx="2933700" cy="301095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Reliability of the high-temperature exceedance warning (all leads pooled). Forecast probability versus observed exceedance frequency; ThermoRoute’s calibrated warning tracks the diagonal most closely, ahead of the LightGBM and LSTM.</w:t>
      </w:r>
    </w:p>
    <w:p>
      <w:pPr>
        <w:pStyle w:val="BodyText"/>
      </w:pPr>
      <w:r>
        <w:rPr>
          <w:b/>
          <w:bCs/>
        </w:rPr>
        <w:t xml:space="preserve">Decision value.</w:t>
      </w:r>
      <w:r>
        <w:t xml:space="preserve"> </w:t>
      </w:r>
      <w:r>
        <w:t xml:space="preserve">On a generic cost–loss decision model (Wilks 2011), we score</w:t>
      </w:r>
      <w:r>
        <w:t xml:space="preserve"> </w:t>
      </w:r>
      <w:r>
        <w:t xml:space="preserve">the exceedance decision</w:t>
      </w:r>
      <w:r>
        <w:t xml:space="preserve"> </w:t>
      </w:r>
      <w:r>
        <w:t xml:space="preserve">“protect iff p &gt; α”</w:t>
      </w:r>
      <w:r>
        <w:t xml:space="preserve"> </w:t>
      </w:r>
      <w:r>
        <w:t xml:space="preserve">over the full cost–loss ratio grid</w:t>
      </w:r>
      <w:r>
        <w:t xml:space="preserve"> </w:t>
      </w:r>
      <w:r>
        <w:t xml:space="preserve">α ∈ (0, 1) — the framing of Modi et al. (2025), who show forecast</w:t>
      </w:r>
      <w:r>
        <w:t xml:space="preserve"> </w:t>
      </w:r>
      <w:r>
        <w:rPr>
          <w:i/>
          <w:iCs/>
        </w:rPr>
        <w:t xml:space="preserve">value</w:t>
      </w:r>
      <w:r>
        <w:t xml:space="preserve"> </w:t>
      </w:r>
      <w:r>
        <w:t xml:space="preserve">need not</w:t>
      </w:r>
      <w:r>
        <w:t xml:space="preserve"> </w:t>
      </w:r>
      <w:r>
        <w:t xml:space="preserve">follow RMSE</w:t>
      </w:r>
      <w:r>
        <w:t xml:space="preserve"> </w:t>
      </w:r>
      <w:r>
        <w:rPr>
          <w:i/>
          <w:iCs/>
        </w:rPr>
        <w:t xml:space="preserve">skill</w:t>
      </w:r>
      <w:r>
        <w:t xml:space="preserve">. Across the operationally relevant low-α range (cheap protection</w:t>
      </w:r>
      <w:r>
        <w:t xml:space="preserve"> </w:t>
      </w:r>
      <w:r>
        <w:t xml:space="preserve">relative to loss), ThermoRoute’s calibrated warning has the highest relative</w:t>
      </w:r>
      <w:r>
        <w:t xml:space="preserve"> </w:t>
      </w:r>
      <w:r>
        <w:t xml:space="preserve">economic value at every lead: REV at α = 0.1 is</w:t>
      </w:r>
      <w:r>
        <w:t xml:space="preserve"> </w:t>
      </w:r>
      <w:r>
        <w:rPr>
          <w:b/>
          <w:bCs/>
        </w:rPr>
        <w:t xml:space="preserve">0.90 / 0.85 / 0.81</w:t>
      </w:r>
      <w:r>
        <w:t xml:space="preserve"> </w:t>
      </w:r>
      <w:r>
        <w:t xml:space="preserve">for</w:t>
      </w:r>
      <w:r>
        <w:t xml:space="preserve"> </w:t>
      </w:r>
      <w:r>
        <w:t xml:space="preserve">ThermoRoute versus 0.89 / 0.84 / 0.81 (LightGBM), 0.87 / 0.83 / 0.80 (LSTM) and</w:t>
      </w:r>
      <w:r>
        <w:t xml:space="preserve"> </w:t>
      </w:r>
      <w:r>
        <w:t xml:space="preserve">0.81 / 0.65 / 0.51 (persistence); peak REV is 0.91 / 0.85 / 0.82 (Figure 6). This is</w:t>
      </w:r>
      <w:r>
        <w:t xml:space="preserve"> </w:t>
      </w:r>
      <w:r>
        <w:t xml:space="preserve">the axis on which the RMSE tie with LightGBM does</w:t>
      </w:r>
      <w:r>
        <w:t xml:space="preserve"> </w:t>
      </w:r>
      <w:r>
        <w:rPr>
          <w:i/>
          <w:iCs/>
        </w:rPr>
        <w:t xml:space="preserve">not</w:t>
      </w:r>
      <w:r>
        <w:t xml:space="preserve"> </w:t>
      </w:r>
      <w:r>
        <w:t xml:space="preserve">translate to a value tie: a</w:t>
      </w:r>
      <w:r>
        <w:t xml:space="preserve"> </w:t>
      </w:r>
      <w:r>
        <w:t xml:space="preserve">calibrated probability dominates a deterministic threshold warning where protection</w:t>
      </w:r>
      <w:r>
        <w:t xml:space="preserve"> </w:t>
      </w:r>
      <w:r>
        <w:t xml:space="preserve">is cheap. Honesty requires the caveat at the</w:t>
      </w:r>
      <w:r>
        <w:t xml:space="preserve"> </w:t>
      </w:r>
      <w:r>
        <w:rPr>
          <w:i/>
          <w:iCs/>
        </w:rPr>
        <w:t xml:space="preserve">other</w:t>
      </w:r>
      <w:r>
        <w:t xml:space="preserve"> </w:t>
      </w:r>
      <w:r>
        <w:t xml:space="preserve">end of the grid: at α = 0.5</w:t>
      </w:r>
      <w:r>
        <w:t xml:space="preserve"> </w:t>
      </w:r>
      <w:r>
        <w:t xml:space="preserve">(protection nearly as costly as the loss) the deterministic persistence warning</w:t>
      </w:r>
      <w:r>
        <w:t xml:space="preserve"> </w:t>
      </w:r>
      <w:r>
        <w:t xml:space="preserve">becomes competitive (persistence REV 0.72 / 0.48 / 0.28 versus ThermoRoute</w:t>
      </w:r>
      <w:r>
        <w:t xml:space="preserve"> </w:t>
      </w:r>
      <w:r>
        <w:t xml:space="preserve">0.68 / 0.48 / 0.35), so the probabilistic advantage is concentrated in the cheap-</w:t>
      </w:r>
      <w:r>
        <w:t xml:space="preserve"> </w:t>
      </w:r>
      <w:r>
        <w:t xml:space="preserve">protection regime, not universal. We also stress that the cost–loss model is</w:t>
      </w:r>
      <w:r>
        <w:t xml:space="preserve"> </w:t>
      </w:r>
      <w:r>
        <w:t xml:space="preserve">generic and the threshold is statistical; a true management value calculation would</w:t>
      </w:r>
      <w:r>
        <w:t xml:space="preserve"> </w:t>
      </w:r>
      <w:r>
        <w:t xml:space="preserve">require biological/regulatory thresholds and station-specific cost ratios, so we</w:t>
      </w:r>
      <w:r>
        <w:t xml:space="preserve"> </w:t>
      </w:r>
      <w:r>
        <w:t xml:space="preserve">read this as a rigorous</w:t>
      </w:r>
      <w:r>
        <w:t xml:space="preserve"> </w:t>
      </w:r>
      <w:r>
        <w:rPr>
          <w:i/>
          <w:iCs/>
        </w:rPr>
        <w:t xml:space="preserve">decision-relevance</w:t>
      </w:r>
      <w:r>
        <w:t xml:space="preserve"> </w:t>
      </w:r>
      <w:r>
        <w:t xml:space="preserve">result rather than a demonstrated</w:t>
      </w:r>
      <w:r>
        <w:t xml:space="preserve"> </w:t>
      </w:r>
      <w:r>
        <w:t xml:space="preserve">dollar value.</w:t>
      </w:r>
    </w:p>
    <w:p>
      <w:pPr>
        <w:pStyle w:val="BodyText"/>
      </w:pPr>
      <w:r>
        <w:rPr>
          <w:b/>
          <w:bCs/>
        </w:rPr>
        <w:t xml:space="preserve">Multi-metric reporting.</w:t>
      </w:r>
      <w:r>
        <w:t xml:space="preserve"> </w:t>
      </w:r>
      <w:r>
        <w:t xml:space="preserve">The 2025 review [F1] asks that regression, dimensionless</w:t>
      </w:r>
      <w:r>
        <w:t xml:space="preserve"> </w:t>
      </w:r>
      <w:r>
        <w:t xml:space="preserve">and error-index statistics be reported together rather than RMSE alone. On the</w:t>
      </w:r>
      <w:r>
        <w:t xml:space="preserve"> </w:t>
      </w:r>
      <w:r>
        <w:t xml:space="preserve">pooled blind test ThermoRoute scores NSE 0.992 / 0.970 / 0.954, KGE 0.993 / 0.974 /</w:t>
      </w:r>
      <w:r>
        <w:t xml:space="preserve"> </w:t>
      </w:r>
      <w:r>
        <w:t xml:space="preserve">0.963, MAE 0.470 / 0.971 / 1.213 °C and |PBIAS| ≤ 0.2 % at 1 / 3 / 7 d — all above</w:t>
      </w:r>
      <w:r>
        <w:t xml:space="preserve"> </w:t>
      </w:r>
      <w:r>
        <w:t xml:space="preserve">the review’s reported field norms (median NSE ≈ 0.93, MAE ≈ 1.09 °C) and essentially</w:t>
      </w:r>
      <w:r>
        <w:t xml:space="preserve"> </w:t>
      </w:r>
      <w:r>
        <w:t xml:space="preserve">tied with the global LightGBM (NSE 0.993 / 0.969 / 0.954) and ahead of the LSTM</w:t>
      </w:r>
      <w:r>
        <w:t xml:space="preserve"> </w:t>
      </w:r>
      <w:r>
        <w:t xml:space="preserve">(NSE 0.992 / 0.967 / 0.947); the full per-model table is</w:t>
      </w:r>
      <w:r>
        <w:t xml:space="preserve"> </w:t>
      </w:r>
      <w:r>
        <w:rPr>
          <w:rStyle w:val="VerbatimChar"/>
        </w:rPr>
        <w:t xml:space="preserve">outputs/tables/multi_metric.csv</w:t>
      </w:r>
      <w:r>
        <w:t xml:space="preserve">.</w:t>
      </w:r>
      <w:r>
        <w:t xml:space="preserve"> </w:t>
      </w:r>
      <w:r>
        <w:t xml:space="preserve">Region-weighted RMSE (mean of per-HUC2 medians, so no single over-represented region</w:t>
      </w:r>
      <w:r>
        <w:t xml:space="preserve"> </w:t>
      </w:r>
      <w:r>
        <w:t xml:space="preserve">carries the headline) is 0.66 / 1.37 / 1.69 °C, within 0.01–0.04 °C of the pooled</w:t>
      </w:r>
      <w:r>
        <w:t xml:space="preserve"> </w:t>
      </w:r>
      <w:r>
        <w:t xml:space="preserve">medians, confirming the result is not driven by one region.</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6–96 % of stations within ±0.05 of 0.90)." title="" id="34" name="Picture"/>
            <a:graphic>
              <a:graphicData uri="http://schemas.openxmlformats.org/drawingml/2006/picture">
                <pic:pic>
                  <pic:nvPicPr>
                    <pic:cNvPr descr="outputs/figures/fig_usgs_calibration.png" id="35" name="Picture"/>
                    <pic:cNvPicPr>
                      <a:picLocks noChangeArrowheads="1" noChangeAspect="1"/>
                    </pic:cNvPicPr>
                  </pic:nvPicPr>
                  <pic:blipFill>
                    <a:blip r:embed="rId33"/>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(86–96 % of stations within ±0.05 of 0.90).</w:t>
      </w:r>
    </w:p>
    <w:bookmarkEnd w:id="36"/>
    <w:bookmarkStart w:id="40"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w:t>
      </w:r>
      <w:r>
        <w:t xml:space="preserve"> </w:t>
      </w:r>
      <w:r>
        <w:rPr>
          <w:b/>
          <w:bCs/>
        </w:rPr>
        <w:t xml:space="preserve">0 % of stations</w:t>
      </w:r>
      <w:r>
        <w:t xml:space="preserve"> </w:t>
      </w:r>
      <w:r>
        <w:t xml:space="preserve">(median κ_high/κ_low =</w:t>
      </w:r>
      <w:r>
        <w:t xml:space="preserve"> </w:t>
      </w:r>
      <w:r>
        <w:t xml:space="preserve">0.87; mean κ_low 0.134 vs κ_high 0.117) — and at only 24 % on the smaller 40-</w:t>
      </w:r>
      <w:r>
        <w:t xml:space="preserve"> </w:t>
      </w:r>
      <w:r>
        <w:t xml:space="preserve">station pilot — so there is no consistent, physically directional flow dependence</w:t>
      </w:r>
      <w:r>
        <w:t xml:space="preserve"> </w:t>
      </w:r>
      <w:r>
        <w:t xml:space="preserve">at scale; if anything the sign is weakly reversed.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w:t>
      </w:r>
      <w:r>
        <w:t xml:space="preserve"> </w:t>
      </w:r>
      <w:r>
        <w:t xml:space="preserve">discharge (FLOW ≈44 % of routing weight) and precipitation (≈29 %), consistent</w:t>
      </w:r>
      <w:r>
        <w:t xml:space="preserve"> </w:t>
      </w:r>
      <w:r>
        <w:t xml:space="preserve">with short-range control by hydrologic state and recent rainfall; at 3 and 7</w:t>
      </w:r>
      <w:r>
        <w:t xml:space="preserve"> </w:t>
      </w:r>
      <w:r>
        <w:t xml:space="preserve">days incident solar radiation (</w:t>
      </w:r>
      <w:r>
        <w:rPr>
          <w:rStyle w:val="VerbatimChar"/>
        </w:rPr>
        <w:t xml:space="preserve">DH</w:t>
      </w:r>
      <w:r>
        <w:t xml:space="preserve">) grows to the single largest share</w:t>
      </w:r>
      <w:r>
        <w:t xml:space="preserve"> </w:t>
      </w:r>
      <w:r>
        <w:t xml:space="preserve">(30 % / 35 %) alongside flow (29 % / 27 %) and a rising humidity contribution</w:t>
      </w:r>
      <w:r>
        <w:t xml:space="preserve"> </w:t>
      </w:r>
      <w:r>
        <w:t xml:space="preserve">(RHMEAN 15 % / 17 %), consistent with the surface energy budget — radiative</w:t>
      </w:r>
      <w:r>
        <w:t xml:space="preserve"> </w:t>
      </w:r>
      <w:r>
        <w:t xml:space="preserve">heating and evaporative exchange — mattering more as the persistent thermal</w:t>
      </w:r>
      <w:r>
        <w:t xml:space="preserve"> </w:t>
      </w:r>
      <w:r>
        <w:t xml:space="preserve">state decays at longer leads. This is an interpretive read-out, not a causal</w:t>
      </w:r>
      <w:r>
        <w:t xml:space="preserve"> </w:t>
      </w:r>
      <w:r>
        <w:t xml:space="preserve">mechanism (Figure 4).</w:t>
      </w:r>
    </w:p>
    <w:p>
      <w:pPr>
        <w:pStyle w:val="CaptionedFigure"/>
      </w:pPr>
      <w:r>
        <w:drawing>
          <wp:inline>
            <wp:extent cx="4533900" cy="2109975"/>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0 % of stations on the 120-station panel (and 24 % on the 40-station pilot), median ratio 0.87 — so we retract the flow-dependent thermal-memory claim." title="" id="38" name="Picture"/>
            <a:graphic>
              <a:graphicData uri="http://schemas.openxmlformats.org/drawingml/2006/picture">
                <pic:pic>
                  <pic:nvPicPr>
                    <pic:cNvPr descr="outputs/figures/fig_usgs_kappa.png" id="39" name="Picture"/>
                    <pic:cNvPicPr>
                      <a:picLocks noChangeArrowheads="1" noChangeAspect="1"/>
                    </pic:cNvPicPr>
                  </pic:nvPicPr>
                  <pic:blipFill>
                    <a:blip r:embed="rId37"/>
                    <a:stretch>
                      <a:fillRect/>
                    </a:stretch>
                  </pic:blipFill>
                  <pic:spPr bwMode="auto">
                    <a:xfrm>
                      <a:off x="0" y="0"/>
                      <a:ext cx="4533900" cy="2109975"/>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w:t>
      </w:r>
      <w:r>
        <w:t xml:space="preserve"> </w:t>
      </w:r>
      <w:r>
        <w:rPr>
          <w:b/>
          <w:bCs/>
        </w:rPr>
        <w:t xml:space="preserve">0 % of stations</w:t>
      </w:r>
      <w:r>
        <w:t xml:space="preserve"> </w:t>
      </w:r>
      <w:r>
        <w:t xml:space="preserve">on the 120-station panel (and 24 % on the 40-station pilot), median ratio 0.87 — so we retract the flow-dependent thermal-memory claim.</w:t>
      </w:r>
    </w:p>
    <w:bookmarkEnd w:id="40"/>
    <w:bookmarkStart w:id="41"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p>
      <w:pPr>
        <w:pStyle w:val="BodyText"/>
      </w:pPr>
      <w:r>
        <w:t xml:space="preserve">Each ablation and the full model are all scored on the</w:t>
      </w:r>
      <w:r>
        <w:t xml:space="preserve"> </w:t>
      </w:r>
      <w:r>
        <w:rPr>
          <w:b/>
          <w:bCs/>
        </w:rPr>
        <w:t xml:space="preserve">matched 3-seed budget</w:t>
      </w:r>
      <w:r>
        <w:t xml:space="preserve"> </w:t>
      </w:r>
      <w:r>
        <w:t xml:space="preserve">(seeds {0,1,2}); the paired test is a per-station Wilcoxon signed-rank at h=3: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t xml:space="preserve">ThermoRoute (full)</w:t>
            </w:r>
          </w:p>
        </w:tc>
        <w:tc>
          <w:tcPr/>
          <w:p>
            <w:pPr>
              <w:pStyle w:val="Compact"/>
            </w:pPr>
            <w:r>
              <w:t xml:space="preserve">0.630</w:t>
            </w:r>
          </w:p>
        </w:tc>
        <w:tc>
          <w:tcPr/>
          <w:p>
            <w:pPr>
              <w:pStyle w:val="Compact"/>
            </w:pPr>
            <w:r>
              <w:t xml:space="preserve">1.289</w:t>
            </w:r>
          </w:p>
        </w:tc>
        <w:tc>
          <w:tcPr/>
          <w:p>
            <w:pPr>
              <w:pStyle w:val="Compact"/>
            </w:pPr>
            <w:r>
              <w:t xml:space="preserve">1.656</w:t>
            </w:r>
          </w:p>
        </w:tc>
        <w:tc>
          <w:tcPr/>
          <w:p>
            <w:pPr>
              <w:pStyle w:val="Compact"/>
            </w:pPr>
            <w:r>
              <w:t xml:space="preserve">—</w:t>
            </w:r>
          </w:p>
        </w:tc>
      </w:tr>
      <w:tr>
        <w:tc>
          <w:tcPr/>
          <w:p>
            <w:pPr>
              <w:pStyle w:val="Compact"/>
            </w:pPr>
            <w:r>
              <w:t xml:space="preserve">TR-noPrior</w:t>
            </w:r>
          </w:p>
        </w:tc>
        <w:tc>
          <w:tcPr/>
          <w:p>
            <w:pPr>
              <w:pStyle w:val="Compact"/>
            </w:pPr>
            <w:r>
              <w:t xml:space="preserve">1.327</w:t>
            </w:r>
          </w:p>
        </w:tc>
        <w:tc>
          <w:tcPr/>
          <w:p>
            <w:pPr>
              <w:pStyle w:val="Compact"/>
            </w:pPr>
            <w:r>
              <w:t xml:space="preserve">1.528</w:t>
            </w:r>
          </w:p>
        </w:tc>
        <w:tc>
          <w:tcPr/>
          <w:p>
            <w:pPr>
              <w:pStyle w:val="Compact"/>
            </w:pPr>
            <w:r>
              <w:t xml:space="preserve">1.699</w:t>
            </w:r>
          </w:p>
        </w:tc>
        <w:tc>
          <w:tcPr/>
          <w:p>
            <w:pPr>
              <w:pStyle w:val="Compact"/>
            </w:pPr>
            <w:r>
              <w:t xml:space="preserve">2.2×10⁻²⁰ *</w:t>
            </w:r>
          </w:p>
        </w:tc>
      </w:tr>
      <w:tr>
        <w:tc>
          <w:tcPr/>
          <w:p>
            <w:pPr>
              <w:pStyle w:val="Compact"/>
            </w:pPr>
            <w:r>
              <w:t xml:space="preserve">TR-noMoE</w:t>
            </w:r>
          </w:p>
        </w:tc>
        <w:tc>
          <w:tcPr/>
          <w:p>
            <w:pPr>
              <w:pStyle w:val="Compact"/>
            </w:pPr>
            <w:r>
              <w:t xml:space="preserve">0.733</w:t>
            </w:r>
          </w:p>
        </w:tc>
        <w:tc>
          <w:tcPr/>
          <w:p>
            <w:pPr>
              <w:pStyle w:val="Compact"/>
            </w:pPr>
            <w:r>
              <w:t xml:space="preserve">1.343</w:t>
            </w:r>
          </w:p>
        </w:tc>
        <w:tc>
          <w:tcPr/>
          <w:p>
            <w:pPr>
              <w:pStyle w:val="Compact"/>
            </w:pPr>
            <w:r>
              <w:t xml:space="preserve">1.699</w:t>
            </w:r>
          </w:p>
        </w:tc>
        <w:tc>
          <w:tcPr/>
          <w:p>
            <w:pPr>
              <w:pStyle w:val="Compact"/>
            </w:pPr>
            <w:r>
              <w:t xml:space="preserve">9.5×10⁻¹⁸ *</w:t>
            </w:r>
          </w:p>
        </w:tc>
      </w:tr>
      <w:tr>
        <w:tc>
          <w:tcPr/>
          <w:p>
            <w:pPr>
              <w:pStyle w:val="Compact"/>
            </w:pPr>
            <w:r>
              <w:t xml:space="preserve">TR-noRouter</w:t>
            </w:r>
          </w:p>
        </w:tc>
        <w:tc>
          <w:tcPr/>
          <w:p>
            <w:pPr>
              <w:pStyle w:val="Compact"/>
            </w:pPr>
            <w:r>
              <w:t xml:space="preserve">0.639</w:t>
            </w:r>
          </w:p>
        </w:tc>
        <w:tc>
          <w:tcPr/>
          <w:p>
            <w:pPr>
              <w:pStyle w:val="Compact"/>
            </w:pPr>
            <w:r>
              <w:t xml:space="preserve">1.302</w:t>
            </w:r>
          </w:p>
        </w:tc>
        <w:tc>
          <w:tcPr/>
          <w:p>
            <w:pPr>
              <w:pStyle w:val="Compact"/>
            </w:pPr>
            <w:r>
              <w:t xml:space="preserve">1.662</w:t>
            </w:r>
          </w:p>
        </w:tc>
        <w:tc>
          <w:tcPr/>
          <w:p>
            <w:pPr>
              <w:pStyle w:val="Compact"/>
            </w:pPr>
            <w:r>
              <w:t xml:space="preserve">1.3×10⁻⁶ *</w:t>
            </w:r>
          </w:p>
        </w:tc>
      </w:tr>
      <w:tr>
        <w:tc>
          <w:tcPr/>
          <w:p>
            <w:pPr>
              <w:pStyle w:val="Compact"/>
            </w:pPr>
            <w:r>
              <w:t xml:space="preserve">TR-fixedKappa</w:t>
            </w:r>
          </w:p>
        </w:tc>
        <w:tc>
          <w:tcPr/>
          <w:p>
            <w:pPr>
              <w:pStyle w:val="Compact"/>
            </w:pPr>
            <w:r>
              <w:t xml:space="preserve">0.642</w:t>
            </w:r>
          </w:p>
        </w:tc>
        <w:tc>
          <w:tcPr/>
          <w:p>
            <w:pPr>
              <w:pStyle w:val="Compact"/>
            </w:pPr>
            <w:r>
              <w:t xml:space="preserve">1.294</w:t>
            </w:r>
          </w:p>
        </w:tc>
        <w:tc>
          <w:tcPr/>
          <w:p>
            <w:pPr>
              <w:pStyle w:val="Compact"/>
            </w:pPr>
            <w:r>
              <w:t xml:space="preserve">1.658</w:t>
            </w:r>
          </w:p>
        </w:tc>
        <w:tc>
          <w:tcPr/>
          <w:p>
            <w:pPr>
              <w:pStyle w:val="Compact"/>
            </w:pPr>
            <w:r>
              <w:t xml:space="preserve">0.23 (n.s.)</w:t>
            </w:r>
          </w:p>
        </w:tc>
      </w:tr>
    </w:tbl>
    <w:p>
      <w:pPr>
        <w:pStyle w:val="BodyText"/>
      </w:pPr>
      <w:r>
        <w:t xml:space="preserve">Removing the physics prior is catastrophic — RMSE more than doubles at 1 day</w:t>
      </w:r>
      <w:r>
        <w:t xml:space="preserve"> </w:t>
      </w:r>
      <w:r>
        <w:t xml:space="preserve">(0.630 → 1.327) and the per-station difference is significant at p ≈ 2×10⁻²⁰ —</w:t>
      </w:r>
      <w:r>
        <w:t xml:space="preserve"> </w:t>
      </w:r>
      <w:r>
        <w:t xml:space="preserve">confirming that the prior carries the forecast. Removing the mixture-of-experts</w:t>
      </w:r>
      <w:r>
        <w:t xml:space="preserve"> </w:t>
      </w:r>
      <w:r>
        <w:t xml:space="preserve">(+0.103 / +0.054 / +0.043 at 1 / 3 / 7 d, p ≈ 1×10⁻¹⁷) and the router</w:t>
      </w:r>
      <w:r>
        <w:t xml:space="preserve"> </w:t>
      </w:r>
      <w:r>
        <w:t xml:space="preserve">(+0.009 / +0.013 / +0.006, p ≈ 1×10⁻⁶) both hurt significantly. Freezing the</w:t>
      </w:r>
      <w:r>
        <w:t xml:space="preserve"> </w:t>
      </w:r>
      <w:r>
        <w:t xml:space="preserve">dynamic-κ modulators (TR-fixedKappa) leaves accuracy</w:t>
      </w:r>
      <w:r>
        <w:t xml:space="preserve"> </w:t>
      </w:r>
      <w:r>
        <w:rPr>
          <w:b/>
          <w:bCs/>
        </w:rPr>
        <w:t xml:space="preserve">statistically unchanged</w:t>
      </w:r>
      <w:r>
        <w:t xml:space="preserve"> </w:t>
      </w:r>
      <w:r>
        <w:t xml:space="preserve">(+0.012 / +0.005 / +0.002, paired p = 0.23, not significant): once the seed</w:t>
      </w:r>
      <w:r>
        <w:t xml:space="preserve"> </w:t>
      </w:r>
      <w:r>
        <w:t xml:space="preserve">budget is matched, the dynamic modulation is neither helpful nor harmful. The</w:t>
      </w:r>
      <w:r>
        <w:t xml:space="preserve"> </w:t>
      </w:r>
      <w:r>
        <w:t xml:space="preserve">honest reading is that the prior, experts and router contribute real accuracy</w:t>
      </w:r>
      <w:r>
        <w:t xml:space="preserve"> </w:t>
      </w:r>
      <w:r>
        <w:t xml:space="preserve">while the dynamic-κ modulation is interpretive overhead we do not claim as an</w:t>
      </w:r>
      <w:r>
        <w:t xml:space="preserve"> </w:t>
      </w:r>
      <w:r>
        <w:t xml:space="preserve">accuracy lever — retained only because freezing it does not improve accuracy</w:t>
      </w:r>
      <w:r>
        <w:t xml:space="preserve"> </w:t>
      </w:r>
      <w:r>
        <w:t xml:space="preserve">either (consistent with the §4.5 mechanism retraction). Unlike the 40-station</w:t>
      </w:r>
      <w:r>
        <w:t xml:space="preserve"> </w:t>
      </w:r>
      <w:r>
        <w:t xml:space="preserve">pilot — where fixed-κ was marginally</w:t>
      </w:r>
      <w:r>
        <w:t xml:space="preserve"> </w:t>
      </w:r>
      <w:r>
        <w:rPr>
          <w:i/>
          <w:iCs/>
        </w:rPr>
        <w:t xml:space="preserve">better</w:t>
      </w:r>
      <w:r>
        <w:t xml:space="preserve"> </w:t>
      </w:r>
      <w:r>
        <w:t xml:space="preserve">at 7 days — the sign is now (if</w:t>
      </w:r>
      <w:r>
        <w:t xml:space="preserve"> </w:t>
      </w:r>
      <w:r>
        <w:t xml:space="preserve">negligibly) in favour of the dynamic version, which we read as within-noise.</w:t>
      </w:r>
    </w:p>
    <w:bookmarkEnd w:id="41"/>
    <w:bookmarkEnd w:id="42"/>
    <w:bookmarkStart w:id="43"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w:t>
      </w:r>
      <w:r>
        <w:t xml:space="preserve"> </w:t>
      </w:r>
      <w:r>
        <w:rPr>
          <w:i/>
          <w:iCs/>
        </w:rPr>
        <w:t xml:space="preserve">physics</w:t>
      </w:r>
      <w:r>
        <w:t xml:space="preserve"> </w:t>
      </w:r>
      <w:r>
        <w:t xml:space="preserve">baselines, transfers to unseen basins,</w:t>
      </w:r>
      <w:r>
        <w:t xml:space="preserve"> </w:t>
      </w:r>
      <w:r>
        <w:t xml:space="preserve">and delivers near-nominally-calibrated warnings — while being</w:t>
      </w:r>
      <w:r>
        <w:t xml:space="preserve"> </w:t>
      </w:r>
      <w:r>
        <w:rPr>
          <w:b/>
          <w:bCs/>
        </w:rPr>
        <w:t xml:space="preserve">on par with, not</w:t>
      </w:r>
      <w:r>
        <w:rPr>
          <w:b/>
          <w:bCs/>
        </w:rPr>
        <w:t xml:space="preserve"> </w:t>
      </w:r>
      <w:r>
        <w:rPr>
          <w:b/>
          <w:bCs/>
        </w:rPr>
        <w:t xml:space="preserve">superior to, a strong gradient-boosting learner</w:t>
      </w:r>
      <w:r>
        <w:t xml:space="preserve">.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w:t>
      </w:r>
      <w:r>
        <w:t xml:space="preserve"> </w:t>
      </w:r>
      <w:r>
        <w:rPr>
          <w:b/>
          <w:bCs/>
        </w:rPr>
        <w:t xml:space="preserve">at least as</w:t>
      </w:r>
      <w:r>
        <w:rPr>
          <w:b/>
          <w:bCs/>
        </w:rPr>
        <w:t xml:space="preserve"> </w:t>
      </w:r>
      <w:r>
        <w:rPr>
          <w:b/>
          <w:bCs/>
        </w:rPr>
        <w:t xml:space="preserve">accurate as ThermoRoute</w:t>
      </w:r>
      <w:r>
        <w:t xml:space="preserve">: significantly better at 1 day and statistically</w:t>
      </w:r>
      <w:r>
        <w:t xml:space="preserve"> </w:t>
      </w:r>
      <w:r>
        <w:t xml:space="preserve">indistinguishable at 3–7 days once the seed budget is matched (per-seed protocol,</w:t>
      </w:r>
      <w:r>
        <w:t xml:space="preserve"> </w:t>
      </w:r>
      <w:r>
        <w:t xml:space="preserve">§4.2). We therefore claim a robust improvement over the</w:t>
      </w:r>
      <w:r>
        <w:t xml:space="preserve"> </w:t>
      </w:r>
      <w:r>
        <w:rPr>
          <w:i/>
          <w:iCs/>
        </w:rPr>
        <w:t xml:space="preserve">physics</w:t>
      </w:r>
      <w:r>
        <w:t xml:space="preserve"> </w:t>
      </w:r>
      <w:r>
        <w:t xml:space="preserve">baselines and</w:t>
      </w:r>
      <w:r>
        <w:t xml:space="preserve"> </w:t>
      </w:r>
      <w:r>
        <w:t xml:space="preserve">calibrated, transferable uncertainty — not a new state of the art over all</w:t>
      </w:r>
      <w:r>
        <w:t xml:space="preserve"> </w:t>
      </w:r>
      <w:r>
        <w:t xml:space="preserve">learners. We report five seeds. The dynamic-κ thermal-memory modulation does</w:t>
      </w:r>
      <w:r>
        <w:t xml:space="preserve"> </w:t>
      </w:r>
      <w:r>
        <w:rPr>
          <w:b/>
          <w:bCs/>
        </w:rPr>
        <w:t xml:space="preserve">not</w:t>
      </w:r>
      <w:r>
        <w:t xml:space="preserve"> </w:t>
      </w:r>
      <w:r>
        <w:t xml:space="preserve">generalise: the flow-dependence seen on three stations vanishes on the</w:t>
      </w:r>
      <w:r>
        <w:t xml:space="preserve"> </w:t>
      </w:r>
      <w:r>
        <w:t xml:space="preserve">large sample (κ rises with flow at 0 % of stations), and freezing κ’s modulators</w:t>
      </w:r>
      <w:r>
        <w:t xml:space="preserve"> </w:t>
      </w:r>
      <w:r>
        <w:t xml:space="preserve">does not worsen RMSE, so we retract the mechanism claim and keep only the</w:t>
      </w:r>
      <w:r>
        <w:t xml:space="preserve"> </w:t>
      </w:r>
      <w:r>
        <w:t xml:space="preserve">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(1.343–1.348)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43"/>
    <w:bookmarkStart w:id="44"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is at least as accurate across leads — better at 1 day and statistically</w:t>
      </w:r>
      <w:r>
        <w:t xml:space="preserve"> </w:t>
      </w:r>
      <w:r>
        <w:t xml:space="preserve">on par at 3–7 days — so the claim is calibrated, transferable skill over the</w:t>
      </w:r>
      <w:r>
        <w:t xml:space="preserve"> </w:t>
      </w:r>
      <w:r>
        <w:t xml:space="preserve">physics baselines, not a new state of the art over all learners.</w:t>
      </w:r>
    </w:p>
    <w:bookmarkEnd w:id="44"/>
    <w:bookmarkStart w:id="45"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45"/>
    <w:bookmarkStart w:id="46"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14</w:t>
      </w:r>
      <w:r>
        <w:t xml:space="preserve">);</w:t>
      </w:r>
      <w:r>
        <w:t xml:space="preserve"> </w:t>
      </w:r>
      <w:r>
        <w:rPr>
          <w:rStyle w:val="VerbatimChar"/>
        </w:rPr>
        <w:t xml:space="preserve">scripts/14_manifest.py</w:t>
      </w:r>
      <w:r>
        <w:t xml:space="preserve"> </w:t>
      </w:r>
      <w:r>
        <w:t xml:space="preserve">writes a 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p>
      <w:pPr>
        <w:pStyle w:val="BodyText"/>
      </w:pPr>
      <w:r>
        <w:rPr>
          <w:b/>
          <w:bCs/>
        </w:rPr>
        <w:t xml:space="preserve">Archived release.</w:t>
      </w:r>
      <w:r>
        <w:t xml:space="preserve"> </w:t>
      </w:r>
      <w:r>
        <w:t xml:space="preserve">For a persistent, citable record the code, configuration, the</w:t>
      </w:r>
      <w:r>
        <w:t xml:space="preserve"> </w:t>
      </w:r>
      <w:r>
        <w:t xml:space="preserve">input station panels, and all derived tables/reports/figures are archived at Zenodo</w:t>
      </w:r>
      <w:r>
        <w:t xml:space="preserve"> </w:t>
      </w:r>
      <w:r>
        <w:t xml:space="preserve">(https://doi.org/REPLACE_WITH_ZENODO_DOI, v1.0.0, MIT license), built with</w:t>
      </w:r>
      <w:r>
        <w:t xml:space="preserve"> </w:t>
      </w:r>
      <w:r>
        <w:rPr>
          <w:rStyle w:val="VerbatimChar"/>
        </w:rPr>
        <w:t xml:space="preserve">scripts/make_release_archive.sh</w:t>
      </w:r>
      <w:r>
        <w:t xml:space="preserve"> </w:t>
      </w:r>
      <w:r>
        <w:t xml:space="preserve">and carrying the sha256 manifest; the</w:t>
      </w:r>
      <w:r>
        <w:t xml:space="preserve"> </w:t>
      </w:r>
      <w:r>
        <w:t xml:space="preserve">multi-hundred-MB predictions and model checkpoints are excluded but regenerable from</w:t>
      </w:r>
      <w:r>
        <w:t xml:space="preserve"> </w:t>
      </w:r>
      <w:r>
        <w:t xml:space="preserve">the archive via</w:t>
      </w:r>
      <w:r>
        <w:t xml:space="preserve"> </w:t>
      </w:r>
      <w:r>
        <w:rPr>
          <w:rStyle w:val="VerbatimChar"/>
        </w:rPr>
        <w:t xml:space="preserve">scripts/run_all.sh</w:t>
      </w:r>
      <w:r>
        <w:t xml:space="preserve">. The raw observations are redistributed in</w:t>
      </w:r>
      <w:r>
        <w:t xml:space="preserve"> </w:t>
      </w:r>
      <w:r>
        <w:t xml:space="preserve">derived form only and are independently available from USGS NWIS, Daymet (ORNL DAAC,</w:t>
      </w:r>
      <w:r>
        <w:t xml:space="preserve"> </w:t>
      </w:r>
      <w:r>
        <w:t xml:space="preserve">https://doi.org/10.3334/ORNLDAAC/2129) and gridMET; USGS site numbers for all 120</w:t>
      </w:r>
      <w:r>
        <w:t xml:space="preserve"> </w:t>
      </w:r>
      <w:r>
        <w:t xml:space="preserve">gages are in the archive. (</w:t>
      </w:r>
      <w:r>
        <w:rPr>
          <w:rStyle w:val="VerbatimChar"/>
        </w:rPr>
        <w:t xml:space="preserve">outputs/reports/data_availability.md</w:t>
      </w:r>
      <w:r>
        <w:t xml:space="preserve"> </w:t>
      </w:r>
      <w:r>
        <w:t xml:space="preserve">holds the</w:t>
      </w:r>
      <w:r>
        <w:t xml:space="preserve"> </w:t>
      </w:r>
      <w:r>
        <w:t xml:space="preserve">submission-ready Open Research statement; the DOI is minted at camera-ready.)</w:t>
      </w:r>
    </w:p>
    <w:bookmarkEnd w:id="46"/>
    <w:bookmarkStart w:id="51"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7"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Willard, J. D., Ciulla, F., Weierbach, H., Xu, Z., Hendrix, V. C., Varadharajan, C., 2024. Evaluating deep learning approaches for predictions in unmonitored basins with continental-scale stream temperature models. arXiv:2410.19865. https://doi.org/10.48550/arXiv.2410.19865. [F13]</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7"/>
    <w:bookmarkStart w:id="48"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p>
      <w:pPr>
        <w:pStyle w:val="BodyText"/>
      </w:pPr>
      <w:r>
        <w:t xml:space="preserve">Modi, P. A., Small, E. E., Kasprzyk, J., Livneh, B., 2025. Understanding the relationship between streamflow forecast skill and value across the western United States. Hydrology and Earth System Sciences 29, 5593–5613. https://doi.org/10.5194/hess-29-5593-2025. [G4]</w:t>
      </w:r>
    </w:p>
    <w:bookmarkEnd w:id="48"/>
    <w:bookmarkStart w:id="49"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Grinsztajn, L., Oyallon, E., Varoquaux, G., 2022. Why do tree-based models still outperform deep learning on typical tabular data?, in: Advances in Neural Information Processing Systems 35 (NeurIPS 2022) Datasets and Benchmarks Track. https://doi.org/10.48550/arXiv.2207.08815.</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49"/>
    <w:bookmarkStart w:id="50"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2026-07-04T23:32:49Z</dcterms:created>
  <dcterms:modified xsi:type="dcterms:W3CDTF">2026-07-04T23:32:49Z</dcterms:modified>
</cp:coreProperties>
</file>

<file path=docProps/custom.xml><?xml version="1.0" encoding="utf-8"?>
<Properties xmlns="http://schemas.openxmlformats.org/officeDocument/2006/custom-properties" xmlns:vt="http://schemas.openxmlformats.org/officeDocument/2006/docPropsVTypes"/>
</file>