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Cover letter</w:t>
      </w:r>
    </w:p>
    <w:p>
      <w:pPr>
        <w:pStyle w:val="BodyText"/>
      </w:pPr>
      <w:r>
        <w:t xml:space="preserve">[Author One]</w:t>
      </w:r>
      <w:r>
        <w:t xml:space="preserve"> </w:t>
      </w:r>
      <w:r>
        <w:t xml:space="preserve">[Department / Laboratory]</w:t>
      </w:r>
      <w:r>
        <w:t xml:space="preserve"> </w:t>
      </w:r>
      <w:r>
        <w:t xml:space="preserve">[Institution, City, Postcode, Country]</w:t>
      </w:r>
      <w:r>
        <w:t xml:space="preserve"> </w:t>
      </w:r>
      <w:r>
        <w:t xml:space="preserve">E-mail: [corresponding.author@institution.edu]</w:t>
      </w:r>
    </w:p>
    <w:p>
      <w:pPr>
        <w:pStyle w:val="BodyText"/>
      </w:pPr>
      <w:r>
        <w:t xml:space="preserve">[Date]</w:t>
      </w:r>
    </w:p>
    <w:p>
      <w:pPr>
        <w:pStyle w:val="BodyText"/>
      </w:pPr>
      <w:r>
        <w:t xml:space="preserve">To the Editor-in-Chief</w:t>
      </w:r>
      <w:r>
        <w:t xml:space="preserve"> </w:t>
      </w:r>
      <w:r>
        <w:rPr>
          <w:i/>
          <w:iCs/>
        </w:rPr>
        <w:t xml:space="preserve">Journal of Hydrology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submit our manuscript,</w:t>
      </w:r>
      <w:r>
        <w:t xml:space="preserve"> </w:t>
      </w:r>
      <w:r>
        <w:rPr>
          <w:b/>
          <w:bCs/>
        </w:rPr>
        <w:t xml:space="preserve">“ThermoRoute: a dynamic thermal-memory prior with</w:t>
      </w:r>
      <w:r>
        <w:rPr>
          <w:b/>
          <w:bCs/>
        </w:rPr>
        <w:t xml:space="preserve"> </w:t>
      </w:r>
      <w:r>
        <w:rPr>
          <w:b/>
          <w:bCs/>
        </w:rPr>
        <w:t xml:space="preserve">calibrated, transferable multi-station river water-temperature forecasting,”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as a research article in</w:t>
      </w:r>
      <w:r>
        <w:t xml:space="preserve"> </w:t>
      </w:r>
      <w:r>
        <w:rPr>
          <w:i/>
          <w:iCs/>
        </w:rPr>
        <w:t xml:space="preserve">Journal of Hydrology</w:t>
      </w:r>
      <w:r>
        <w:t xml:space="preserve">.</w:t>
      </w:r>
    </w:p>
    <w:p>
      <w:pPr>
        <w:pStyle w:val="BodyText"/>
      </w:pPr>
      <w:r>
        <w:t xml:space="preserve">Daily river water temperature is a master variable for aquatic ecology and the</w:t>
      </w:r>
      <w:r>
        <w:t xml:space="preserve"> </w:t>
      </w:r>
      <w:r>
        <w:t xml:space="preserve">operation of regulated rivers, yet two problems recur in the machine-learning</w:t>
      </w:r>
      <w:r>
        <w:t xml:space="preserve"> </w:t>
      </w:r>
      <w:r>
        <w:t xml:space="preserve">literature on the subject: persistence is an extraordinarily strong baseline that is</w:t>
      </w:r>
      <w:r>
        <w:t xml:space="preserve"> </w:t>
      </w:r>
      <w:r>
        <w:t xml:space="preserve">often not properly benchmarked against, and reported skill frequently depends on</w:t>
      </w:r>
      <w:r>
        <w:t xml:space="preserve"> </w:t>
      </w:r>
      <w:r>
        <w:t xml:space="preserve">covariates that would not be available when a forecast is actually issued. Our work</w:t>
      </w:r>
      <w:r>
        <w:t xml:space="preserve"> </w:t>
      </w:r>
      <w:r>
        <w:t xml:space="preserve">confronts both directly and, we believe, sets a more honest standard for the</w:t>
      </w:r>
      <w:r>
        <w:t xml:space="preserve"> </w:t>
      </w:r>
      <w:r>
        <w:t xml:space="preserve">problem.</w:t>
      </w:r>
    </w:p>
    <w:p>
      <w:pPr>
        <w:pStyle w:val="BodyText"/>
      </w:pPr>
      <w:r>
        <w:t xml:space="preserve">We make four contributions, each established with statistical rigour on a</w:t>
      </w:r>
      <w:r>
        <w:t xml:space="preserve"> </w:t>
      </w:r>
      <w:r>
        <w:t xml:space="preserve">40-station, public-domain large sample (USGS gages with Daymet and gridMET forcing),</w:t>
      </w:r>
      <w:r>
        <w:t xml:space="preserve"> </w:t>
      </w:r>
      <w:r>
        <w:t xml:space="preserve">under a strict historical-information protocol with a one-shot 2019–2020 blind test: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physics prior that contains the strong baseline.</w:t>
      </w:r>
      <w:r>
        <w:t xml:space="preserve"> </w:t>
      </w:r>
      <w:r>
        <w:t xml:space="preserve">ThermoRoute’s dynamic</w:t>
      </w:r>
      <w:r>
        <w:t xml:space="preserve"> </w:t>
      </w:r>
      <w:r>
        <w:t xml:space="preserve">thermal-relaxation prior reduces exactly to damped persistence toward climatology,</w:t>
      </w:r>
      <w:r>
        <w:t xml:space="preserve"> </w:t>
      </w:r>
      <w:r>
        <w:t xml:space="preserve">so any gain is attributable to the learned component. On the large sample it</w:t>
      </w:r>
      <w:r>
        <w:t xml:space="preserve"> </w:t>
      </w:r>
      <w:r>
        <w:t xml:space="preserve">significantly beats persistence and damped persistence at all lead times</w:t>
      </w:r>
      <w:r>
        <w:t xml:space="preserve"> </w:t>
      </w:r>
      <w:r>
        <w:t xml:space="preserve">(per-station Wilcoxon p ≤ 10⁻⁶) and is at least on par with a strong</w:t>
      </w:r>
      <w:r>
        <w:t xml:space="preserve"> </w:t>
      </w:r>
      <w:r>
        <w:t xml:space="preserve">gradient-boosting baseline.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transfer.</w:t>
      </w:r>
      <w:r>
        <w:t xml:space="preserve"> </w:t>
      </w:r>
      <w:r>
        <w:t xml:space="preserve">In 4-fold leave-group-out — every station held out once —</w:t>
      </w:r>
      <w:r>
        <w:t xml:space="preserve"> </w:t>
      </w:r>
      <w:r>
        <w:t xml:space="preserve">the model transfers to unseen basins (skill +0.13 / +0.14 / +0.23 over</w:t>
      </w:r>
      <w:r>
        <w:t xml:space="preserve"> </w:t>
      </w:r>
      <w:r>
        <w:t xml:space="preserve">persistence at 1 / 3 / 7 days), a claim a single-site study cannot make.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Calibrated uncertainty.</w:t>
      </w:r>
      <w:r>
        <w:t xml:space="preserve"> </w:t>
      </w:r>
      <w:r>
        <w:t xml:space="preserve">Conformalised intervals are near-nominal across the</w:t>
      </w:r>
      <w:r>
        <w:t xml:space="preserve"> </w:t>
      </w:r>
      <w:r>
        <w:t xml:space="preserve">population (PICP ≈ 0.90; 89–97 % of stations within ±0.05 of target).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Component attribution.</w:t>
      </w:r>
      <w:r>
        <w:t xml:space="preserve"> </w:t>
      </w:r>
      <w:r>
        <w:t xml:space="preserve">Seeded ablations with paired tests show which model</w:t>
      </w:r>
      <w:r>
        <w:t xml:space="preserve"> </w:t>
      </w:r>
      <w:r>
        <w:t xml:space="preserve">parts earn their place.</w:t>
      </w:r>
    </w:p>
    <w:p>
      <w:pPr>
        <w:pStyle w:val="FirstParagraph"/>
      </w:pPr>
      <w:r>
        <w:t xml:space="preserve">We deliberately also report</w:t>
      </w:r>
      <w:r>
        <w:t xml:space="preserve"> </w:t>
      </w:r>
      <w:r>
        <w:rPr>
          <w:b/>
          <w:bCs/>
        </w:rPr>
        <w:t xml:space="preserve">three negative results</w:t>
      </w:r>
      <w:r>
        <w:t xml:space="preserve">: no point-accuracy gain on a</w:t>
      </w:r>
      <w:r>
        <w:t xml:space="preserve"> </w:t>
      </w:r>
      <w:r>
        <w:t xml:space="preserve">near-deterministic reservoir cascade, a flow-dependent thermal memory that does not</w:t>
      </w:r>
      <w:r>
        <w:t xml:space="preserve"> </w:t>
      </w:r>
      <w:r>
        <w:t xml:space="preserve">generalise beyond it, and no robust cost–loss decision-value advantage over a strong</w:t>
      </w:r>
      <w:r>
        <w:t xml:space="preserve"> </w:t>
      </w:r>
      <w:r>
        <w:t xml:space="preserve">deterministic persistence warning. We believe this honesty — and the demonstration</w:t>
      </w:r>
      <w:r>
        <w:t xml:space="preserve"> </w:t>
      </w:r>
      <w:r>
        <w:t xml:space="preserve">that a method’s advantage must be established on a large, diverse sample rather than</w:t>
      </w:r>
      <w:r>
        <w:t xml:space="preserve"> </w:t>
      </w:r>
      <w:r>
        <w:t xml:space="preserve">a single site — is itself a useful corrective for the field, and a natural fit for</w:t>
      </w:r>
      <w:r>
        <w:t xml:space="preserve"> </w:t>
      </w:r>
      <w:r>
        <w:t xml:space="preserve">the methodological standards of</w:t>
      </w:r>
      <w:r>
        <w:t xml:space="preserve"> </w:t>
      </w:r>
      <w:r>
        <w:rPr>
          <w:i/>
          <w:iCs/>
        </w:rPr>
        <w:t xml:space="preserve">Journal of Hydrology</w:t>
      </w:r>
      <w:r>
        <w:t xml:space="preserve">.</w:t>
      </w:r>
    </w:p>
    <w:p>
      <w:pPr>
        <w:pStyle w:val="BodyText"/>
      </w:pPr>
      <w:r>
        <w:t xml:space="preserve">All code, the fixed evaluation protocol, the assembled datasets, unit tests, and a</w:t>
      </w:r>
      <w:r>
        <w:t xml:space="preserve"> </w:t>
      </w:r>
      <w:r>
        <w:t xml:space="preserve">one-command reproduction are provided; every headline claim was checked by an</w:t>
      </w:r>
      <w:r>
        <w:t xml:space="preserve"> </w:t>
      </w:r>
      <w:r>
        <w:t xml:space="preserve">adversarial internal review against the result tables, with a finding-by-finding</w:t>
      </w:r>
      <w:r>
        <w:t xml:space="preserve"> </w:t>
      </w:r>
      <w:r>
        <w:t xml:space="preserve">disposition included.</w:t>
      </w:r>
    </w:p>
    <w:p>
      <w:pPr>
        <w:pStyle w:val="BodyText"/>
      </w:pPr>
      <w:r>
        <w:t xml:space="preserve">We confirm that this manuscript is original, has not been published previously, and</w:t>
      </w:r>
      <w:r>
        <w:t xml:space="preserve"> </w:t>
      </w:r>
      <w:r>
        <w:t xml:space="preserve">is not under consideration elsewhere. All authors have approved the submission and</w:t>
      </w:r>
      <w:r>
        <w:t xml:space="preserve"> </w:t>
      </w:r>
      <w:r>
        <w:t xml:space="preserve">declare no competing interests. The data are public-domain/open-licensed and the</w:t>
      </w:r>
      <w:r>
        <w:t xml:space="preserve"> </w:t>
      </w:r>
      <w:r>
        <w:t xml:space="preserve">code is available for review.</w:t>
      </w:r>
    </w:p>
    <w:p>
      <w:pPr>
        <w:pStyle w:val="BodyText"/>
      </w:pPr>
      <w:r>
        <w:t xml:space="preserve">Thank you for considering our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[Author One]</w:t>
      </w:r>
      <w:r>
        <w:t xml:space="preserve"> </w:t>
      </w:r>
      <w:r>
        <w:t xml:space="preserve">on behalf of all authors</w:t>
      </w:r>
    </w:p>
    <w:p>
      <w:pPr>
        <w:pStyle w:val="BlockText"/>
      </w:pPr>
      <w:r>
        <w:rPr>
          <w:b/>
          <w:bCs/>
        </w:rPr>
        <w:t xml:space="preserve">Author block is a template</w:t>
      </w:r>
      <w:r>
        <w:t xml:space="preserve"> </w:t>
      </w:r>
      <w:r>
        <w:t xml:space="preserve">— replace the bracketed fields with the real</w:t>
      </w:r>
      <w:r>
        <w:t xml:space="preserve"> </w:t>
      </w:r>
      <w:r>
        <w:t xml:space="preserve">author name, affiliation, e-mail and date before submission.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2026-06-28T09:20:21Z</dcterms:created>
  <dcterms:modified xsi:type="dcterms:W3CDTF">2026-06-28T09:20:21Z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