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bc3e137584cc9a32fb58fc0f4459c6a416f05c5"/>
    <w:p>
      <w:pPr>
        <w:pStyle w:val="Heading1"/>
      </w:pPr>
      <w:r>
        <w:t xml:space="preserve">ThermoRoute: a physics-biased, calibrated, transferable framework for multi-station river water-temperature forecasting under a large-sample protocol</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scripts/01</w:t>
      </w:r>
      <w:r>
        <w:t xml:space="preserve">–</w:t>
      </w:r>
      <w:r>
        <w:rPr>
          <w:rStyle w:val="VerbatimChar"/>
        </w:rPr>
        <w:t xml:space="preserve">08</w:t>
      </w:r>
      <w:r>
        <w:t xml:space="preserve">, the 120-station large-sample experiment by</w:t>
      </w:r>
      <w:r>
        <w:t xml:space="preserve"> </w:t>
      </w:r>
      <w:r>
        <w:rPr>
          <w:rStyle w:val="VerbatimChar"/>
        </w:rPr>
        <w:t xml:space="preserve">scripts/09</w:t>
      </w:r>
      <w:r>
        <w:t xml:space="preserve"> </w:t>
      </w:r>
      <w:r>
        <w:t xml:space="preserve">(5 seeds, panel</w:t>
      </w:r>
      <w:r>
        <w:t xml:space="preserve"> </w:t>
      </w:r>
      <w:r>
        <w:rPr>
          <w:rStyle w:val="VerbatimChar"/>
        </w:rPr>
        <w:t xml:space="preserve">data_usgs/panel_usgs_100.parquet</w:t>
      </w:r>
      <w:r>
        <w:t xml:space="preserve"> </w:t>
      </w:r>
      <w:r>
        <w:t xml:space="preserve">— the filename is</w:t>
      </w:r>
      <w:r>
        <w:t xml:space="preserve"> </w:t>
      </w:r>
      <w:r>
        <w:t xml:space="preserve">historical; the panel holds 120 stations), the calibration/decision/mechanism</w:t>
      </w:r>
      <w:r>
        <w:t xml:space="preserve"> </w:t>
      </w:r>
      <w:r>
        <w:t xml:space="preserve">analysis by</w:t>
      </w:r>
      <w:r>
        <w:t xml:space="preserve"> </w:t>
      </w:r>
      <w:r>
        <w:rPr>
          <w:rStyle w:val="VerbatimChar"/>
        </w:rPr>
        <w:t xml:space="preserve">scripts/10</w:t>
      </w:r>
      <w:r>
        <w:t xml:space="preserve">, statistical rigor by</w:t>
      </w:r>
      <w:r>
        <w:t xml:space="preserve"> </w:t>
      </w:r>
      <w:r>
        <w:rPr>
          <w:rStyle w:val="VerbatimChar"/>
        </w:rPr>
        <w:t xml:space="preserve">scripts/12</w:t>
      </w:r>
      <w:r>
        <w:t xml:space="preserve">–</w:t>
      </w:r>
      <w:r>
        <w:rPr>
          <w:rStyle w:val="VerbatimChar"/>
        </w:rPr>
        <w:t xml:space="preserve">13</w:t>
      </w:r>
      <w:r>
        <w:t xml:space="preserve">, and the</w:t>
      </w:r>
      <w:r>
        <w:t xml:space="preserve"> </w:t>
      </w:r>
      <w:r>
        <w:t xml:space="preserve">sha256 artifact manifest by</w:t>
      </w:r>
      <w:r>
        <w:t xml:space="preserve"> </w:t>
      </w:r>
      <w:r>
        <w:rPr>
          <w:rStyle w:val="VerbatimChar"/>
        </w:rPr>
        <w:t xml:space="preserve">scripts/14</w:t>
      </w:r>
      <w:r>
        <w:t xml:space="preserve">. Reports:</w:t>
      </w:r>
      <w:r>
        <w:t xml:space="preserve"> </w:t>
      </w:r>
      <w:r>
        <w:rPr>
          <w:rStyle w:val="VerbatimChar"/>
        </w:rPr>
        <w:t xml:space="preserve">outputs/reports/{usgs_experiment_v2,usgs_analysis,rigor}.md</w:t>
      </w:r>
      <w:r>
        <w:t xml:space="preserve">; tables</w:t>
      </w:r>
      <w:r>
        <w:t xml:space="preserve"> </w:t>
      </w:r>
      <w:r>
        <w:rPr>
          <w:rStyle w:val="VerbatimChar"/>
        </w:rPr>
        <w:t xml:space="preserve">outputs/tables/</w:t>
      </w:r>
      <w:r>
        <w:t xml:space="preserve">; figures</w:t>
      </w:r>
      <w:r>
        <w:t xml:space="preserve"> </w:t>
      </w:r>
      <w:r>
        <w:rPr>
          <w:rStyle w:val="VerbatimChar"/>
        </w:rPr>
        <w:t xml:space="preserve">outputs/figures/</w:t>
      </w:r>
      <w:r>
        <w:t xml:space="preserve">. Every headline number is</w:t>
      </w:r>
      <w:r>
        <w:t xml:space="preserve"> </w:t>
      </w:r>
      <w:r>
        <w:t xml:space="preserve">traceable to a hashed artifact in</w:t>
      </w:r>
      <w:r>
        <w:t xml:space="preserve"> </w:t>
      </w:r>
      <w:r>
        <w:rPr>
          <w:rStyle w:val="VerbatimChar"/>
        </w:rPr>
        <w:t xml:space="preserve">outputs/manifest.json</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Hindcast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a</w:t>
      </w:r>
      <w:r>
        <w:t xml:space="preserve"> </w:t>
      </w:r>
      <w:r>
        <w:t xml:space="preserve">physics-biased, calibrated, transferable framework that couples a learnable</w:t>
      </w:r>
      <w:r>
        <w:t xml:space="preserve"> </w:t>
      </w:r>
      <w:r>
        <w:t xml:space="preserve">relaxation prior — a flow- and season-modulated generalisation of damped</w:t>
      </w:r>
      <w:r>
        <w:t xml:space="preserve"> </w:t>
      </w:r>
      <w:r>
        <w:t xml:space="preserve">persistence toward climatology that contains the strong baseline as a special</w:t>
      </w:r>
      <w:r>
        <w:t xml:space="preserve"> </w:t>
      </w:r>
      <w:r>
        <w:t xml:space="preserve">case — with a horizon-conditioned sparse variable–lag router and a bounded</w:t>
      </w:r>
      <w:r>
        <w:t xml:space="preserve"> </w:t>
      </w:r>
      <w:r>
        <w:t xml:space="preserve">neural residual, and emits conformally-calibrated quantiles plus a high-</w:t>
      </w:r>
      <w:r>
        <w:t xml:space="preserve"> </w:t>
      </w:r>
      <w:r>
        <w:t xml:space="preserve">temperature exceedance probability. We evaluate under a strict</w:t>
      </w:r>
      <w:r>
        <w:t xml:space="preserve"> </w:t>
      </w:r>
      <w:r>
        <w:t xml:space="preserve">historical-information (Track-H) protocol — using only data available at issue</w:t>
      </w:r>
      <w:r>
        <w:t xml:space="preserve"> </w:t>
      </w:r>
      <w:r>
        <w:t xml:space="preserve">time, with gridded reanalysis forcings (Daymet, gridMET) standing in for true</w:t>
      </w:r>
      <w:r>
        <w:t xml:space="preserve"> </w:t>
      </w:r>
      <w:r>
        <w:t xml:space="preserve">archived weather forecasts — on two settings.</w:t>
      </w:r>
    </w:p>
    <w:p>
      <w:pPr>
        <w:numPr>
          <w:ilvl w:val="0"/>
          <w:numId w:val="1001"/>
        </w:numPr>
      </w:pPr>
      <w:r>
        <w:t xml:space="preserve">A</w:t>
      </w:r>
      <w:r>
        <w:t xml:space="preserve"> </w:t>
      </w:r>
      <w:r>
        <w:rPr>
          <w:b/>
          <w:bCs/>
        </w:rPr>
        <w:t xml:space="preserve">three-station regulated reservoir cascade</w:t>
      </w:r>
      <w:r>
        <w:t xml:space="preserve"> </w:t>
      </w:r>
      <w:r>
        <w:t xml:space="preserve">(15 years; the only case</w:t>
      </w:r>
      <w:r>
        <w:t xml:space="preserve"> </w:t>
      </w:r>
      <w:r>
        <w:t xml:space="preserve">study) where, because deep reservoir releases make water temperature near-</w:t>
      </w:r>
      <w:r>
        <w:t xml:space="preserve"> </w:t>
      </w:r>
      <w:r>
        <w:t xml:space="preserve">perfectly persistent, no learned model improves on per-station damped</w:t>
      </w:r>
      <w:r>
        <w:t xml:space="preserve"> </w:t>
      </w:r>
      <w:r>
        <w:t xml:space="preserve">persistence; the value there is confined to calibrated uncertainty and warnings.</w:t>
      </w:r>
    </w:p>
    <w:p>
      <w:pPr>
        <w:numPr>
          <w:ilvl w:val="0"/>
          <w:numId w:val="1001"/>
        </w:numPr>
      </w:pPr>
      <w:r>
        <w:t xml:space="preserve">A</w:t>
      </w:r>
      <w:r>
        <w:t xml:space="preserve"> </w:t>
      </w:r>
      <w:r>
        <w:rPr>
          <w:b/>
          <w:bCs/>
        </w:rPr>
        <w:t xml:space="preserve">120-station large-sample USGS panel</w:t>
      </w:r>
      <w:r>
        <w:t xml:space="preserve"> </w:t>
      </w:r>
      <w:r>
        <w:t xml:space="preserve">(free-flowing and regulated; 114</w:t>
      </w:r>
      <w:r>
        <w:t xml:space="preserve"> </w:t>
      </w:r>
      <w:r>
        <w:t xml:space="preserve">stations contribute the blind-test split, the headline-N) where forecast</w:t>
      </w:r>
      <w:r>
        <w:t xml:space="preserve"> </w:t>
      </w:r>
      <w:r>
        <w:t xml:space="preserve">headroom exists: ThermoRoute beats persistence and damped persistence at every</w:t>
      </w:r>
      <w:r>
        <w:t xml:space="preserve"> </w:t>
      </w:r>
      <w:r>
        <w:t xml:space="preserve">lead (per-station Wilcoxon, Holm-adjusted, p ≤ 3×10⁻¹⁶), with median skill vs</w:t>
      </w:r>
      <w:r>
        <w:t xml:space="preserve"> </w:t>
      </w:r>
      <w:r>
        <w:t xml:space="preserve">damped +0.16 / +0.07 / +0.03 at 1 / 3 / 7 days and better than damped at</w:t>
      </w:r>
      <w:r>
        <w:t xml:space="preserve"> </w:t>
      </w:r>
      <w:r>
        <w:rPr>
          <w:b/>
          <w:bCs/>
        </w:rPr>
        <w:t xml:space="preserve">85 / 89 / 89 %</w:t>
      </w:r>
      <w:r>
        <w:t xml:space="preserve"> </w:t>
      </w:r>
      <w:r>
        <w:t xml:space="preserve">of the n=114 blind-test stations (Wilson 95 % CIs all exclude</w:t>
      </w:r>
      <w:r>
        <w:t xml:space="preserve"> </w:t>
      </w:r>
      <w:r>
        <w:t xml:space="preserve">50 %; robust to a HUC2 cluster bootstrap), and beats an air2stream-style</w:t>
      </w:r>
      <w:r>
        <w:t xml:space="preserve"> </w:t>
      </w:r>
      <w:r>
        <w:t xml:space="preserve">8-parameter physical model (a fairly-calibrated</w:t>
      </w:r>
      <w:r>
        <w:t xml:space="preserve"> </w:t>
      </w:r>
      <w:r>
        <w:rPr>
          <w:i/>
          <w:iCs/>
        </w:rPr>
        <w:t xml:space="preserve">variant</w:t>
      </w:r>
      <w:r>
        <w:t xml:space="preserve"> </w:t>
      </w:r>
      <w:r>
        <w:t xml:space="preserve">of Toffolon–Piccolroaz)</w:t>
      </w:r>
      <w:r>
        <w:t xml:space="preserve"> </w:t>
      </w:r>
      <w:r>
        <w:t xml:space="preserve">on median RMSE at every lead (0.630 / 1.289 / 1.658 vs 0.733 / 1.409 / 1.805).</w:t>
      </w:r>
      <w:r>
        <w:t xml:space="preserve"> </w:t>
      </w:r>
      <w:r>
        <w:t xml:space="preserve">Against a strong gradient-boosting baseline (LightGBM) the honest result is</w:t>
      </w:r>
      <w:r>
        <w:t xml:space="preserve"> </w:t>
      </w:r>
      <w:r>
        <w:rPr>
          <w:b/>
          <w:bCs/>
        </w:rPr>
        <w:t xml:space="preserve">parity, not superiority</w:t>
      </w:r>
      <w:r>
        <w:t xml:space="preserve">: with the seed budget matched (each of five</w:t>
      </w:r>
      <w:r>
        <w:t xml:space="preserve"> </w:t>
      </w:r>
      <w:r>
        <w:t xml:space="preserve">ThermoRoute seeds scored as a single model), LightGBM is significantly more</w:t>
      </w:r>
      <w:r>
        <w:t xml:space="preserve"> </w:t>
      </w:r>
      <w:r>
        <w:t xml:space="preserve">accurate at 1 day (median skill −0.044, p = 1×10⁻¹⁴) while the two are</w:t>
      </w:r>
      <w:r>
        <w:t xml:space="preserve"> </w:t>
      </w:r>
      <w:r>
        <w:t xml:space="preserve">statistically indistinguishable at 3 and 7 days (median skill +0.002 and −0.002,</w:t>
      </w:r>
      <w:r>
        <w:t xml:space="preserve"> </w:t>
      </w:r>
      <w:r>
        <w:t xml:space="preserve">p = 0.76 and 0.52). This parity</w:t>
      </w:r>
      <w:r>
        <w:t xml:space="preserve"> </w:t>
      </w:r>
      <w:r>
        <w:rPr>
          <w:b/>
          <w:bCs/>
        </w:rPr>
        <w:t xml:space="preserve">also holds out-of-region</w:t>
      </w:r>
      <w:r>
        <w:t xml:space="preserve">: under a</w:t>
      </w:r>
      <w:r>
        <w:t xml:space="preserve"> </w:t>
      </w:r>
      <w:r>
        <w:t xml:space="preserve">leave-HUC2-region-out protocol (whole regions held out; mean 358 km to the</w:t>
      </w:r>
      <w:r>
        <w:t xml:space="preserve"> </w:t>
      </w:r>
      <w:r>
        <w:t xml:space="preserve">nearest training gage) both ThermoRoute and a global LightGBM transfer far beyond</w:t>
      </w:r>
      <w:r>
        <w:t xml:space="preserve"> </w:t>
      </w:r>
      <w:r>
        <w:t xml:space="preserve">persistence, and between them the result is a horizon-conditional tie (LightGBM</w:t>
      </w:r>
      <w:r>
        <w:t xml:space="preserve"> </w:t>
      </w:r>
      <w:r>
        <w:t xml:space="preserve">better at 1 day, tied at 3 days, ThermoRoute better at 7 days, p = 1×10⁻³).</w:t>
      </w:r>
      <w:r>
        <w:t xml:space="preserve"> </w:t>
      </w:r>
      <w:r>
        <w:t xml:space="preserve">ThermoRoute matches the strong learner in point accuracy while additionally</w:t>
      </w:r>
      <w:r>
        <w:t xml:space="preserve"> </w:t>
      </w:r>
      <w:r>
        <w:t xml:space="preserve">providing calibrated intervals, a bounded-degradation guarantee (it is provably</w:t>
      </w:r>
      <w:r>
        <w:t xml:space="preserve"> </w:t>
      </w:r>
      <w:r>
        <w:t xml:space="preserve">never worse than damped persistence by more than δ °C on any station), and</w:t>
      </w:r>
      <w:r>
        <w:t xml:space="preserve"> </w:t>
      </w:r>
      <w:r>
        <w:t xml:space="preserve">interpretable drivers. After conformal calibration on the 2018 hold-out year, its</w:t>
      </w:r>
      <w:r>
        <w:t xml:space="preserve"> </w:t>
      </w:r>
      <w:r>
        <w:t xml:space="preserve">90 % intervals are empirically near-nominal (PICP 0.90 ± 0.01 on the test years).</w:t>
      </w:r>
      <w:r>
        <w:t xml:space="preserve"> </w:t>
      </w:r>
      <w:r>
        <w:t xml:space="preserve">On a generic cost–loss decision model, the calibrated probabilistic warning</w:t>
      </w:r>
      <w:r>
        <w:t xml:space="preserve"> </w:t>
      </w:r>
      <w:r>
        <w:t xml:space="preserve">captures more relative economic value than a deterministic persistence warning</w:t>
      </w:r>
      <w:r>
        <w:t xml:space="preserve"> </w:t>
      </w:r>
      <w:r>
        <w:t xml:space="preserve">across most cost–loss ratios; we treat this as a methodological illustration</w:t>
      </w:r>
      <w:r>
        <w:t xml:space="preserve"> </w:t>
      </w:r>
      <w:r>
        <w:t xml:space="preserve">rather than a demonstrated management advantage, because the cost–loss model is</w:t>
      </w:r>
      <w:r>
        <w:t xml:space="preserve"> </w:t>
      </w:r>
      <w:r>
        <w:t xml:space="preserve">generic and the high-temperature threshold is a statistical (train q90) rather</w:t>
      </w:r>
      <w:r>
        <w:t xml:space="preserve"> </w:t>
      </w:r>
      <w:r>
        <w:t xml:space="preserve">than ecological cut-off. We deliberately report negative results in full — no</w:t>
      </w:r>
      <w:r>
        <w:t xml:space="preserve"> </w:t>
      </w:r>
      <w:r>
        <w:t xml:space="preserve">point gain on the near-deterministic cascade, and a flow-dependent thermal</w:t>
      </w:r>
      <w:r>
        <w:t xml:space="preserve"> </w:t>
      </w:r>
      <w:r>
        <w:t xml:space="preserve">memory that does</w:t>
      </w:r>
      <w:r>
        <w:t xml:space="preserve"> </w:t>
      </w:r>
      <w:r>
        <w:rPr>
          <w:b/>
          <w:bCs/>
        </w:rPr>
        <w:t xml:space="preserve">not</w:t>
      </w:r>
      <w:r>
        <w:t xml:space="preserve"> </w:t>
      </w:r>
      <w:r>
        <w:t xml:space="preserve">generalise beyond it (κ rises with flow at 0 % of</w:t>
      </w:r>
      <w:r>
        <w:t xml:space="preserve"> </w:t>
      </w:r>
      <w:r>
        <w:t xml:space="preserve">large-sample stations) — and argue that the right scientific target is a</w:t>
      </w:r>
      <w:r>
        <w:t xml:space="preserve"> </w:t>
      </w:r>
      <w:r>
        <w:t xml:space="preserve">calibrated, transferable forecaster whose advantage must be established on a</w:t>
      </w:r>
      <w:r>
        <w:t xml:space="preserve"> </w:t>
      </w:r>
      <w:r>
        <w:t xml:space="preserve">large, hydrologically diverse sample, not a single cascade.</w:t>
      </w:r>
    </w:p>
    <w:p>
      <w:pPr>
        <w:pStyle w:val="FirstParagraph"/>
      </w:pPr>
      <w:r>
        <w:rPr>
          <w:b/>
          <w:bCs/>
        </w:rPr>
        <w:t xml:space="preserve">Keywords:</w:t>
      </w:r>
      <w:r>
        <w:t xml:space="preserve"> </w:t>
      </w:r>
      <w:r>
        <w:t xml:space="preserve">river water temperature; probabilistic forecasting; physics-guided</w:t>
      </w:r>
      <w:r>
        <w:t xml:space="preserve"> </w:t>
      </w:r>
      <w:r>
        <w:t xml:space="preserve">machine learning; large-sample hydrology; spatial transfer; conformal prediction;</w:t>
      </w:r>
      <w:r>
        <w:t xml:space="preserve"> </w:t>
      </w:r>
      <w:r>
        <w:t xml:space="preserve">calibrated uncertainty.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Quantifying predictive uncertainty honestly is the third recurring problem, and it</w:t>
      </w:r>
      <w:r>
        <w:t xml:space="preserve"> </w:t>
      </w:r>
      <w:r>
        <w:t xml:space="preserve">has a long hydrological lineage. Generalised Likelihood Uncertainty Estimation</w:t>
      </w:r>
      <w:r>
        <w:t xml:space="preserve"> </w:t>
      </w:r>
      <w:r>
        <w:t xml:space="preserve">(GLUE) [G1] rejected the notion of a single optimal parameter set — accepting</w:t>
      </w:r>
      <w:r>
        <w:t xml:space="preserve"> </w:t>
      </w:r>
      <w:r>
        <w:rPr>
          <w:i/>
          <w:iCs/>
        </w:rPr>
        <w:t xml:space="preserve">equifinality</w:t>
      </w:r>
      <w:r>
        <w:t xml:space="preserve"> </w:t>
      </w:r>
      <w:r>
        <w:t xml:space="preserve">among many acceptable simulators — and lumped predictive uncertainty</w:t>
      </w:r>
      <w:r>
        <w:t xml:space="preserve"> </w:t>
      </w:r>
      <w:r>
        <w:t xml:space="preserve">onto the parameters through an informal likelihood. Bayesian Total Error Analysis</w:t>
      </w:r>
      <w:r>
        <w:t xml:space="preserve"> </w:t>
      </w:r>
      <w:r>
        <w:t xml:space="preserve">(BATEA) [G2, G3] replied that this conflates distinct error sources, and instead</w:t>
      </w:r>
      <w:r>
        <w:t xml:space="preserve"> </w:t>
      </w:r>
      <w:r>
        <w:t xml:space="preserve">requires the modeller to</w:t>
      </w:r>
      <w:r>
        <w:t xml:space="preserve"> </w:t>
      </w:r>
      <w:r>
        <w:rPr>
          <w:i/>
          <w:iCs/>
        </w:rPr>
        <w:t xml:space="preserve">explicitly</w:t>
      </w:r>
      <w:r>
        <w:t xml:space="preserve"> </w:t>
      </w:r>
      <w:r>
        <w:t xml:space="preserve">specify separate input, output and structural</w:t>
      </w:r>
      <w:r>
        <w:t xml:space="preserve"> </w:t>
      </w:r>
      <w:r>
        <w:t xml:space="preserve">error models (e.g. latent storm multipliers that infer the</w:t>
      </w:r>
      <w:r>
        <w:t xml:space="preserve"> </w:t>
      </w:r>
      <w:r>
        <w:t xml:space="preserve">“true”</w:t>
      </w:r>
      <w:r>
        <w:t xml:space="preserve"> </w:t>
      </w:r>
      <w:r>
        <w:t xml:space="preserve">rainfall), so that</w:t>
      </w:r>
      <w:r>
        <w:t xml:space="preserve"> </w:t>
      </w:r>
      <w:r>
        <w:t xml:space="preserve">a model is not blamed for corrupt forcing. Both target the calibration and</w:t>
      </w:r>
      <w:r>
        <w:t xml:space="preserve"> </w:t>
      </w:r>
      <w:r>
        <w:t xml:space="preserve">simulation of rainfall–runoff models on one or two catchments; BATEA itself notes</w:t>
      </w:r>
      <w:r>
        <w:t xml:space="preserve"> </w:t>
      </w:r>
      <w:r>
        <w:t xml:space="preserve">that its main obstacle is the difficulty of specifying valid input-error models,</w:t>
      </w:r>
      <w:r>
        <w:t xml:space="preserve"> </w:t>
      </w:r>
      <w:r>
        <w:t xml:space="preserve">“which are currently poorly understood”</w:t>
      </w:r>
      <w:r>
        <w:t xml:space="preserve">. We take a third route suited to</w:t>
      </w:r>
      <w:r>
        <w:t xml:space="preserve"> </w:t>
      </w:r>
      <w:r>
        <w:rPr>
          <w:i/>
          <w:iCs/>
        </w:rPr>
        <w:t xml:space="preserve">forecasting at scale</w:t>
      </w:r>
      <w:r>
        <w:t xml:space="preserve">: rather than decomposing the error budget, we wrap the</w:t>
      </w:r>
      <w:r>
        <w:t xml:space="preserve"> </w:t>
      </w:r>
      <w:r>
        <w:t xml:space="preserve">forecaster in</w:t>
      </w:r>
      <w:r>
        <w:t xml:space="preserve"> </w:t>
      </w:r>
      <w:r>
        <w:rPr>
          <w:b/>
          <w:bCs/>
        </w:rPr>
        <w:t xml:space="preserve">conformalised quantile regression</w:t>
      </w:r>
      <w:r>
        <w:t xml:space="preserve">, a distribution-free calibration</w:t>
      </w:r>
      <w:r>
        <w:t xml:space="preserve"> </w:t>
      </w:r>
      <w:r>
        <w:t xml:space="preserve">that targets nominal coverage without assuming any error model — trading BATEA’s</w:t>
      </w:r>
      <w:r>
        <w:t xml:space="preserve"> </w:t>
      </w:r>
      <w:r>
        <w:t xml:space="preserve">process-attribution insight for robustness and a per-station coverage property that</w:t>
      </w:r>
      <w:r>
        <w:t xml:space="preserve"> </w:t>
      </w:r>
      <w:r>
        <w:t xml:space="preserve">holds across 120 basins.</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w:t>
      </w:r>
      <w:r>
        <w:rPr>
          <w:b/>
          <w:bCs/>
        </w:rPr>
        <w:t xml:space="preserve"> </w:t>
      </w:r>
      <w:r>
        <w:rPr>
          <w:b/>
          <w:bCs/>
        </w:rPr>
        <w:t xml:space="preserve">consistently improves on per-station damped persistence on point accuracy across</w:t>
      </w:r>
      <w:r>
        <w:rPr>
          <w:b/>
          <w:bCs/>
        </w:rPr>
        <w:t xml:space="preserve"> </w:t>
      </w:r>
      <w:r>
        <w:rPr>
          <w:b/>
          <w:bCs/>
        </w:rPr>
        <w:t xml:space="preserve">horizons</w:t>
      </w:r>
      <w:r>
        <w:t xml:space="preserve"> </w:t>
      </w:r>
      <w:r>
        <w:t xml:space="preserve">(LightGBM edges it at 1 day only; Table 2) — the dynamic machinery</w:t>
      </w:r>
      <w:r>
        <w:t xml:space="preserve"> </w:t>
      </w:r>
      <w:r>
        <w:t xml:space="preserve">helps only calibration and warnings there. We therefore move to a 120-station</w:t>
      </w:r>
      <w:r>
        <w:t xml:space="preserve"> </w:t>
      </w:r>
      <w:r>
        <w:t xml:space="preserve">large-sample setting where forecast headroom exists, and show that ThermoRoute’s value</w:t>
      </w:r>
      <w:r>
        <w:t xml:space="preserve"> </w:t>
      </w:r>
      <w:r>
        <w:t xml:space="preserve">materialises: it beats the</w:t>
      </w:r>
      <w:r>
        <w:t xml:space="preserve"> </w:t>
      </w:r>
      <w:r>
        <w:rPr>
          <w:i/>
          <w:iCs/>
        </w:rPr>
        <w:t xml:space="preserve">physics</w:t>
      </w:r>
      <w:r>
        <w:t xml:space="preserve"> </w:t>
      </w:r>
      <w:r>
        <w:t xml:space="preserve">baselines on point accuracy, is on par with</w:t>
      </w:r>
      <w:r>
        <w:t xml:space="preserve"> </w:t>
      </w:r>
      <w:r>
        <w:t xml:space="preserve">a strong gradient-boosting learner (better at 1 day, statistically tied at 3–7</w:t>
      </w:r>
      <w:r>
        <w:t xml:space="preserve"> </w:t>
      </w:r>
      <w:r>
        <w:t xml:space="preserve">days), transfers across unseen basins, and produces near-nominally-calibrated</w:t>
      </w:r>
      <w:r>
        <w:t xml:space="preserve"> </w:t>
      </w:r>
      <w:r>
        <w:t xml:space="preserve">warnings. We also report a negative result: the flow-dependent thermal memory</w:t>
      </w:r>
      <w:r>
        <w:t xml:space="preserve"> </w:t>
      </w:r>
      <w:r>
        <w:t xml:space="preserve">suggested by the three-station case does</w:t>
      </w:r>
      <w:r>
        <w:t xml:space="preserve"> </w:t>
      </w:r>
      <w:r>
        <w:rPr>
          <w:i/>
          <w:iCs/>
        </w:rPr>
        <w:t xml:space="preserve">not</w:t>
      </w:r>
      <w:r>
        <w:t xml:space="preserve"> </w:t>
      </w:r>
      <w:r>
        <w:t xml:space="preserve">generalise to the large sample,</w:t>
      </w:r>
      <w:r>
        <w:t xml:space="preserve"> </w:t>
      </w:r>
      <w:r>
        <w:t xml:space="preserve">and we retract that mechanism claim.</w:t>
      </w:r>
    </w:p>
    <w:p>
      <w:pPr>
        <w:pStyle w:val="BodyText"/>
      </w:pPr>
      <w:r>
        <w:t xml:space="preserve">Contributions:</w:t>
      </w:r>
    </w:p>
    <w:p>
      <w:pPr>
        <w:pStyle w:val="Compact"/>
        <w:numPr>
          <w:ilvl w:val="0"/>
          <w:numId w:val="1002"/>
        </w:numPr>
      </w:pPr>
      <w:r>
        <w:rPr>
          <w:b/>
          <w:bCs/>
        </w:rPr>
        <w:t xml:space="preserve">ThermoRoute</w:t>
      </w:r>
      <w:r>
        <w:t xml:space="preserve">, a physics-biased forecaster whose relaxation prior</w:t>
      </w:r>
      <w:r>
        <w:t xml:space="preserve"> </w:t>
      </w:r>
      <w:r>
        <w:rPr>
          <w:i/>
          <w:iCs/>
        </w:rPr>
        <w:t xml:space="preserve">provably</w:t>
      </w:r>
      <w:r>
        <w:rPr>
          <w:i/>
          <w:iCs/>
        </w:rPr>
        <w:t xml:space="preserve"> </w:t>
      </w:r>
      <w:r>
        <w:rPr>
          <w:i/>
          <w:iCs/>
        </w:rPr>
        <w:t xml:space="preserve">contains damped persistence</w:t>
      </w:r>
      <w:r>
        <w:t xml:space="preserve"> </w:t>
      </w:r>
      <w:r>
        <w:t xml:space="preserve">as a special case (Proposition 1) and whose</w:t>
      </w:r>
      <w:r>
        <w:t xml:space="preserve"> </w:t>
      </w:r>
      <w:r>
        <w:rPr>
          <w:i/>
          <w:iCs/>
        </w:rPr>
        <w:t xml:space="preserve">bounded</w:t>
      </w:r>
      <w:r>
        <w:t xml:space="preserve"> </w:t>
      </w:r>
      <w:r>
        <w:t xml:space="preserve">neural residual is guaranteed not to degrade the prior by more than</w:t>
      </w:r>
      <w:r>
        <w:t xml:space="preserve"> </w:t>
      </w:r>
      <w:r>
        <w:t xml:space="preserve">δ °C — so the strong baseline is a floor, not a hope. (We initially framed the</w:t>
      </w:r>
      <w:r>
        <w:t xml:space="preserve"> </w:t>
      </w:r>
      <w:r>
        <w:t xml:space="preserve">prior’s flow-/season-modulated relaxation rate as a</w:t>
      </w:r>
      <w:r>
        <w:t xml:space="preserve"> </w:t>
      </w:r>
      <w:r>
        <w:t xml:space="preserve">“dynamic thermal memory”</w:t>
      </w:r>
      <w:r>
        <w:t xml:space="preserve">;</w:t>
      </w:r>
      <w:r>
        <w:t xml:space="preserve"> </w:t>
      </w:r>
      <w:r>
        <w:t xml:space="preserve">§4.5 reports that this mechanism does</w:t>
      </w:r>
      <w:r>
        <w:t xml:space="preserve"> </w:t>
      </w:r>
      <w:r>
        <w:rPr>
          <w:i/>
          <w:iCs/>
        </w:rPr>
        <w:t xml:space="preserve">not</w:t>
      </w:r>
      <w:r>
        <w:t xml:space="preserve"> </w:t>
      </w:r>
      <w:r>
        <w:t xml:space="preserve">generalise, and we retain the prior</w:t>
      </w:r>
      <w:r>
        <w:t xml:space="preserve"> </w:t>
      </w:r>
      <w:r>
        <w:t xml:space="preserve">only as a calibrated, damped-persistence-anchored regulariser.)</w:t>
      </w:r>
    </w:p>
    <w:p>
      <w:pPr>
        <w:pStyle w:val="Compact"/>
        <w:numPr>
          <w:ilvl w:val="0"/>
          <w:numId w:val="1002"/>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2"/>
        </w:numPr>
      </w:pPr>
      <w:r>
        <w:t xml:space="preserve">A</w:t>
      </w:r>
      <w:r>
        <w:t xml:space="preserve"> </w:t>
      </w:r>
      <w:r>
        <w:rPr>
          <w:b/>
          <w:bCs/>
        </w:rPr>
        <w:t xml:space="preserve">large-sample, transfer-tested</w:t>
      </w:r>
      <w:r>
        <w:t xml:space="preserve"> </w:t>
      </w:r>
      <w:r>
        <w:t xml:space="preserve">demonstration: 120 public USGS stations</w:t>
      </w:r>
      <w:r>
        <w:t xml:space="preserve"> </w:t>
      </w:r>
      <w:r>
        <w:t xml:space="preserve">(114 contributing the blind test), leave-group-out generalisation to unseen</w:t>
      </w:r>
      <w:r>
        <w:t xml:space="preserve"> </w:t>
      </w:r>
      <w:r>
        <w:t xml:space="preserve">basins, and a unified point + probabilistic + event + decision-value</w:t>
      </w:r>
      <w:r>
        <w:t xml:space="preserve"> </w:t>
      </w:r>
      <w:r>
        <w:t xml:space="preserve">assessment.</w:t>
      </w:r>
    </w:p>
    <w:p>
      <w:pPr>
        <w:pStyle w:val="Compact"/>
        <w:numPr>
          <w:ilvl w:val="0"/>
          <w:numId w:val="1002"/>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panel (main analysis).</w:t>
      </w:r>
      <w:r>
        <w:t xml:space="preserve"> </w:t>
      </w:r>
      <w:r>
        <w:t xml:space="preserve">120 stream gages retrieved</w:t>
      </w:r>
      <w:r>
        <w:t xml:space="preserve"> </w:t>
      </w:r>
      <w:r>
        <w:t xml:space="preserve">programmatically from USGS NWIS (daily water temperature</w:t>
      </w:r>
      <w:r>
        <w:t xml:space="preserve"> </w:t>
      </w:r>
      <w:r>
        <w:rPr>
          <w:rStyle w:val="VerbatimChar"/>
        </w:rPr>
        <w:t xml:space="preserve">00010</w:t>
      </w:r>
      <w:r>
        <w:t xml:space="preserve">, discharge</w:t>
      </w:r>
      <w:r>
        <w:t xml:space="preserve"> </w:t>
      </w:r>
      <w:r>
        <w:rPr>
          <w:rStyle w:val="VerbatimChar"/>
        </w:rPr>
        <w:t xml:space="preserve">00060</w:t>
      </w:r>
      <w:r>
        <w:t xml:space="preserve">, gage height</w:t>
      </w:r>
      <w:r>
        <w:t xml:space="preserve"> </w:t>
      </w:r>
      <w:r>
        <w:rPr>
          <w:rStyle w:val="VerbatimChar"/>
        </w:rPr>
        <w:t xml:space="preserve">00065</w:t>
      </w:r>
      <w:r>
        <w:t xml:space="preserve"> </w:t>
      </w:r>
      <w:r>
        <w:t xml:space="preserve">where available) with co-located Daymet</w:t>
      </w:r>
      <w:r>
        <w:t xml:space="preserve"> </w:t>
      </w:r>
      <w:r>
        <w:t xml:space="preserve">meteorology (air temperature, precipitation, solar radiation as a physical</w:t>
      </w:r>
      <w:r>
        <w:t xml:space="preserve"> </w:t>
      </w:r>
      <w:r>
        <w:t xml:space="preserve">radiative index, relative humidity) and gridMET daily mean wind speed,</w:t>
      </w:r>
      <w:r>
        <w:t xml:space="preserve"> </w:t>
      </w:r>
      <w:r>
        <w:t xml:space="preserve">2006–2020. Inclusion required ≥55 % water-temperature coverage and ≥70 % flow</w:t>
      </w:r>
      <w:r>
        <w:t xml:space="preserve"> </w:t>
      </w:r>
      <w:r>
        <w:t xml:space="preserve">coverage over the full record; a subsequent ≥80 % blind-test (2019–2020)</w:t>
      </w:r>
      <w:r>
        <w:t xml:space="preserve"> </w:t>
      </w:r>
      <w:r>
        <w:t xml:space="preserve">coverage gate prevents a station from sneaking into the panel on its pre-2019</w:t>
      </w:r>
      <w:r>
        <w:t xml:space="preserve"> </w:t>
      </w:r>
      <w:r>
        <w:t xml:space="preserve">record only to drop out at evaluation (an earlier 40-station pilot exhibited</w:t>
      </w:r>
      <w:r>
        <w:t xml:space="preserve"> </w:t>
      </w:r>
      <w:r>
        <w:t xml:space="preserve">this 40→36 shrinkage, see §S1). Gage height is unavailable at the great</w:t>
      </w:r>
      <w:r>
        <w:t xml:space="preserve"> </w:t>
      </w:r>
      <w:r>
        <w:t xml:space="preserve">majority of temperature gages, so the rating-curve physics line is inactive at</w:t>
      </w:r>
      <w:r>
        <w:t xml:space="preserve"> </w:t>
      </w:r>
      <w:r>
        <w:t xml:space="preserve">scale (§3.2 caveat); WLEVEL appears only at three of the 120 stations and is</w:t>
      </w:r>
      <w:r>
        <w:t xml:space="preserve"> </w:t>
      </w:r>
      <w:r>
        <w:t xml:space="preserve">not used in the main analysis. The panel spans 35 U.S. states across 16 USGS</w:t>
      </w:r>
      <w:r>
        <w:t xml:space="preserve"> </w:t>
      </w:r>
      <w:r>
        <w:t xml:space="preserve">HUC2 hydrologic regions, mixing free-flowing and dam-regulated rivers (a</w:t>
      </w:r>
      <w:r>
        <w:t xml:space="preserve"> </w:t>
      </w:r>
      <w:r>
        <w:t xml:space="preserve">post-hoc subgroup analysis is in §S2), and a wide thermal range (≈ −1 to 31 °C).</w:t>
      </w:r>
      <w:r>
        <w:t xml:space="preserve"> </w:t>
      </w:r>
      <w:r>
        <w:t xml:space="preserve">Crucially, it has real forecast headroom: persistence 7-day RMSE has median</w:t>
      </w:r>
      <w:r>
        <w:t xml:space="preserve"> </w:t>
      </w:r>
      <w:r>
        <w:t xml:space="preserve">≈2.3 °C (range 0.9–3.7), versus full-record 0.79–1.23 °C at the reservoir</w:t>
      </w:r>
      <w:r>
        <w:t xml:space="preserve"> </w:t>
      </w:r>
      <w:r>
        <w:t xml:space="preserve">outlets, so multiple model families remain meaningfully distinguishable.</w:t>
      </w:r>
    </w:p>
    <w:p>
      <w:pPr>
        <w:pStyle w:val="BodyText"/>
      </w:pPr>
      <w:r>
        <w:rPr>
          <w:b/>
          <w:bCs/>
        </w:rPr>
        <w:t xml:space="preserve">Effective station counts.</w:t>
      </w:r>
      <w:r>
        <w:t xml:space="preserve"> </w:t>
      </w:r>
      <w:r>
        <w:t xml:space="preserve">Of the 120 nominally acquired stations,</w:t>
      </w:r>
      <w:r>
        <w:t xml:space="preserve"> </w:t>
      </w:r>
      <w:r>
        <w:rPr>
          <w:b/>
          <w:bCs/>
        </w:rPr>
        <w:t xml:space="preserve">114</w:t>
      </w:r>
      <w:r>
        <w:t xml:space="preserve"> </w:t>
      </w:r>
      <w:r>
        <w:t xml:space="preserve">stations contribute predictions in the 2019–2020 blind-test split — the</w:t>
      </w:r>
      <w:r>
        <w:t xml:space="preserve"> </w:t>
      </w:r>
      <w:r>
        <w:t xml:space="preserve">headline-N for win-rates, per-station paired tests, conformal PICP and all</w:t>
      </w:r>
      <w:r>
        <w:t xml:space="preserve"> </w:t>
      </w:r>
      <w:r>
        <w:t xml:space="preserve">mechanism analysis in §4. The validation and calibration splits cover 117 and</w:t>
      </w:r>
      <w:r>
        <w:t xml:space="preserve"> </w:t>
      </w:r>
      <w:r>
        <w:t xml:space="preserve">115 stations respectively. A smaller 40-station pilot (39 sites, 36 at blind</w:t>
      </w:r>
      <w:r>
        <w:t xml:space="preserve"> </w:t>
      </w:r>
      <w:r>
        <w:t xml:space="preserve">test) was used during model development and produced the same qualitative</w:t>
      </w:r>
      <w:r>
        <w:t xml:space="preserve"> </w:t>
      </w:r>
      <w:r>
        <w:t xml:space="preserve">conclusions but with smaller effect sizes; we report it as an</w:t>
      </w:r>
      <w:r>
        <w:t xml:space="preserve"> </w:t>
      </w:r>
      <w:r>
        <w:rPr>
          <w:i/>
          <w:iCs/>
        </w:rPr>
        <w:t xml:space="preserve">intermediate</w:t>
      </w:r>
      <w:r>
        <w:rPr>
          <w:i/>
          <w:iCs/>
        </w:rPr>
        <w:t xml:space="preserve"> </w:t>
      </w:r>
      <w:r>
        <w:rPr>
          <w:i/>
          <w:iCs/>
        </w:rPr>
        <w:t xml:space="preserve">result for comparison</w:t>
      </w:r>
      <w:r>
        <w:t xml:space="preserve"> </w:t>
      </w:r>
      <w:r>
        <w:t xml:space="preserve">(§S1), not as the headline. All accepted-station and</w:t>
      </w:r>
      <w:r>
        <w:t xml:space="preserve"> </w:t>
      </w:r>
      <w:r>
        <w:t xml:space="preserve">rejected-candidate metadata are in</w:t>
      </w:r>
      <w:r>
        <w:t xml:space="preserve"> </w:t>
      </w:r>
      <w:r>
        <w:rPr>
          <w:rStyle w:val="VerbatimChar"/>
        </w:rPr>
        <w:t xml:space="preserve">data_usgs/stations_meta.csv</w:t>
      </w:r>
      <w:r>
        <w:t xml:space="preserve"> </w:t>
      </w:r>
      <w:r>
        <w:t xml:space="preserve">and</w:t>
      </w:r>
      <w:r>
        <w:t xml:space="preserve"> </w:t>
      </w:r>
      <w:r>
        <w:rPr>
          <w:rStyle w:val="VerbatimChar"/>
        </w:rPr>
        <w:t xml:space="preserve">data_usgs/rejected_sites_120v2.csv</w:t>
      </w:r>
      <w:r>
        <w:t xml:space="preserve">.</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 the</w:t>
      </w:r>
      <w:r>
        <w:t xml:space="preserve"> </w:t>
      </w:r>
      <w:r>
        <w:rPr>
          <w:i/>
          <w:iCs/>
        </w:rPr>
        <w:t xml:space="preserve">historical-information</w:t>
      </w:r>
      <w:r>
        <w:t xml:space="preserve"> </w:t>
      </w:r>
      <w:r>
        <w:t xml:space="preserve">(Track-H)</w:t>
      </w:r>
      <w:r>
        <w:t xml:space="preserve"> </w:t>
      </w:r>
      <w:r>
        <w:t xml:space="preserve">protocol. No observation time-stamped after</w:t>
      </w:r>
      <w:r>
        <w:t xml:space="preserve"> </w:t>
      </w:r>
      <w:r>
        <w:rPr>
          <w:i/>
          <w:iCs/>
        </w:rPr>
        <w:t xml:space="preserve">t</w:t>
      </w:r>
      <w:r>
        <w:t xml:space="preserve"> </w:t>
      </w:r>
      <w:r>
        <w:t xml:space="preserve">enters the model. We use</w:t>
      </w:r>
      <w:r>
        <w:t xml:space="preserve"> </w:t>
      </w:r>
      <w:r>
        <w:rPr>
          <w:b/>
          <w:bCs/>
        </w:rPr>
        <w:t xml:space="preserve">reanalysis</w:t>
      </w:r>
      <w:r>
        <w:t xml:space="preserve"> </w:t>
      </w:r>
      <w:r>
        <w:t xml:space="preserve">weather forcings (Daymet, gridMET), not archived operational</w:t>
      </w:r>
      <w:r>
        <w:t xml:space="preserve"> </w:t>
      </w:r>
      <w:r>
        <w:t xml:space="preserve">weather forecasts, so the evaluation is a</w:t>
      </w:r>
      <w:r>
        <w:t xml:space="preserve"> </w:t>
      </w:r>
      <w:r>
        <w:rPr>
          <w:b/>
          <w:bCs/>
        </w:rPr>
        <w:t xml:space="preserve">hindcast</w:t>
      </w:r>
      <w:r>
        <w:t xml:space="preserve"> </w:t>
      </w:r>
      <w:r>
        <w:t xml:space="preserve">rather than a true</w:t>
      </w:r>
      <w:r>
        <w:t xml:space="preserve"> </w:t>
      </w:r>
      <w:r>
        <w:t xml:space="preserve">operational forecast: a deployed system would replace t+1…t+h forcings with a</w:t>
      </w:r>
      <w:r>
        <w:t xml:space="preserve"> </w:t>
      </w:r>
      <w:r>
        <w:t xml:space="preserve">Numerical Weather Prediction forecast issued at</w:t>
      </w:r>
      <w:r>
        <w:t xml:space="preserve"> </w:t>
      </w:r>
      <w:r>
        <w:rPr>
          <w:i/>
          <w:iCs/>
        </w:rPr>
        <w:t xml:space="preserve">t</w:t>
      </w:r>
      <w:r>
        <w:t xml:space="preserve">, whose error would degrade</w:t>
      </w:r>
      <w:r>
        <w:t xml:space="preserve"> </w:t>
      </w:r>
      <w:r>
        <w:t xml:space="preserve">multi-day skill compared to the reanalysis-driven numbers reported here. The</w:t>
      </w:r>
      <w:r>
        <w:t xml:space="preserve"> </w:t>
      </w:r>
      <w:r>
        <w:t xml:space="preserve">ranking</w:t>
      </w:r>
      <w:r>
        <w:t xml:space="preserve"> </w:t>
      </w:r>
      <w:r>
        <w:rPr>
          <w:i/>
          <w:iCs/>
        </w:rPr>
        <w:t xml:space="preserve">between</w:t>
      </w:r>
      <w:r>
        <w:t xml:space="preserve"> </w:t>
      </w:r>
      <w:r>
        <w:t xml:space="preserve">the models we compare (all using the same forcings) is</w:t>
      </w:r>
      <w:r>
        <w:t xml:space="preserve"> </w:t>
      </w:r>
      <w:r>
        <w:t xml:space="preserve">unaffected by this choice.</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rPr>
          <w:b/>
          <w:bCs/>
        </w:rPr>
        <w:t xml:space="preserve">Variable availability caveat.</w:t>
      </w:r>
      <w:r>
        <w:t xml:space="preserve"> </w:t>
      </w:r>
      <w:r>
        <w:t xml:space="preserve">The WLEVEL term is included for completeness</w:t>
      </w:r>
      <w:r>
        <w:t xml:space="preserve"> </w:t>
      </w:r>
      <w:r>
        <w:t xml:space="preserve">of the physical structure but it is ACTIVE only on the three reservoir-cascade</w:t>
      </w:r>
      <w:r>
        <w:t xml:space="preserve"> </w:t>
      </w:r>
      <w:r>
        <w:t xml:space="preserve">stations of §2 (where gage height is recorded) and on three of the 120 USGS</w:t>
      </w:r>
      <w:r>
        <w:t xml:space="preserve"> </w:t>
      </w:r>
      <w:r>
        <w:t xml:space="preserve">stations. On the remaining 117 USGS stations, WLEVEL is imputed to its</w:t>
      </w:r>
      <w:r>
        <w:t xml:space="preserve"> </w:t>
      </w:r>
      <w:r>
        <w:t xml:space="preserve">standardised mean (zero) and the</w:t>
      </w:r>
      <w:r>
        <w:t xml:space="preserve"> </w:t>
      </w:r>
      <w:r>
        <w:rPr>
          <w:rStyle w:val="VerbatimChar"/>
        </w:rPr>
        <w:t xml:space="preserve">c_l·z(WLEVEL)</w:t>
      </w:r>
      <w:r>
        <w:t xml:space="preserve"> </w:t>
      </w:r>
      <w:r>
        <w:t xml:space="preserve">term contributes nothing in</w:t>
      </w:r>
      <w:r>
        <w:t xml:space="preserve"> </w:t>
      </w:r>
      <w:r>
        <w:t xml:space="preserve">practice; the stage–discharge / rating-curve physics line that this term was</w:t>
      </w:r>
      <w:r>
        <w:t xml:space="preserve"> </w:t>
      </w:r>
      <w:r>
        <w:t xml:space="preserve">designed to encode is therefore</w:t>
      </w:r>
      <w:r>
        <w:t xml:space="preserve"> </w:t>
      </w:r>
      <w:r>
        <w:rPr>
          <w:b/>
          <w:bCs/>
        </w:rPr>
        <w:t xml:space="preserve">inactive at scale</w:t>
      </w:r>
      <w:r>
        <w:t xml:space="preserve">. We retain the symbol in</w:t>
      </w:r>
      <w:r>
        <w:t xml:space="preserve"> </w:t>
      </w:r>
      <w:r>
        <w:t xml:space="preserve">the equation for traceability with the 3-station code path.</w:t>
      </w:r>
    </w:p>
    <w:p>
      <w:pPr>
        <w:pStyle w:val="BodyText"/>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looser (±1.0 °C) on the</w:t>
      </w:r>
      <w:r>
        <w:t xml:space="preserve"> </w:t>
      </w:r>
      <w:r>
        <w:t xml:space="preserve">large sample where headroom exists. The large-sample bound was selected by a</w:t>
      </w:r>
      <w:r>
        <w:t xml:space="preserve"> </w:t>
      </w:r>
      <w:r>
        <w:rPr>
          <w:b/>
          <w:bCs/>
        </w:rPr>
        <w:t xml:space="preserve">validation-only sweep</w:t>
      </w:r>
      <w:r>
        <w:t xml:space="preserve"> </w:t>
      </w:r>
      <w:r>
        <w:t xml:space="preserve">over {0.4, 1.0, 1.5, 2.0} using three training seeds</w:t>
      </w:r>
      <w:r>
        <w:t xml:space="preserve"> </w:t>
      </w:r>
      <w:r>
        <w:t xml:space="preserve">per value, minimising the mean over horizons of the median per-station RMSE on</w:t>
      </w:r>
      <w:r>
        <w:t xml:space="preserve"> </w:t>
      </w:r>
      <w:r>
        <w:t xml:space="preserve">2016–2017 (</w:t>
      </w:r>
      <w:r>
        <w:rPr>
          <w:rStyle w:val="VerbatimChar"/>
        </w:rPr>
        <w:t xml:space="preserve">scripts/11_retune.py</w:t>
      </w:r>
      <w:r>
        <w:t xml:space="preserve">,</w:t>
      </w:r>
      <w:r>
        <w:t xml:space="preserve"> </w:t>
      </w:r>
      <w:r>
        <w:rPr>
          <w:rStyle w:val="VerbatimChar"/>
        </w:rPr>
        <w:t xml:space="preserve">outputs/tables/usgs_retune.csv</w:t>
      </w:r>
      <w:r>
        <w:t xml:space="preserve">); ±1.0 was</w:t>
      </w:r>
      <w:r>
        <w:t xml:space="preserve"> </w:t>
      </w:r>
      <w:r>
        <w:t xml:space="preserve">the winner (2016–2017 mean RMSE 1.227, versus 1.230 at ±1.5 and 1.233 at ±2.0).</w:t>
      </w:r>
    </w:p>
    <w:p>
      <w:pPr>
        <w:pStyle w:val="BodyText"/>
      </w:pPr>
      <w:r>
        <w:t xml:space="preserve">The clamp buys a worst-case safety guarantee that a free residual cannot:</w:t>
      </w:r>
    </w:p>
    <w:p>
      <w:pPr>
        <w:pStyle w:val="BlockText"/>
      </w:pPr>
      <w:r>
        <w:rPr>
          <w:b/>
          <w:bCs/>
        </w:rPr>
        <w:t xml:space="preserve">Proposition 1 (bounded degradation).</w:t>
      </w:r>
      <w:r>
        <w:t xml:space="preserve"> </w:t>
      </w:r>
      <w:r>
        <w:t xml:space="preserve">Let</w:t>
      </w:r>
      <w:r>
        <w:t xml:space="preserve"> </w:t>
      </w:r>
      <m:oMath>
        <m:sSubSup>
          <m:e>
            <m:r>
              <m:t>W</m:t>
            </m:r>
          </m:e>
          <m:sub>
            <m:r>
              <m:t>t</m:t>
            </m:r>
            <m:r>
              <m:rPr>
                <m:sty m:val="p"/>
              </m:rPr>
              <m:t>+</m:t>
            </m:r>
            <m:r>
              <m:t>h</m:t>
            </m:r>
          </m:sub>
          <m:sup>
            <m:r>
              <m:rPr>
                <m:sty m:val="p"/>
              </m:rPr>
              <m:t>p</m:t>
            </m:r>
            <m:r>
              <m:rPr>
                <m:sty m:val="p"/>
              </m:rPr>
              <m:t>r</m:t>
            </m:r>
            <m:r>
              <m:rPr>
                <m:sty m:val="p"/>
              </m:rPr>
              <m:t>i</m:t>
            </m:r>
            <m:r>
              <m:rPr>
                <m:sty m:val="p"/>
              </m:rPr>
              <m:t>o</m:t>
            </m:r>
            <m:r>
              <m:rPr>
                <m:sty m:val="p"/>
              </m:rPr>
              <m:t>r</m:t>
            </m:r>
          </m:sup>
        </m:sSubSup>
      </m:oMath>
      <w:r>
        <w:t xml:space="preserve"> </w:t>
      </w:r>
      <w:r>
        <w:t xml:space="preserve">be the</w:t>
      </w:r>
      <w:r>
        <w:t xml:space="preserve"> </w:t>
      </w:r>
      <w:r>
        <w:t xml:space="preserve">prior forecast and</w:t>
      </w:r>
      <w:r>
        <w:t xml:space="preserve"> </w:t>
      </w:r>
      <m:oMath>
        <m:sSub>
          <m:e>
            <m:acc>
              <m:accPr>
                <m:chr m:val="̂"/>
              </m:accPr>
              <m:e>
                <m:r>
                  <m:t>W</m:t>
                </m:r>
              </m:e>
            </m:acc>
          </m:e>
          <m:sub>
            <m:r>
              <m:t>t</m:t>
            </m:r>
            <m:r>
              <m:rPr>
                <m:sty m:val="p"/>
              </m:rPr>
              <m:t>+</m:t>
            </m:r>
            <m:r>
              <m:t>h</m:t>
            </m:r>
          </m:sub>
        </m:sSub>
        <m:r>
          <m:rPr>
            <m:sty m:val="p"/>
          </m:rPr>
          <m:t>=</m:t>
        </m:r>
        <m:sSubSup>
          <m:e>
            <m:r>
              <m:t>W</m:t>
            </m:r>
          </m:e>
          <m:sub>
            <m:r>
              <m:t>t</m:t>
            </m:r>
            <m:r>
              <m:rPr>
                <m:sty m:val="p"/>
              </m:rPr>
              <m:t>+</m:t>
            </m:r>
            <m:r>
              <m:t>h</m:t>
            </m:r>
          </m:sub>
          <m:sup>
            <m:r>
              <m:rPr>
                <m:sty m:val="p"/>
              </m:rPr>
              <m:t>p</m:t>
            </m:r>
            <m:r>
              <m:rPr>
                <m:sty m:val="p"/>
              </m:rPr>
              <m:t>r</m:t>
            </m:r>
            <m:r>
              <m:rPr>
                <m:sty m:val="p"/>
              </m:rPr>
              <m:t>i</m:t>
            </m:r>
            <m:r>
              <m:rPr>
                <m:sty m:val="p"/>
              </m:rPr>
              <m:t>o</m:t>
            </m:r>
            <m:r>
              <m:rPr>
                <m:sty m:val="p"/>
              </m:rPr>
              <m:t>r</m:t>
            </m:r>
          </m:sup>
        </m:sSubSup>
        <m:r>
          <m:rPr>
            <m:sty m:val="p"/>
          </m:rPr>
          <m:t>+</m:t>
        </m:r>
        <m:sSub>
          <m:e>
            <m:r>
              <m:rPr>
                <m:sty m:val="p"/>
              </m:rPr>
              <m:t>Δ</m:t>
            </m:r>
          </m:e>
          <m:sub>
            <m:r>
              <m:t>h</m:t>
            </m:r>
          </m:sub>
        </m:sSub>
      </m:oMath>
      <w:r>
        <w:t xml:space="preserve"> </w:t>
      </w:r>
      <w:r>
        <w:t xml:space="preserve">with</w:t>
      </w:r>
      <w:r>
        <w:t xml:space="preserve"> </w:t>
      </w:r>
      <m:oMath>
        <m:sSub>
          <m:e>
            <m:r>
              <m:rPr>
                <m:sty m:val="p"/>
              </m:rPr>
              <m:t>Δ</m:t>
            </m:r>
          </m:e>
          <m:sub>
            <m:r>
              <m:t>h</m:t>
            </m:r>
          </m:sub>
        </m:sSub>
        <m:r>
          <m:rPr>
            <m:sty m:val="p"/>
          </m:rPr>
          <m:t>=</m:t>
        </m:r>
        <m:r>
          <m:t>δ</m:t>
        </m:r>
        <m:r>
          <m:t> </m:t>
        </m:r>
        <m:r>
          <m:rPr>
            <m:sty m:val="p"/>
          </m:rPr>
          <m:t>tanh</m:t>
        </m:r>
        <m:r>
          <m:rPr>
            <m:sty m:val="p"/>
          </m:rPr>
          <m:t>(</m:t>
        </m:r>
        <m:sSub>
          <m:e>
            <m:r>
              <m:t>u</m:t>
            </m:r>
          </m:e>
          <m:sub>
            <m:r>
              <m:t>h</m:t>
            </m:r>
          </m:sub>
        </m:sSub>
        <m:r>
          <m:rPr>
            <m:sty m:val="p"/>
          </m:rPr>
          <m:t>)</m:t>
        </m:r>
      </m:oMath>
      <w:r>
        <w:t xml:space="preserve">, so</w:t>
      </w:r>
      <w:r>
        <w:t xml:space="preserve"> </w:t>
      </w:r>
      <m:oMath>
        <m:r>
          <m:rPr>
            <m:sty m:val="p"/>
          </m:rPr>
          <m:t>|</m:t>
        </m:r>
        <m:sSub>
          <m:e>
            <m:r>
              <m:rPr>
                <m:sty m:val="p"/>
              </m:rPr>
              <m:t>Δ</m:t>
            </m:r>
          </m:e>
          <m:sub>
            <m:r>
              <m:t>h</m:t>
            </m:r>
          </m:sub>
        </m:sSub>
        <m:r>
          <m:rPr>
            <m:sty m:val="p"/>
          </m:rPr>
          <m:t>|</m:t>
        </m:r>
        <m:r>
          <m:rPr>
            <m:sty m:val="p"/>
          </m:rPr>
          <m:t>&lt;</m:t>
        </m:r>
        <m:r>
          <m:t>δ</m:t>
        </m:r>
      </m:oMath>
      <w:r>
        <w:t xml:space="preserve">. Then for every</w:t>
      </w:r>
      <w:r>
        <w:t xml:space="preserve"> </w:t>
      </w:r>
      <w:r>
        <w:t xml:space="preserve">station, horizon and issue day,</w:t>
      </w:r>
      <w:r>
        <w:t xml:space="preserve"> </w:t>
      </w:r>
      <m:oMath>
        <m:r>
          <m:rPr>
            <m:sty m:val="p"/>
          </m:rPr>
          <m:t>|</m:t>
        </m:r>
        <m:sSub>
          <m:e>
            <m:acc>
              <m:accPr>
                <m:chr m:val="̂"/>
              </m:accPr>
              <m:e>
                <m:r>
                  <m:t>W</m:t>
                </m:r>
              </m:e>
            </m:acc>
          </m:e>
          <m:sub>
            <m:r>
              <m:t>t</m:t>
            </m:r>
            <m:r>
              <m:rPr>
                <m:sty m:val="p"/>
              </m:rPr>
              <m:t>+</m:t>
            </m:r>
            <m:r>
              <m:t>h</m:t>
            </m:r>
          </m:sub>
        </m:sSub>
        <m:r>
          <m:rPr>
            <m:sty m:val="p"/>
          </m:rPr>
          <m:t>−</m:t>
        </m:r>
        <m:sSub>
          <m:e>
            <m:r>
              <m:t>W</m:t>
            </m:r>
          </m:e>
          <m:sub>
            <m:r>
              <m:t>t</m:t>
            </m:r>
            <m:r>
              <m:rPr>
                <m:sty m:val="p"/>
              </m:rPr>
              <m:t>+</m:t>
            </m:r>
            <m:r>
              <m:t>h</m:t>
            </m:r>
          </m:sub>
        </m:sSub>
        <m:r>
          <m:rPr>
            <m:sty m:val="p"/>
          </m:rPr>
          <m:t>|</m:t>
        </m:r>
        <m:r>
          <m:rPr>
            <m:sty m:val="p"/>
          </m:rPr>
          <m:t>&lt;</m:t>
        </m:r>
        <m:r>
          <m:rPr>
            <m:sty m:val="p"/>
          </m:rPr>
          <m:t>|</m:t>
        </m:r>
        <m:sSubSup>
          <m:e>
            <m:r>
              <m:t>W</m:t>
            </m:r>
          </m:e>
          <m:sub>
            <m:r>
              <m:t>t</m:t>
            </m:r>
            <m:r>
              <m:rPr>
                <m:sty m:val="p"/>
              </m:rPr>
              <m:t>+</m:t>
            </m:r>
            <m:r>
              <m:t>h</m:t>
            </m:r>
          </m:sub>
          <m:sup>
            <m:r>
              <m:rPr>
                <m:sty m:val="p"/>
              </m:rPr>
              <m:t>p</m:t>
            </m:r>
            <m:r>
              <m:rPr>
                <m:sty m:val="p"/>
              </m:rPr>
              <m:t>r</m:t>
            </m:r>
            <m:r>
              <m:rPr>
                <m:sty m:val="p"/>
              </m:rPr>
              <m:t>i</m:t>
            </m:r>
            <m:r>
              <m:rPr>
                <m:sty m:val="p"/>
              </m:rPr>
              <m:t>o</m:t>
            </m:r>
            <m:r>
              <m:rPr>
                <m:sty m:val="p"/>
              </m:rPr>
              <m:t>r</m:t>
            </m:r>
          </m:sup>
        </m:sSubSup>
        <m:r>
          <m:rPr>
            <m:sty m:val="p"/>
          </m:rPr>
          <m:t>−</m:t>
        </m:r>
        <m:sSub>
          <m:e>
            <m:r>
              <m:t>W</m:t>
            </m:r>
          </m:e>
          <m:sub>
            <m:r>
              <m:t>t</m:t>
            </m:r>
            <m:r>
              <m:rPr>
                <m:sty m:val="p"/>
              </m:rPr>
              <m:t>+</m:t>
            </m:r>
            <m:r>
              <m:t>h</m:t>
            </m:r>
          </m:sub>
        </m:sSub>
        <m:r>
          <m:rPr>
            <m:sty m:val="p"/>
          </m:rPr>
          <m:t>|</m:t>
        </m:r>
        <m:r>
          <m:rPr>
            <m:sty m:val="p"/>
          </m:rPr>
          <m:t>+</m:t>
        </m:r>
        <m:r>
          <m:t>δ</m:t>
        </m:r>
      </m:oMath>
      <w:r>
        <w:t xml:space="preserve">,</w:t>
      </w:r>
      <w:r>
        <w:t xml:space="preserve"> </w:t>
      </w:r>
      <w:r>
        <w:t xml:space="preserve">and hence per-station</w:t>
      </w:r>
      <w:r>
        <w:t xml:space="preserve"> </w:t>
      </w:r>
      <m:oMath>
        <m:r>
          <m:rPr>
            <m:sty m:val="p"/>
          </m:rPr>
          <m:t>R</m:t>
        </m:r>
        <m:r>
          <m:rPr>
            <m:sty m:val="p"/>
          </m:rPr>
          <m:t>M</m:t>
        </m:r>
        <m:r>
          <m:rPr>
            <m:sty m:val="p"/>
          </m:rPr>
          <m:t>S</m:t>
        </m:r>
        <m:r>
          <m:rPr>
            <m:sty m:val="p"/>
          </m:rPr>
          <m:t>E</m:t>
        </m:r>
        <m:r>
          <m:rPr>
            <m:sty m:val="p"/>
          </m:rPr>
          <m:t>(</m:t>
        </m:r>
        <m:acc>
          <m:accPr>
            <m:chr m:val="̂"/>
          </m:accPr>
          <m:e>
            <m:r>
              <m:t>W</m:t>
            </m:r>
          </m:e>
        </m:acc>
        <m:r>
          <m:rPr>
            <m:sty m:val="p"/>
          </m:rPr>
          <m:t>)</m:t>
        </m:r>
        <m:r>
          <m:rPr>
            <m:sty m:val="p"/>
          </m:rPr>
          <m:t>≤</m:t>
        </m:r>
        <m:r>
          <m:rPr>
            <m:sty m:val="p"/>
          </m:rPr>
          <m:t>R</m:t>
        </m:r>
        <m:r>
          <m:rPr>
            <m:sty m:val="p"/>
          </m:rPr>
          <m:t>M</m:t>
        </m:r>
        <m:r>
          <m:rPr>
            <m:sty m:val="p"/>
          </m:rPr>
          <m:t>S</m:t>
        </m:r>
        <m:r>
          <m:rPr>
            <m:sty m:val="p"/>
          </m:rPr>
          <m:t>E</m:t>
        </m:r>
        <m:r>
          <m:rPr>
            <m:sty m:val="p"/>
          </m:rPr>
          <m:t>(</m:t>
        </m:r>
        <m:sSup>
          <m:e>
            <m:r>
              <m:t>W</m:t>
            </m:r>
          </m:e>
          <m:sup>
            <m:r>
              <m:rPr>
                <m:sty m:val="p"/>
              </m:rPr>
              <m:t>p</m:t>
            </m:r>
            <m:r>
              <m:rPr>
                <m:sty m:val="p"/>
              </m:rPr>
              <m:t>r</m:t>
            </m:r>
            <m:r>
              <m:rPr>
                <m:sty m:val="p"/>
              </m:rPr>
              <m:t>i</m:t>
            </m:r>
            <m:r>
              <m:rPr>
                <m:sty m:val="p"/>
              </m:rPr>
              <m:t>o</m:t>
            </m:r>
            <m:r>
              <m:rPr>
                <m:sty m:val="p"/>
              </m:rPr>
              <m:t>r</m:t>
            </m:r>
          </m:sup>
        </m:sSup>
        <m:r>
          <m:rPr>
            <m:sty m:val="p"/>
          </m:rPr>
          <m:t>)</m:t>
        </m:r>
        <m:r>
          <m:rPr>
            <m:sty m:val="p"/>
          </m:rPr>
          <m:t>+</m:t>
        </m:r>
        <m:r>
          <m:t>δ</m:t>
        </m:r>
      </m:oMath>
      <w:r>
        <w:t xml:space="preserve">.</w:t>
      </w:r>
      <w:r>
        <w:t xml:space="preserve"> </w:t>
      </w:r>
      <w:r>
        <w:t xml:space="preserve">Because the prior reduces to damped persistence when</w:t>
      </w:r>
      <w:r>
        <w:t xml:space="preserve"> </w:t>
      </w:r>
      <m:oMath>
        <m:sSub>
          <m:e>
            <m:r>
              <m:t>e</m:t>
            </m:r>
          </m:e>
          <m:sub>
            <m:r>
              <m:t>t</m:t>
            </m:r>
          </m:sub>
        </m:sSub>
        <m:r>
          <m:rPr>
            <m:sty m:val="p"/>
          </m:rPr>
          <m:t>=</m:t>
        </m:r>
        <m:r>
          <m:t>0</m:t>
        </m:r>
        <m:r>
          <m:rPr>
            <m:sty m:val="p"/>
          </m:rPr>
          <m:t>,</m:t>
        </m:r>
        <m:r>
          <m:t> </m:t>
        </m:r>
        <m:r>
          <m:t>κ</m:t>
        </m:r>
        <m:r>
          <m:rPr>
            <m:sty m:val="p"/>
          </m:rPr>
          <m:t>=</m:t>
        </m:r>
        <m:r>
          <m:t>1</m:t>
        </m:r>
        <m:r>
          <m:rPr>
            <m:sty m:val="p"/>
          </m:rPr>
          <m:t>−</m:t>
        </m:r>
        <m:r>
          <m:t>φ</m:t>
        </m:r>
      </m:oMath>
      <w:r>
        <w:t xml:space="preserve"> </w:t>
      </w:r>
      <w:r>
        <w:t xml:space="preserve">(the contained baseline), the learned model can never be worse than damped</w:t>
      </w:r>
      <w:r>
        <w:t xml:space="preserve"> </w:t>
      </w:r>
      <w:r>
        <w:t xml:space="preserve">persistence by more than</w:t>
      </w:r>
      <w:r>
        <w:t xml:space="preserve"> </w:t>
      </w:r>
      <m:oMath>
        <m:r>
          <m:t>δ</m:t>
        </m:r>
      </m:oMath>
      <w:r>
        <w:t xml:space="preserve"> </w:t>
      </w:r>
      <w:r>
        <w:t xml:space="preserve">°C on any station — a floor a generic</w:t>
      </w:r>
      <w:r>
        <w:t xml:space="preserve"> </w:t>
      </w:r>
      <w:r>
        <w:t xml:space="preserve">unconstrained learner (GBDT or free-headed net) does not provide.</w:t>
      </w:r>
    </w:p>
    <w:p>
      <w:pPr>
        <w:pStyle w:val="FirstParagraph"/>
      </w:pPr>
      <w:r>
        <w:rPr>
          <w:i/>
          <w:iCs/>
        </w:rPr>
        <w:t xml:space="preserve">Proof.</w:t>
      </w:r>
      <w:r>
        <w:t xml:space="preserve"> </w:t>
      </w:r>
      <w:r>
        <w:t xml:space="preserve">The first inequality is the triangle inequality on</w:t>
      </w:r>
      <w:r>
        <w:t xml:space="preserve"> </w:t>
      </w:r>
      <m:oMath>
        <m:acc>
          <m:accPr>
            <m:chr m:val="̂"/>
          </m:accPr>
          <m:e>
            <m:r>
              <m:t>W</m:t>
            </m:r>
          </m:e>
        </m:acc>
        <m:r>
          <m:rPr>
            <m:sty m:val="p"/>
          </m:rPr>
          <m:t>=</m:t>
        </m:r>
        <m:sSup>
          <m:e>
            <m:r>
              <m:t>W</m:t>
            </m:r>
          </m:e>
          <m:sup>
            <m:r>
              <m:rPr>
                <m:sty m:val="p"/>
              </m:rPr>
              <m:t>p</m:t>
            </m:r>
            <m:r>
              <m:rPr>
                <m:sty m:val="p"/>
              </m:rPr>
              <m:t>r</m:t>
            </m:r>
            <m:r>
              <m:rPr>
                <m:sty m:val="p"/>
              </m:rPr>
              <m:t>i</m:t>
            </m:r>
            <m:r>
              <m:rPr>
                <m:sty m:val="p"/>
              </m:rPr>
              <m:t>o</m:t>
            </m:r>
            <m:r>
              <m:rPr>
                <m:sty m:val="p"/>
              </m:rPr>
              <m:t>r</m:t>
            </m:r>
          </m:sup>
        </m:sSup>
        <m:r>
          <m:rPr>
            <m:sty m:val="p"/>
          </m:rPr>
          <m:t>+</m:t>
        </m:r>
        <m:sSub>
          <m:e>
            <m:r>
              <m:rPr>
                <m:sty m:val="p"/>
              </m:rPr>
              <m:t>Δ</m:t>
            </m:r>
          </m:e>
          <m:sub>
            <m:r>
              <m:t>h</m:t>
            </m:r>
          </m:sub>
        </m:sSub>
      </m:oMath>
      <w:r>
        <w:t xml:space="preserve"> </w:t>
      </w:r>
      <w:r>
        <w:t xml:space="preserve">with</w:t>
      </w:r>
      <w:r>
        <w:t xml:space="preserve"> </w:t>
      </w:r>
      <m:oMath>
        <m:r>
          <m:rPr>
            <m:sty m:val="p"/>
          </m:rPr>
          <m:t>|</m:t>
        </m:r>
        <m:sSub>
          <m:e>
            <m:r>
              <m:rPr>
                <m:sty m:val="p"/>
              </m:rPr>
              <m:t>Δ</m:t>
            </m:r>
          </m:e>
          <m:sub>
            <m:r>
              <m:t>h</m:t>
            </m:r>
          </m:sub>
        </m:sSub>
        <m:r>
          <m:rPr>
            <m:sty m:val="p"/>
          </m:rPr>
          <m:t>|</m:t>
        </m:r>
        <m:r>
          <m:rPr>
            <m:sty m:val="p"/>
          </m:rPr>
          <m:t>&lt;</m:t>
        </m:r>
        <m:r>
          <m:t>δ</m:t>
        </m:r>
      </m:oMath>
      <w:r>
        <w:t xml:space="preserve">; squaring,</w:t>
      </w:r>
      <w:r>
        <w:t xml:space="preserve"> </w:t>
      </w:r>
      <w:r>
        <w:t xml:space="preserve">averaging over a station’s days and taking the root (Minkowski) gives the RMSE</w:t>
      </w:r>
      <w:r>
        <w:t xml:space="preserve"> </w:t>
      </w:r>
      <w:r>
        <w:t xml:space="preserve">bound. ∎ This is why we clamp rather than blend: it turns</w:t>
      </w:r>
      <w:r>
        <w:t xml:space="preserve"> </w:t>
      </w:r>
      <w:r>
        <w:t xml:space="preserve">“the residual usually</w:t>
      </w:r>
      <w:r>
        <w:t xml:space="preserve"> </w:t>
      </w:r>
      <w:r>
        <w:t xml:space="preserve">helps”</w:t>
      </w:r>
      <w:r>
        <w:t xml:space="preserve"> </w:t>
      </w:r>
      <w:r>
        <w:t xml:space="preserve">into</w:t>
      </w:r>
      <w:r>
        <w:t xml:space="preserve"> </w:t>
      </w:r>
      <w:r>
        <w:t xml:space="preserve">“the residual provably cannot hurt by more than δ”</w:t>
      </w:r>
      <w:r>
        <w:t xml:space="preserve"> </w:t>
      </w:r>
      <w:r>
        <w:t xml:space="preserve">— the property</w:t>
      </w:r>
      <w:r>
        <w:t xml:space="preserve"> </w:t>
      </w:r>
      <w:r>
        <w:t xml:space="preserve">that makes a physics-biased forecaster safe to deploy where a bare learner’s tail</w:t>
      </w:r>
      <w:r>
        <w:t xml:space="preserve"> </w:t>
      </w:r>
      <w:r>
        <w:t xml:space="preserve">behaviour is unbounded.</w:t>
      </w:r>
      <w:r>
        <w:t xml:space="preserve"> </w:t>
      </w:r>
      <w:r>
        <w:rPr>
          <w:i/>
          <w:iCs/>
        </w:rPr>
        <w:t xml:space="preserve">Disclosure:</w:t>
      </w:r>
      <w:r>
        <w:t xml:space="preserve"> </w:t>
      </w:r>
      <w:r>
        <w:t xml:space="preserve">an earlier version of this study fixed the bound at ±1.5 using a</w:t>
      </w:r>
      <w:r>
        <w:t xml:space="preserve"> </w:t>
      </w:r>
      <w:r>
        <w:t xml:space="preserve">sweep that had read the blind-test years — a protocol violation; on discovering</w:t>
      </w:r>
      <w:r>
        <w:t xml:space="preserve"> </w:t>
      </w:r>
      <w:r>
        <w:t xml:space="preserve">it we re-ran the sweep on the validation split only, which selected ±1.0, and</w:t>
      </w:r>
      <w:r>
        <w:t xml:space="preserve"> </w:t>
      </w:r>
      <w:r>
        <w:t xml:space="preserve">regenerated</w:t>
      </w:r>
      <w:r>
        <w:t xml:space="preserve"> </w:t>
      </w:r>
      <w:r>
        <w:rPr>
          <w:b/>
          <w:bCs/>
        </w:rPr>
        <w:t xml:space="preserve">every</w:t>
      </w:r>
      <w:r>
        <w:t xml:space="preserve"> </w:t>
      </w:r>
      <w:r>
        <w:t xml:space="preserve">large-sample number in this manuscript at ±1.0. The blind</w:t>
      </w:r>
      <w:r>
        <w:t xml:space="preserve"> </w:t>
      </w:r>
      <w:r>
        <w:t xml:space="preserve">test was evaluated once, after the bound was frozen on validation.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and, on the large sample, an</w:t>
      </w:r>
      <w:r>
        <w:t xml:space="preserve"> </w:t>
      </w:r>
      <w:r>
        <w:rPr>
          <w:b/>
          <w:bCs/>
        </w:rPr>
        <w:t xml:space="preserve">air2stream-style</w:t>
      </w:r>
      <w:r>
        <w:rPr>
          <w:b/>
          <w:bCs/>
        </w:rPr>
        <w:t xml:space="preserve"> </w:t>
      </w:r>
      <w:r>
        <w:rPr>
          <w:b/>
          <w:bCs/>
        </w:rPr>
        <w:t xml:space="preserve">eight-parameter hybrid model</w:t>
      </w:r>
      <w:r>
        <w:t xml:space="preserve">. Our implementation keeps the eight-parameter</w:t>
      </w:r>
      <w:r>
        <w:t xml:space="preserve"> </w:t>
      </w:r>
      <w:r>
        <w:t xml:space="preserve">air-to-stream structure with per-station calibration on the training years, but</w:t>
      </w:r>
      <w:r>
        <w:t xml:space="preserve"> </w:t>
      </w:r>
      <w:r>
        <w:t xml:space="preserve">deviates from the canonical Toffolon–Piccolroaz formulation (different</w:t>
      </w:r>
      <w:r>
        <w:t xml:space="preserve"> </w:t>
      </w:r>
      <w:r>
        <w:t xml:space="preserve">θ-weighting and low-temperature handling); we therefore label it a</w:t>
      </w:r>
      <w:r>
        <w:t xml:space="preserve"> </w:t>
      </w:r>
      <w:r>
        <w:rPr>
          <w:i/>
          <w:iCs/>
        </w:rPr>
        <w:t xml:space="preserve">variant</w:t>
      </w:r>
      <w:r>
        <w:t xml:space="preserve"> </w:t>
      </w:r>
      <w:r>
        <w:t xml:space="preserve">throughout and do not claim results against the canonical published model.</w:t>
      </w:r>
      <w:r>
        <w:t xml:space="preserve"> </w:t>
      </w:r>
      <w:r>
        <w:t xml:space="preserve">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ThermoRoute uses five seeds, reported under</w:t>
      </w:r>
      <w:r>
        <w:t xml:space="preserve"> </w:t>
      </w:r>
      <w:r>
        <w:rPr>
          <w:b/>
          <w:bCs/>
        </w:rPr>
        <w:t xml:space="preserve">two disclosed protocols</w:t>
      </w:r>
      <w:r>
        <w:t xml:space="preserve">:</w:t>
      </w:r>
      <w:r>
        <w:t xml:space="preserve"> </w:t>
      </w:r>
      <w:r>
        <w:rPr>
          <w:i/>
          <w:iCs/>
        </w:rPr>
        <w:t xml:space="preserve">per-seed</w:t>
      </w:r>
      <w:r>
        <w:t xml:space="preserve">, where each seed model is scored alone —</w:t>
      </w:r>
      <w:r>
        <w:t xml:space="preserve"> </w:t>
      </w:r>
      <w:r>
        <w:t xml:space="preserve">matching the single-model budget of every baseline — and per-station RMSE is</w:t>
      </w:r>
      <w:r>
        <w:t xml:space="preserve"> </w:t>
      </w:r>
      <w:r>
        <w:t xml:space="preserve">averaged across seeds with the across-seed spread reported; and</w:t>
      </w:r>
      <w:r>
        <w:t xml:space="preserve"> </w:t>
      </w:r>
      <w:r>
        <w:rPr>
          <w:i/>
          <w:iCs/>
        </w:rPr>
        <w:t xml:space="preserve">ensemble</w:t>
      </w:r>
      <w:r>
        <w:t xml:space="preserve">, the</w:t>
      </w:r>
      <w:r>
        <w:t xml:space="preserve"> </w:t>
      </w:r>
      <w:r>
        <w:t xml:space="preserve">deployed five-member seed-averaged forecaster, which is an ensemble-versus-</w:t>
      </w:r>
      <w:r>
        <w:t xml:space="preserve"> </w:t>
      </w:r>
      <w:r>
        <w:t xml:space="preserve">single-model comparison and is labelled as such wherever it appears. Headline</w:t>
      </w:r>
      <w:r>
        <w:t xml:space="preserve"> </w:t>
      </w:r>
      <w:r>
        <w:t xml:space="preserve">significance tables report both (Table</w:t>
      </w:r>
      <w:r>
        <w:t xml:space="preserve"> </w:t>
      </w:r>
      <w:r>
        <w:rPr>
          <w:rStyle w:val="VerbatimChar"/>
        </w:rPr>
        <w:t xml:space="preserve">claim1_significance</w:t>
      </w:r>
      <w:r>
        <w:t xml:space="preserve">).</w:t>
      </w:r>
    </w:p>
    <w:bookmarkEnd w:id="16"/>
    <w:bookmarkEnd w:id="17"/>
    <w:bookmarkStart w:id="36"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consistently improves on it across horizons</w:t>
      </w:r>
      <w:r>
        <w:t xml:space="preserve">. ThermoRoute (joint,</w:t>
      </w:r>
      <w:r>
        <w:t xml:space="preserve"> </w:t>
      </w:r>
      <w:r>
        <w:t xml:space="preserve">three seeds, per-seed scores averaged) is 0.292 / 0.543 / 0.798 °C — worse than</w:t>
      </w:r>
      <w:r>
        <w:t xml:space="preserve"> </w:t>
      </w:r>
      <w:r>
        <w:t xml:space="preserve">damped persistence overall: significantly worse at p3 at every horizon and at b1</w:t>
      </w:r>
      <w:r>
        <w:t xml:space="preserve"> </w:t>
      </w:r>
      <w:r>
        <w:t xml:space="preserve">at 1–3 days, better only at s2 (Diebold–Mariano p &lt; 0.05 at 1–3 days; Table 2b).</w:t>
      </w:r>
      <w:r>
        <w:t xml:space="preserve"> </w:t>
      </w:r>
      <w:r>
        <w:t xml:space="preserve">LightGBM comes closest — it edges damped persistence at 1 day (0.255 vs</w:t>
      </w:r>
      <w:r>
        <w:t xml:space="preserve"> </w:t>
      </w:r>
      <w:r>
        <w:t xml:space="preserve">0.261 °C) but falls behind at 7 days (0.806 vs 0.724 °C) — while GRU fails</w:t>
      </w:r>
      <w:r>
        <w:t xml:space="preserve"> </w:t>
      </w:r>
      <w:r>
        <w:t xml:space="preserve">outright, and the module ablations tell the same story: the ablation that</w:t>
      </w:r>
      <w:r>
        <w:t xml:space="preserve"> </w:t>
      </w:r>
      <w:r>
        <w:rPr>
          <w:i/>
          <w:iCs/>
        </w:rPr>
        <w:t xml:space="preserve">removes</w:t>
      </w:r>
      <w:r>
        <w:t xml:space="preserve"> </w:t>
      </w:r>
      <w:r>
        <w:t xml:space="preserve">the mixture-of-experts is the best ThermoRoute variant here, matching</w:t>
      </w:r>
      <w:r>
        <w:t xml:space="preserve"> </w:t>
      </w:r>
      <w:r>
        <w:t xml:space="preserve">damped persistence at 1 day (0.260 °C), indicating the extra machinery does not</w:t>
      </w:r>
      <w:r>
        <w:t xml:space="preserve"> </w:t>
      </w:r>
      <w:r>
        <w:t xml:space="preserve">help point accuracy on this near-deterministic system. The dynamic κ modulation</w:t>
      </w:r>
      <w:r>
        <w:t xml:space="preserve"> </w:t>
      </w:r>
      <w:r>
        <w:t xml:space="preserve">is no exception: freezing its flow-, level- and season-dependent modulators</w:t>
      </w:r>
      <w:r>
        <w:t xml:space="preserve"> </w:t>
      </w:r>
      <w:r>
        <w:t xml:space="preserve">(TR-fixedKappa, Table 6)</w:t>
      </w:r>
      <w:r>
        <w:t xml:space="preserve"> </w:t>
      </w:r>
      <w:r>
        <w:rPr>
          <w:i/>
          <w:iCs/>
        </w:rPr>
        <w:t xml:space="preserve">lowers</w:t>
      </w:r>
      <w:r>
        <w:t xml:space="preserve"> </w:t>
      </w:r>
      <w:r>
        <w:t xml:space="preserve">RMSE at every horizon (0.287 / 0.525 / 0.797</w:t>
      </w:r>
      <w:r>
        <w:t xml:space="preserve"> </w:t>
      </w:r>
      <w:r>
        <w:t xml:space="preserve">vs 0.292 / 0.543 / 0.798 °C), so a constant per-station relaxation rate is at</w:t>
      </w:r>
      <w:r>
        <w:t xml:space="preserve"> </w:t>
      </w:r>
      <w:r>
        <w:t xml:space="preserve">least as accurate as — and here slightly better than — the dynamic one; the</w:t>
      </w:r>
      <w:r>
        <w:t xml:space="preserve"> </w:t>
      </w:r>
      <w:r>
        <w:t xml:space="preserve">dynamic-thermal-memory modulation thus earns its place on mechanism and</w:t>
      </w:r>
      <w:r>
        <w:t xml:space="preserve"> </w:t>
      </w:r>
      <w:r>
        <w:t xml:space="preserve">interpretability grounds, not on point accuracy. The only value ThermoRoute adds</w:t>
      </w:r>
      <w:r>
        <w:t xml:space="preserve"> </w:t>
      </w:r>
      <w:r>
        <w:t xml:space="preserve">here is probabilistic: conformal intervals (achieved per-station PICP 0.79–0.91)</w:t>
      </w:r>
      <w:r>
        <w:t xml:space="preserve"> </w:t>
      </w:r>
      <w:r>
        <w:t xml:space="preserve">and high-temperature warnings the point baselines cannot provide — though the</w:t>
      </w:r>
      <w:r>
        <w:t xml:space="preserve"> </w:t>
      </w:r>
      <w:r>
        <w:t xml:space="preserve">warning skill itself is station-dependent (positive Brier skill at s2 and p3,</w:t>
      </w:r>
      <w:r>
        <w:t xml:space="preserve"> </w:t>
      </w:r>
      <w:r>
        <w:t xml:space="preserve">negative at the most persistent station b1; Table 4). We report this negative</w:t>
      </w:r>
      <w:r>
        <w:t xml:space="preserve"> </w:t>
      </w:r>
      <w:r>
        <w:t xml:space="preserve">result in full rather than selecting a favourable framing, and use it to</w:t>
      </w:r>
      <w:r>
        <w:t xml:space="preserve"> </w:t>
      </w:r>
      <w:r>
        <w:t xml:space="preserve">motivate the large-sample study: a single, heavily-damped cascade simply lacks</w:t>
      </w:r>
      <w:r>
        <w:t xml:space="preserve"> </w:t>
      </w:r>
      <w:r>
        <w:t xml:space="preserve">the 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1bc45eb63e48eb9e4fde456d5b553ce9c80de7"/>
    <w:p>
      <w:pPr>
        <w:pStyle w:val="Heading3"/>
      </w:pPr>
      <w:r>
        <w:t xml:space="preserve">4.2 Large-sample USGS — ThermoRoute beats the physics baselines and is on par with a strong learner (Table A)</w:t>
      </w:r>
    </w:p>
    <w:p>
      <w:pPr>
        <w:pStyle w:val="FirstParagraph"/>
      </w:pPr>
      <w:r>
        <w:t xml:space="preserve">On the 114 blind-test stations of the 120-station USGS panel (see §2 for the</w:t>
      </w:r>
      <w:r>
        <w:t xml:space="preserve"> </w:t>
      </w:r>
      <w:r>
        <w:t xml:space="preserve">effective-N disclosure), with real forecast headroom, the picture inverts.</w:t>
      </w:r>
      <w:r>
        <w:t xml:space="preserve"> </w:t>
      </w:r>
      <w:r>
        <w:t xml:space="preserve">Median over stations of per-station RMSE (5-member seed-averaged ensemble; model</w:t>
      </w:r>
      <w:r>
        <w:t xml:space="preserve"> </w:t>
      </w:r>
      <w:r>
        <w:t xml:space="preserve">uses 7 variables including gridMET wind, with the residual bound set to</w:t>
      </w:r>
      <w:r>
        <w:t xml:space="preserve"> </w:t>
      </w:r>
      <w:r>
        <w:t xml:space="preserve">±1.0 °C on the large sample — the value chosen by the validation-only sweep of</w:t>
      </w:r>
      <w:r>
        <w:t xml:space="preserve"> </w:t>
      </w:r>
      <w:r>
        <w:t xml:space="preserve">§3.3); an air2stream-style 8-parameter model (a</w:t>
      </w:r>
      <w:r>
        <w:t xml:space="preserve"> </w:t>
      </w:r>
      <w:r>
        <w:rPr>
          <w:i/>
          <w:iCs/>
        </w:rPr>
        <w:t xml:space="preserve">variant</w:t>
      </w:r>
      <w:r>
        <w:t xml:space="preserve"> </w:t>
      </w:r>
      <w:r>
        <w:t xml:space="preserve">of</w:t>
      </w:r>
      <w:r>
        <w:t xml:space="preserve"> </w:t>
      </w:r>
      <w:r>
        <w:t xml:space="preserve">Toffolon–Piccolroaz — §3.5) is included as a</w:t>
      </w:r>
      <w:r>
        <w:t xml:space="preserve"> </w:t>
      </w:r>
      <w:r>
        <w:rPr>
          <w:i/>
          <w:iCs/>
        </w:rPr>
        <w:t xml:space="preserve">physical</w:t>
      </w:r>
      <w:r>
        <w:t xml:space="preserve"> </w:t>
      </w:r>
      <w:r>
        <w:t xml:space="preserve">strong baseline: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air2stream-a8</w:t>
            </w:r>
          </w:p>
        </w:tc>
        <w:tc>
          <w:tcPr/>
          <w:p>
            <w:pPr>
              <w:pStyle w:val="Compact"/>
            </w:pPr>
            <w:r>
              <w:t xml:space="preserve">LightGBM (global)</w:t>
            </w:r>
          </w:p>
        </w:tc>
        <w:tc>
          <w:tcPr/>
          <w:p>
            <w:pPr>
              <w:pStyle w:val="Compact"/>
            </w:pPr>
            <w:r>
              <w:t xml:space="preserve">LightGBM (per-station)</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 vs damped</w:t>
            </w:r>
          </w:p>
        </w:tc>
      </w:tr>
      <w:tr>
        <w:tc>
          <w:tcPr/>
          <w:p>
            <w:pPr>
              <w:pStyle w:val="Compact"/>
            </w:pPr>
            <w:r>
              <w:t xml:space="preserve">1 d</w:t>
            </w:r>
          </w:p>
        </w:tc>
        <w:tc>
          <w:tcPr/>
          <w:p>
            <w:pPr>
              <w:pStyle w:val="Compact"/>
            </w:pPr>
            <w:r>
              <w:t xml:space="preserve">0.797</w:t>
            </w:r>
          </w:p>
        </w:tc>
        <w:tc>
          <w:tcPr/>
          <w:p>
            <w:pPr>
              <w:pStyle w:val="Compact"/>
            </w:pPr>
            <w:r>
              <w:t xml:space="preserve">0.774</w:t>
            </w:r>
          </w:p>
        </w:tc>
        <w:tc>
          <w:tcPr/>
          <w:p>
            <w:pPr>
              <w:pStyle w:val="Compact"/>
            </w:pPr>
            <w:r>
              <w:t xml:space="preserve">0.733</w:t>
            </w:r>
          </w:p>
        </w:tc>
        <w:tc>
          <w:tcPr/>
          <w:p>
            <w:pPr>
              <w:pStyle w:val="Compact"/>
            </w:pPr>
            <w:r>
              <w:t xml:space="preserve">0.620</w:t>
            </w:r>
          </w:p>
        </w:tc>
        <w:tc>
          <w:tcPr/>
          <w:p>
            <w:pPr>
              <w:pStyle w:val="Compact"/>
            </w:pPr>
            <w:r>
              <w:t xml:space="preserve">0.632</w:t>
            </w:r>
          </w:p>
        </w:tc>
        <w:tc>
          <w:tcPr/>
          <w:p>
            <w:pPr>
              <w:pStyle w:val="Compact"/>
            </w:pPr>
            <w:r>
              <w:t xml:space="preserve">0.630</w:t>
            </w:r>
          </w:p>
        </w:tc>
        <w:tc>
          <w:tcPr/>
          <w:p>
            <w:pPr>
              <w:pStyle w:val="Compact"/>
            </w:pPr>
            <w:r>
              <w:t xml:space="preserve">+0.204</w:t>
            </w:r>
          </w:p>
        </w:tc>
        <w:tc>
          <w:tcPr/>
          <w:p>
            <w:pPr>
              <w:pStyle w:val="Compact"/>
            </w:pPr>
            <w:r>
              <w:t xml:space="preserve">+0.172</w:t>
            </w:r>
          </w:p>
        </w:tc>
        <w:tc>
          <w:tcPr/>
          <w:p>
            <w:pPr>
              <w:pStyle w:val="Compact"/>
            </w:pPr>
            <w:r>
              <w:t xml:space="preserve">88 %</w:t>
            </w:r>
          </w:p>
        </w:tc>
      </w:tr>
      <w:tr>
        <w:tc>
          <w:tcPr/>
          <w:p>
            <w:pPr>
              <w:pStyle w:val="Compact"/>
            </w:pPr>
            <w:r>
              <w:t xml:space="preserve">3 d</w:t>
            </w:r>
          </w:p>
        </w:tc>
        <w:tc>
          <w:tcPr/>
          <w:p>
            <w:pPr>
              <w:pStyle w:val="Compact"/>
            </w:pPr>
            <w:r>
              <w:t xml:space="preserve">1.581</w:t>
            </w:r>
          </w:p>
        </w:tc>
        <w:tc>
          <w:tcPr/>
          <w:p>
            <w:pPr>
              <w:pStyle w:val="Compact"/>
            </w:pPr>
            <w:r>
              <w:t xml:space="preserve">1.406</w:t>
            </w:r>
          </w:p>
        </w:tc>
        <w:tc>
          <w:tcPr/>
          <w:p>
            <w:pPr>
              <w:pStyle w:val="Compact"/>
            </w:pPr>
            <w:r>
              <w:t xml:space="preserve">1.409</w:t>
            </w:r>
          </w:p>
        </w:tc>
        <w:tc>
          <w:tcPr/>
          <w:p>
            <w:pPr>
              <w:pStyle w:val="Compact"/>
            </w:pPr>
            <w:r>
              <w:t xml:space="preserve">1.300</w:t>
            </w:r>
          </w:p>
        </w:tc>
        <w:tc>
          <w:tcPr/>
          <w:p>
            <w:pPr>
              <w:pStyle w:val="Compact"/>
            </w:pPr>
            <w:r>
              <w:t xml:space="preserve">1.324</w:t>
            </w:r>
          </w:p>
        </w:tc>
        <w:tc>
          <w:tcPr/>
          <w:p>
            <w:pPr>
              <w:pStyle w:val="Compact"/>
            </w:pPr>
            <w:r>
              <w:t xml:space="preserve">1.289</w:t>
            </w:r>
          </w:p>
        </w:tc>
        <w:tc>
          <w:tcPr/>
          <w:p>
            <w:pPr>
              <w:pStyle w:val="Compact"/>
            </w:pPr>
            <w:r>
              <w:t xml:space="preserve">+0.186</w:t>
            </w:r>
          </w:p>
        </w:tc>
        <w:tc>
          <w:tcPr/>
          <w:p>
            <w:pPr>
              <w:pStyle w:val="Compact"/>
            </w:pPr>
            <w:r>
              <w:t xml:space="preserve">+0.078</w:t>
            </w:r>
          </w:p>
        </w:tc>
        <w:tc>
          <w:tcPr/>
          <w:p>
            <w:pPr>
              <w:pStyle w:val="Compact"/>
            </w:pPr>
            <w:r>
              <w:t xml:space="preserve">94 %</w:t>
            </w:r>
          </w:p>
        </w:tc>
      </w:tr>
      <w:tr>
        <w:tc>
          <w:tcPr/>
          <w:p>
            <w:pPr>
              <w:pStyle w:val="Compact"/>
            </w:pPr>
            <w:r>
              <w:t xml:space="preserve">7 d</w:t>
            </w:r>
          </w:p>
        </w:tc>
        <w:tc>
          <w:tcPr/>
          <w:p>
            <w:pPr>
              <w:pStyle w:val="Compact"/>
            </w:pPr>
            <w:r>
              <w:t xml:space="preserve">2.235</w:t>
            </w:r>
          </w:p>
        </w:tc>
        <w:tc>
          <w:tcPr/>
          <w:p>
            <w:pPr>
              <w:pStyle w:val="Compact"/>
            </w:pPr>
            <w:r>
              <w:t xml:space="preserve">1.778</w:t>
            </w:r>
          </w:p>
        </w:tc>
        <w:tc>
          <w:tcPr/>
          <w:p>
            <w:pPr>
              <w:pStyle w:val="Compact"/>
            </w:pPr>
            <w:r>
              <w:t xml:space="preserve">1.805</w:t>
            </w:r>
          </w:p>
        </w:tc>
        <w:tc>
          <w:tcPr/>
          <w:p>
            <w:pPr>
              <w:pStyle w:val="Compact"/>
            </w:pPr>
            <w:r>
              <w:t xml:space="preserve">1.669</w:t>
            </w:r>
          </w:p>
        </w:tc>
        <w:tc>
          <w:tcPr/>
          <w:p>
            <w:pPr>
              <w:pStyle w:val="Compact"/>
            </w:pPr>
            <w:r>
              <w:t xml:space="preserve">1.750</w:t>
            </w:r>
          </w:p>
        </w:tc>
        <w:tc>
          <w:tcPr/>
          <w:p>
            <w:pPr>
              <w:pStyle w:val="Compact"/>
            </w:pPr>
            <w:r>
              <w:t xml:space="preserve">1.658</w:t>
            </w:r>
          </w:p>
        </w:tc>
        <w:tc>
          <w:tcPr/>
          <w:p>
            <w:pPr>
              <w:pStyle w:val="Compact"/>
            </w:pPr>
            <w:r>
              <w:t xml:space="preserve">+0.247</w:t>
            </w:r>
          </w:p>
        </w:tc>
        <w:tc>
          <w:tcPr/>
          <w:p>
            <w:pPr>
              <w:pStyle w:val="Compact"/>
            </w:pPr>
            <w:r>
              <w:t xml:space="preserve">+0.035</w:t>
            </w:r>
          </w:p>
        </w:tc>
        <w:tc>
          <w:tcPr/>
          <w:p>
            <w:pPr>
              <w:pStyle w:val="Compact"/>
            </w:pPr>
            <w:r>
              <w:t xml:space="preserve">92 %</w:t>
            </w:r>
          </w:p>
        </w:tc>
      </w:tr>
    </w:tbl>
    <w:p>
      <w:pPr>
        <w:pStyle w:val="BodyText"/>
      </w:pPr>
      <w:r>
        <w:t xml:space="preserve">(Medians are not bolded because ThermoRoute and the</w:t>
      </w:r>
      <w:r>
        <w:t xml:space="preserve"> </w:t>
      </w:r>
      <w:r>
        <w:rPr>
          <w:i/>
          <w:iCs/>
        </w:rPr>
        <w:t xml:space="preserve">global</w:t>
      </w:r>
      <w:r>
        <w:t xml:space="preserve"> </w:t>
      </w:r>
      <w:r>
        <w:t xml:space="preserve">LightGBM are a</w:t>
      </w:r>
      <w:r>
        <w:t xml:space="preserve"> </w:t>
      </w:r>
      <w:r>
        <w:t xml:space="preserve">statistical tie at 3–7 days and LightGBM leads at 1 day — see the paired tests</w:t>
      </w:r>
      <w:r>
        <w:t xml:space="preserve"> </w:t>
      </w:r>
      <w:r>
        <w:t xml:space="preserve">below and</w:t>
      </w:r>
      <w:r>
        <w:t xml:space="preserve"> </w:t>
      </w:r>
      <w:r>
        <w:rPr>
          <w:rStyle w:val="VerbatimChar"/>
        </w:rPr>
        <w:t xml:space="preserve">claim1_significance</w:t>
      </w:r>
      <w:r>
        <w:t xml:space="preserve">; the sub-0.02 °C median gaps are not individually</w:t>
      </w:r>
      <w:r>
        <w:t xml:space="preserve"> </w:t>
      </w:r>
      <w:r>
        <w:t xml:space="preserve">meaningful. We report</w:t>
      </w:r>
      <w:r>
        <w:t xml:space="preserve"> </w:t>
      </w:r>
      <w:r>
        <w:rPr>
          <w:b/>
          <w:bCs/>
        </w:rPr>
        <w:t xml:space="preserve">both</w:t>
      </w:r>
      <w:r>
        <w:t xml:space="preserve"> </w:t>
      </w:r>
      <w:r>
        <w:t xml:space="preserve">LightGBM configurations: the global model is the</w:t>
      </w:r>
      <w:r>
        <w:t xml:space="preserve"> </w:t>
      </w:r>
      <w:r>
        <w:t xml:space="preserve">stronger of the two on this panel — a</w:t>
      </w:r>
      <w:r>
        <w:t xml:space="preserve"> </w:t>
      </w:r>
      <w:r>
        <w:rPr>
          <w:i/>
          <w:iCs/>
        </w:rPr>
        <w:t xml:space="preserve">per-station</w:t>
      </w:r>
      <w:r>
        <w:t xml:space="preserve"> </w:t>
      </w:r>
      <w:r>
        <w:t xml:space="preserve">LightGBM over-fits the</w:t>
      </w:r>
      <w:r>
        <w:t xml:space="preserve"> </w:t>
      </w:r>
      <w:r>
        <w:t xml:space="preserve">limited per-gage record and is worse at 3–7 days (1.324 / 1.750) than both the</w:t>
      </w:r>
      <w:r>
        <w:t xml:space="preserve"> </w:t>
      </w:r>
      <w:r>
        <w:t xml:space="preserve">global model and ThermoRoute — so the parity comparison is against the stronger,</w:t>
      </w:r>
      <w:r>
        <w:t xml:space="preserve"> </w:t>
      </w:r>
      <w:r>
        <w:t xml:space="preserve">global LightGBM. air2stream is the fair</w:t>
      </w:r>
      <w:r>
        <w:t xml:space="preserve"> </w:t>
      </w:r>
      <w:r>
        <w:rPr>
          <w:i/>
          <w:iCs/>
        </w:rPr>
        <w:t xml:space="preserve">variant</w:t>
      </w:r>
      <w:r>
        <w:t xml:space="preserve"> </w:t>
      </w:r>
      <w:r>
        <w:t xml:space="preserve">of §3.5, calibrated on</w:t>
      </w:r>
      <w:r>
        <w:t xml:space="preserve"> </w:t>
      </w:r>
      <w:r>
        <w:t xml:space="preserve">observed-target days with the observed air temperature driving the first step.)</w:t>
      </w:r>
    </w:p>
    <w:p>
      <w:pPr>
        <w:pStyle w:val="BodyText"/>
      </w:pPr>
      <w:r>
        <w:t xml:space="preserve">ThermoRoute beats every</w:t>
      </w:r>
      <w:r>
        <w:t xml:space="preserve"> </w:t>
      </w:r>
      <w:r>
        <w:rPr>
          <w:i/>
          <w:iCs/>
        </w:rPr>
        <w:t xml:space="preserve">physics</w:t>
      </w:r>
      <w:r>
        <w:t xml:space="preserve"> </w:t>
      </w:r>
      <w:r>
        <w:t xml:space="preserve">baseline (persistence, damped persistence,</w:t>
      </w:r>
      <w:r>
        <w:t xml:space="preserve"> </w:t>
      </w:r>
      <w:r>
        <w:t xml:space="preserve">air2stream) at every horizon. Per-station Wilcoxon paired tests on the n=114</w:t>
      </w:r>
      <w:r>
        <w:t xml:space="preserve"> </w:t>
      </w:r>
      <w:r>
        <w:t xml:space="preserve">blind-test stations (per-seed protocol, Holm-adjusted across the 9 horizon ×</w:t>
      </w:r>
      <w:r>
        <w:t xml:space="preserve"> </w:t>
      </w:r>
      <w:r>
        <w:t xml:space="preserve">reference tests) give median skill +0.157 / +0.072 / +0.029 vs damped</w:t>
      </w:r>
      <w:r>
        <w:t xml:space="preserve"> </w:t>
      </w:r>
      <w:r>
        <w:t xml:space="preserve">persistence (p ≤ 3×10⁻¹⁶ at every horizon; ThermoRoute better at 85 / 89 / 89 %</w:t>
      </w:r>
      <w:r>
        <w:t xml:space="preserve"> </w:t>
      </w:r>
      <w:r>
        <w:t xml:space="preserve">of stations) and +0.186 / +0.180 / +0.243 vs raw persistence (p ≤ 2×10⁻¹⁸).</w:t>
      </w:r>
      <w:r>
        <w:t xml:space="preserve"> </w:t>
      </w:r>
      <w:r>
        <w:t xml:space="preserve">Both the station bootstrap and a</w:t>
      </w:r>
      <w:r>
        <w:t xml:space="preserve"> </w:t>
      </w:r>
      <w:r>
        <w:rPr>
          <w:b/>
          <w:bCs/>
        </w:rPr>
        <w:t xml:space="preserve">HUC2 cluster bootstrap</w:t>
      </w:r>
      <w:r>
        <w:t xml:space="preserve"> </w:t>
      </w:r>
      <w:r>
        <w:t xml:space="preserve">— which resamples</w:t>
      </w:r>
      <w:r>
        <w:t xml:space="preserve"> </w:t>
      </w:r>
      <w:r>
        <w:t xml:space="preserve">whole hydrologic regions rather than treating spatially-correlated stations as</w:t>
      </w:r>
      <w:r>
        <w:t xml:space="preserve"> </w:t>
      </w:r>
      <w:r>
        <w:t xml:space="preserve">independent — give 95 % CIs that exclude zero at every horizon</w:t>
      </w:r>
      <w:r>
        <w:t xml:space="preserve"> </w:t>
      </w:r>
      <w:r>
        <w:t xml:space="preserve">(Table</w:t>
      </w:r>
      <w:r>
        <w:t xml:space="preserve"> </w:t>
      </w:r>
      <w:r>
        <w:rPr>
          <w:rStyle w:val="VerbatimChar"/>
        </w:rPr>
        <w:t xml:space="preserve">claim1_significance</w:t>
      </w:r>
      <w:r>
        <w:t xml:space="preserve">).</w:t>
      </w:r>
    </w:p>
    <w:p>
      <w:pPr>
        <w:pStyle w:val="BodyText"/>
      </w:pPr>
      <w:r>
        <w:t xml:space="preserve">The strong gradient-boosting baseline (LightGBM) is the most interesting</w:t>
      </w:r>
      <w:r>
        <w:t xml:space="preserve"> </w:t>
      </w:r>
      <w:r>
        <w:t xml:space="preserve">comparison, and the honest result is a</w:t>
      </w:r>
      <w:r>
        <w:t xml:space="preserve"> </w:t>
      </w:r>
      <w:r>
        <w:rPr>
          <w:b/>
          <w:bCs/>
        </w:rPr>
        <w:t xml:space="preserve">near-tie that we do not oversell</w:t>
      </w:r>
      <w:r>
        <w:t xml:space="preserve">.</w:t>
      </w:r>
      <w:r>
        <w:t xml:space="preserve"> </w:t>
      </w:r>
      <w:r>
        <w:t xml:space="preserve">Under the</w:t>
      </w:r>
      <w:r>
        <w:t xml:space="preserve"> </w:t>
      </w:r>
      <w:r>
        <w:rPr>
          <w:i/>
          <w:iCs/>
        </w:rPr>
        <w:t xml:space="preserve">per-seed</w:t>
      </w:r>
      <w:r>
        <w:t xml:space="preserve"> </w:t>
      </w:r>
      <w:r>
        <w:t xml:space="preserve">protocol — each ThermoRoute seed scored as a single model</w:t>
      </w:r>
      <w:r>
        <w:t xml:space="preserve"> </w:t>
      </w:r>
      <w:r>
        <w:t xml:space="preserve">against the single-model LightGBM, so the model budgets match — LightGBM is</w:t>
      </w:r>
      <w:r>
        <w:t xml:space="preserve"> </w:t>
      </w:r>
      <w:r>
        <w:t xml:space="preserve">significantly more accurate at 1 day (median skill −0.044, Holm p = 1×10⁻¹⁴;</w:t>
      </w:r>
      <w:r>
        <w:t xml:space="preserve"> </w:t>
      </w:r>
      <w:r>
        <w:t xml:space="preserve">ThermoRoute wins only 10 % of stations), while at 3 and 7 days the two are</w:t>
      </w:r>
      <w:r>
        <w:t xml:space="preserve"> </w:t>
      </w:r>
      <w:r>
        <w:rPr>
          <w:b/>
          <w:bCs/>
        </w:rPr>
        <w:t xml:space="preserve">statistically indistinguishable</w:t>
      </w:r>
      <w:r>
        <w:t xml:space="preserve"> </w:t>
      </w:r>
      <w:r>
        <w:t xml:space="preserve">(median skill +0.002 and −0.002, Holm</w:t>
      </w:r>
      <w:r>
        <w:t xml:space="preserve"> </w:t>
      </w:r>
      <w:r>
        <w:t xml:space="preserve">p = 0.76 and 0.52; ThermoRoute wins 53 % and 46 % of stations). The deployed</w:t>
      </w:r>
      <w:r>
        <w:t xml:space="preserve"> </w:t>
      </w:r>
      <w:r>
        <w:t xml:space="preserve">5-seed</w:t>
      </w:r>
      <w:r>
        <w:t xml:space="preserve"> </w:t>
      </w:r>
      <w:r>
        <w:rPr>
          <w:i/>
          <w:iCs/>
        </w:rPr>
        <w:t xml:space="preserve">ensemble</w:t>
      </w:r>
      <w:r>
        <w:t xml:space="preserve"> </w:t>
      </w:r>
      <w:r>
        <w:t xml:space="preserve">— which carries the usual ensemble advantage over a single</w:t>
      </w:r>
      <w:r>
        <w:t xml:space="preserve"> </w:t>
      </w:r>
      <w:r>
        <w:t xml:space="preserve">model, and is labelled as such — shifts this marginally in ThermoRoute’s favour:</w:t>
      </w:r>
      <w:r>
        <w:t xml:space="preserve"> </w:t>
      </w:r>
      <w:r>
        <w:t xml:space="preserve">a small but significant edge at 3 days (median skill +0.009, Holm p = 3×10⁻⁵),</w:t>
      </w:r>
      <w:r>
        <w:t xml:space="preserve"> </w:t>
      </w:r>
      <w:r>
        <w:t xml:space="preserve">still behind at 1 day (−0.019) and tied at 7 days (+0.004, p = 0.09). We</w:t>
      </w:r>
      <w:r>
        <w:t xml:space="preserve"> </w:t>
      </w:r>
      <w:r>
        <w:t xml:space="preserve">therefore claim (i) a robust, significant improvement over the</w:t>
      </w:r>
      <w:r>
        <w:t xml:space="preserve"> </w:t>
      </w:r>
      <w:r>
        <w:rPr>
          <w:i/>
          <w:iCs/>
        </w:rPr>
        <w:t xml:space="preserve">physics</w:t>
      </w:r>
      <w:r>
        <w:t xml:space="preserve"> </w:t>
      </w:r>
      <w:r>
        <w:t xml:space="preserve">baselines at every horizon, and (ii)</w:t>
      </w:r>
      <w:r>
        <w:t xml:space="preserve"> </w:t>
      </w:r>
      <w:r>
        <w:rPr>
          <w:b/>
          <w:bCs/>
        </w:rPr>
        <w:t xml:space="preserve">parity, not superiority, against the</w:t>
      </w:r>
      <w:r>
        <w:rPr>
          <w:b/>
          <w:bCs/>
        </w:rPr>
        <w:t xml:space="preserve"> </w:t>
      </w:r>
      <w:r>
        <w:rPr>
          <w:b/>
          <w:bCs/>
        </w:rPr>
        <w:t xml:space="preserve">strong learned baseline</w:t>
      </w:r>
      <w:r>
        <w:t xml:space="preserve">: LightGBM is better at 1 day and the two are on par at</w:t>
      </w:r>
      <w:r>
        <w:t xml:space="preserve"> </w:t>
      </w:r>
      <w:r>
        <w:t xml:space="preserve">3–7 days once the seed budget is matched. We do</w:t>
      </w:r>
      <w:r>
        <w:t xml:space="preserve"> </w:t>
      </w:r>
      <w:r>
        <w:rPr>
          <w:b/>
          <w:bCs/>
        </w:rPr>
        <w:t xml:space="preserve">not</w:t>
      </w:r>
      <w:r>
        <w:t xml:space="preserve"> </w:t>
      </w:r>
      <w:r>
        <w:t xml:space="preserve">claim an advantage over</w:t>
      </w:r>
      <w:r>
        <w:t xml:space="preserve"> </w:t>
      </w:r>
      <w:r>
        <w:t xml:space="preserve">LightGBM, and we report the unfavourable short-horizon result openly. The</w:t>
      </w:r>
      <w:r>
        <w:t xml:space="preserve"> </w:t>
      </w:r>
      <w:r>
        <w:t xml:space="preserve">intermediate 40-station pilot gives the same qualitative ordering (Figure 2).</w:t>
      </w:r>
    </w:p>
    <w:p>
      <w:pPr>
        <w:pStyle w:val="CaptionedFigure"/>
      </w:pPr>
      <w:r>
        <w:drawing>
          <wp:inline>
            <wp:extent cx="5067300" cy="2176643"/>
            <wp:effectExtent b="0" l="0" r="0" t="0"/>
            <wp:docPr descr="Figure 2. Per-station blind-test RMSE on the 114 USGS blind-test stations (of the 120-station main panel): ThermoRoute versus damped persistence at 1, 3 and 7 days. Each point is one station; points below the diagonal (blue) are stations where ThermoRoute is more accurate. ThermoRoute wins 88 / 94 / 92 % of stations against damped persistence at 1 / 3 / 7 day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7664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114 USGS blind-test stations (of the 120-station main panel): ThermoRoute versus damped persistence at 1, 3 and 7 days. Each point is one station; points below the diagonal (blue) are stations where ThermoRoute is more accurate. ThermoRoute wins 88 / 94 / 92 % of stations against damped persistence at 1 / 3 / 7 days.</w:t>
      </w:r>
    </w:p>
    <w:bookmarkEnd w:id="25"/>
    <w:bookmarkStart w:id="26" w:name="X6c23a05b3f93a778ebaa62f71de63224e9e2f84"/>
    <w:p>
      <w:pPr>
        <w:pStyle w:val="Heading3"/>
      </w:pPr>
      <w:r>
        <w:t xml:space="preserve">4.3 Spatial transfer to unseen basins (Table B)</w:t>
      </w:r>
    </w:p>
    <w:p>
      <w:pPr>
        <w:pStyle w:val="FirstParagraph"/>
      </w:pPr>
      <w:r>
        <w:t xml:space="preserve">We use</w:t>
      </w:r>
      <w:r>
        <w:t xml:space="preserve"> </w:t>
      </w:r>
      <w:r>
        <w:rPr>
          <w:b/>
          <w:bCs/>
        </w:rPr>
        <w:t xml:space="preserve">4-fold leave-group-out (LGO)</w:t>
      </w:r>
      <w:r>
        <w:t xml:space="preserve"> </w:t>
      </w:r>
      <w:r>
        <w:t xml:space="preserve">on the 120-station panel: the stations are</w:t>
      </w:r>
      <w:r>
        <w:t xml:space="preserve"> </w:t>
      </w:r>
      <w:r>
        <w:t xml:space="preserve">partitioned into four folds, each fold trains a station-agnostic model on the</w:t>
      </w:r>
      <w:r>
        <w:t xml:space="preserve"> </w:t>
      </w:r>
      <w:r>
        <w:t xml:space="preserve">other 90 stations and forecasts the 30 held-out basins the model never saw during</w:t>
      </w:r>
      <w:r>
        <w:t xml:space="preserve"> </w:t>
      </w:r>
      <w:r>
        <w:t xml:space="preserve">training. Every station is thus held out exactly once, and we report the mean ±</w:t>
      </w:r>
      <w:r>
        <w:t xml:space="preserve"> </w:t>
      </w:r>
      <w:r>
        <w:t xml:space="preserve">standard deviation of transfer skill across the four folds (Table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horizon</w:t>
            </w:r>
          </w:p>
        </w:tc>
        <w:tc>
          <w:tcPr/>
          <w:p>
            <w:pPr>
              <w:pStyle w:val="Compact"/>
            </w:pPr>
            <w:r>
              <w:t xml:space="preserve">TR transfer RMSE</w:t>
            </w:r>
          </w:p>
        </w:tc>
        <w:tc>
          <w:tcPr/>
          <w:p>
            <w:pPr>
              <w:pStyle w:val="Compact"/>
            </w:pPr>
            <w:r>
              <w:t xml:space="preserve">skill vs persistence</w:t>
            </w:r>
          </w:p>
        </w:tc>
        <w:tc>
          <w:tcPr/>
          <w:p>
            <w:pPr>
              <w:pStyle w:val="Compact"/>
            </w:pPr>
            <w:r>
              <w:t xml:space="preserve">skill vs damped</w:t>
            </w:r>
          </w:p>
        </w:tc>
      </w:tr>
      <w:tr>
        <w:tc>
          <w:tcPr/>
          <w:p>
            <w:pPr>
              <w:pStyle w:val="Compact"/>
            </w:pPr>
            <w:r>
              <w:t xml:space="preserve">1 d</w:t>
            </w:r>
          </w:p>
        </w:tc>
        <w:tc>
          <w:tcPr/>
          <w:p>
            <w:pPr>
              <w:pStyle w:val="Compact"/>
            </w:pPr>
            <w:r>
              <w:t xml:space="preserve">0.696</w:t>
            </w:r>
          </w:p>
        </w:tc>
        <w:tc>
          <w:tcPr/>
          <w:p>
            <w:pPr>
              <w:pStyle w:val="Compact"/>
            </w:pPr>
            <w:r>
              <w:rPr>
                <w:b/>
                <w:bCs/>
              </w:rPr>
              <w:t xml:space="preserve">+0.173 ± 0.021</w:t>
            </w:r>
          </w:p>
        </w:tc>
        <w:tc>
          <w:tcPr/>
          <w:p>
            <w:pPr>
              <w:pStyle w:val="Compact"/>
            </w:pPr>
            <w:r>
              <w:t xml:space="preserve">+0.140 ± 0.023</w:t>
            </w:r>
          </w:p>
        </w:tc>
      </w:tr>
      <w:tr>
        <w:tc>
          <w:tcPr/>
          <w:p>
            <w:pPr>
              <w:pStyle w:val="Compact"/>
            </w:pPr>
            <w:r>
              <w:t xml:space="preserve">3 d</w:t>
            </w:r>
          </w:p>
        </w:tc>
        <w:tc>
          <w:tcPr/>
          <w:p>
            <w:pPr>
              <w:pStyle w:val="Compact"/>
            </w:pPr>
            <w:r>
              <w:t xml:space="preserve">1.361</w:t>
            </w:r>
          </w:p>
        </w:tc>
        <w:tc>
          <w:tcPr/>
          <w:p>
            <w:pPr>
              <w:pStyle w:val="Compact"/>
            </w:pPr>
            <w:r>
              <w:rPr>
                <w:b/>
                <w:bCs/>
              </w:rPr>
              <w:t xml:space="preserve">+0.169 ± 0.010</w:t>
            </w:r>
          </w:p>
        </w:tc>
        <w:tc>
          <w:tcPr/>
          <w:p>
            <w:pPr>
              <w:pStyle w:val="Compact"/>
            </w:pPr>
            <w:r>
              <w:t xml:space="preserve">+0.057 ± 0.012</w:t>
            </w:r>
          </w:p>
        </w:tc>
      </w:tr>
      <w:tr>
        <w:tc>
          <w:tcPr/>
          <w:p>
            <w:pPr>
              <w:pStyle w:val="Compact"/>
            </w:pPr>
            <w:r>
              <w:t xml:space="preserve">7 d</w:t>
            </w:r>
          </w:p>
        </w:tc>
        <w:tc>
          <w:tcPr/>
          <w:p>
            <w:pPr>
              <w:pStyle w:val="Compact"/>
            </w:pPr>
            <w:r>
              <w:t xml:space="preserve">1.654</w:t>
            </w:r>
          </w:p>
        </w:tc>
        <w:tc>
          <w:tcPr/>
          <w:p>
            <w:pPr>
              <w:pStyle w:val="Compact"/>
            </w:pPr>
            <w:r>
              <w:rPr>
                <w:b/>
                <w:bCs/>
              </w:rPr>
              <w:t xml:space="preserve">+0.241 ± 0.011</w:t>
            </w:r>
          </w:p>
        </w:tc>
        <w:tc>
          <w:tcPr/>
          <w:p>
            <w:pPr>
              <w:pStyle w:val="Compact"/>
            </w:pPr>
            <w:r>
              <w:t xml:space="preserve">+0.028 ± 0.011</w:t>
            </w:r>
          </w:p>
        </w:tc>
      </w:tr>
    </w:tbl>
    <w:p>
      <w:pPr>
        <w:pStyle w:val="BodyText"/>
      </w:pPr>
      <w:r>
        <w:t xml:space="preserve">ThermoRoute transfers to unseen basins with a skill over persistence of</w:t>
      </w:r>
      <w:r>
        <w:t xml:space="preserve"> </w:t>
      </w:r>
      <w:r>
        <w:t xml:space="preserve">+0.17 / +0.17 / +0.24 at 1 / 3 / 7 days and small across-fold variability</w:t>
      </w:r>
      <w:r>
        <w:t xml:space="preserve"> </w:t>
      </w:r>
      <w:r>
        <w:t xml:space="preserve">(std ≤ 0.023), and it also beats</w:t>
      </w:r>
      <w:r>
        <w:t xml:space="preserve"> </w:t>
      </w:r>
      <w:r>
        <w:rPr>
          <w:i/>
          <w:iCs/>
        </w:rPr>
        <w:t xml:space="preserve">damped</w:t>
      </w:r>
      <w:r>
        <w:t xml:space="preserve"> </w:t>
      </w:r>
      <w:r>
        <w:t xml:space="preserve">persistence on the held-out basins at</w:t>
      </w:r>
      <w:r>
        <w:t xml:space="preserve"> </w:t>
      </w:r>
      <w:r>
        <w:t xml:space="preserve">every lead. The transfer skill is close to the in-sample skill of §4.2, i.e. the</w:t>
      </w:r>
      <w:r>
        <w:t xml:space="preserve"> </w:t>
      </w:r>
      <w:r>
        <w:t xml:space="preserve">station-agnostic model loses little when applied to basins outside its training</w:t>
      </w:r>
      <w:r>
        <w:t xml:space="preserve"> </w:t>
      </w:r>
      <w:r>
        <w:t xml:space="preserve">set.</w:t>
      </w:r>
    </w:p>
    <w:p>
      <w:pPr>
        <w:pStyle w:val="BodyText"/>
      </w:pPr>
      <w:r>
        <w:rPr>
          <w:b/>
          <w:bCs/>
        </w:rPr>
        <w:t xml:space="preserve">Leave-region-out, benchmarked against the strong learned baseline.</w:t>
      </w:r>
      <w:r>
        <w:t xml:space="preserve"> </w:t>
      </w:r>
      <w:r>
        <w:t xml:space="preserve">A random</w:t>
      </w:r>
      <w:r>
        <w:t xml:space="preserve"> </w:t>
      </w:r>
      <w:r>
        <w:t xml:space="preserve">station split can leak: gages on the same river and in the same HUC2 region</w:t>
      </w:r>
      <w:r>
        <w:t xml:space="preserve"> </w:t>
      </w:r>
      <w:r>
        <w:t xml:space="preserve">straddle train and test. We therefore also run a</w:t>
      </w:r>
      <w:r>
        <w:t xml:space="preserve"> </w:t>
      </w:r>
      <w:r>
        <w:rPr>
          <w:b/>
          <w:bCs/>
        </w:rPr>
        <w:t xml:space="preserve">leave-HUC2-region-out</w:t>
      </w:r>
      <w:r>
        <w:t xml:space="preserve"> </w:t>
      </w:r>
      <w:r>
        <w:t xml:space="preserve">protocol — the 16 regions are packed into four folds and</w:t>
      </w:r>
      <w:r>
        <w:t xml:space="preserve"> </w:t>
      </w:r>
      <w:r>
        <w:rPr>
          <w:i/>
          <w:iCs/>
        </w:rPr>
        <w:t xml:space="preserve">whole regions</w:t>
      </w:r>
      <w:r>
        <w:t xml:space="preserve"> </w:t>
      </w:r>
      <w:r>
        <w:t xml:space="preserve">are held</w:t>
      </w:r>
      <w:r>
        <w:t xml:space="preserve"> </w:t>
      </w:r>
      <w:r>
        <w:t xml:space="preserve">out, so no held-out gage shares a river or region with training (mean distance</w:t>
      </w:r>
      <w:r>
        <w:t xml:space="preserve"> </w:t>
      </w:r>
      <w:r>
        <w:t xml:space="preserve">from a held-out gage to its nearest training gage rises from ≈0 to</w:t>
      </w:r>
      <w:r>
        <w:t xml:space="preserve"> </w:t>
      </w:r>
      <w:r>
        <w:rPr>
          <w:b/>
          <w:bCs/>
        </w:rPr>
        <w:t xml:space="preserve">358 km</w:t>
      </w:r>
      <w:r>
        <w:t xml:space="preserve">) —</w:t>
      </w:r>
      <w:r>
        <w:t xml:space="preserve"> </w:t>
      </w:r>
      <w:r>
        <w:t xml:space="preserve">and, crucially, we run the</w:t>
      </w:r>
      <w:r>
        <w:t xml:space="preserve"> </w:t>
      </w:r>
      <w:r>
        <w:rPr>
          <w:b/>
          <w:bCs/>
        </w:rPr>
        <w:t xml:space="preserve">global LightGBM under the identical protocol</w:t>
      </w:r>
      <w:r>
        <w:t xml:space="preserve"> </w:t>
      </w:r>
      <w:r>
        <w:t xml:space="preserve">so</w:t>
      </w:r>
      <w:r>
        <w:t xml:space="preserve"> </w:t>
      </w:r>
      <w:r>
        <w:t xml:space="preserve">transfer is measured against the strong learned baseline, not only persistence</w:t>
      </w:r>
      <w:r>
        <w:t xml:space="preserve"> </w:t>
      </w:r>
      <w:r>
        <w:t xml:space="preserve">(Table C):</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horizon</w:t>
            </w:r>
          </w:p>
        </w:tc>
        <w:tc>
          <w:tcPr/>
          <w:p>
            <w:pPr>
              <w:pStyle w:val="Compact"/>
            </w:pPr>
            <w:r>
              <w:t xml:space="preserve">ThermoRoute RMSE</w:t>
            </w:r>
          </w:p>
        </w:tc>
        <w:tc>
          <w:tcPr/>
          <w:p>
            <w:pPr>
              <w:pStyle w:val="Compact"/>
            </w:pPr>
            <w:r>
              <w:t xml:space="preserve">LightGBM RMSE</w:t>
            </w:r>
          </w:p>
        </w:tc>
        <w:tc>
          <w:tcPr/>
          <w:p>
            <w:pPr>
              <w:pStyle w:val="Compact"/>
            </w:pPr>
            <w:r>
              <w:t xml:space="preserve">TR skill vs persist</w:t>
            </w:r>
          </w:p>
        </w:tc>
        <w:tc>
          <w:tcPr/>
          <w:p>
            <w:pPr>
              <w:pStyle w:val="Compact"/>
            </w:pPr>
            <w:r>
              <w:t xml:space="preserve">LGB skill vs persist</w:t>
            </w:r>
          </w:p>
        </w:tc>
        <w:tc>
          <w:tcPr/>
          <w:p>
            <w:pPr>
              <w:pStyle w:val="Compact"/>
            </w:pPr>
            <w:r>
              <w:t xml:space="preserve">TR−LGB paired Wilcoxon p</w:t>
            </w:r>
          </w:p>
        </w:tc>
      </w:tr>
      <w:tr>
        <w:tc>
          <w:tcPr/>
          <w:p>
            <w:pPr>
              <w:pStyle w:val="Compact"/>
            </w:pPr>
            <w:r>
              <w:t xml:space="preserve">1 d</w:t>
            </w:r>
          </w:p>
        </w:tc>
        <w:tc>
          <w:tcPr/>
          <w:p>
            <w:pPr>
              <w:pStyle w:val="Compact"/>
            </w:pPr>
            <w:r>
              <w:t xml:space="preserve">0.667</w:t>
            </w:r>
          </w:p>
        </w:tc>
        <w:tc>
          <w:tcPr/>
          <w:p>
            <w:pPr>
              <w:pStyle w:val="Compact"/>
            </w:pPr>
            <w:r>
              <w:t xml:space="preserve">0.650</w:t>
            </w:r>
          </w:p>
        </w:tc>
        <w:tc>
          <w:tcPr/>
          <w:p>
            <w:pPr>
              <w:pStyle w:val="Compact"/>
            </w:pPr>
            <w:r>
              <w:t xml:space="preserve">+0.151</w:t>
            </w:r>
          </w:p>
        </w:tc>
        <w:tc>
          <w:tcPr/>
          <w:p>
            <w:pPr>
              <w:pStyle w:val="Compact"/>
            </w:pPr>
            <w:r>
              <w:t xml:space="preserve">+0.175</w:t>
            </w:r>
          </w:p>
        </w:tc>
        <w:tc>
          <w:tcPr/>
          <w:p>
            <w:pPr>
              <w:pStyle w:val="Compact"/>
            </w:pPr>
            <w:r>
              <w:t xml:space="preserve">5×10⁻⁹ (LGB better)</w:t>
            </w:r>
          </w:p>
        </w:tc>
      </w:tr>
      <w:tr>
        <w:tc>
          <w:tcPr/>
          <w:p>
            <w:pPr>
              <w:pStyle w:val="Compact"/>
            </w:pPr>
            <w:r>
              <w:t xml:space="preserve">3 d</w:t>
            </w:r>
          </w:p>
        </w:tc>
        <w:tc>
          <w:tcPr/>
          <w:p>
            <w:pPr>
              <w:pStyle w:val="Compact"/>
            </w:pPr>
            <w:r>
              <w:t xml:space="preserve">1.323</w:t>
            </w:r>
          </w:p>
        </w:tc>
        <w:tc>
          <w:tcPr/>
          <w:p>
            <w:pPr>
              <w:pStyle w:val="Compact"/>
            </w:pPr>
            <w:r>
              <w:t xml:space="preserve">1.321</w:t>
            </w:r>
          </w:p>
        </w:tc>
        <w:tc>
          <w:tcPr/>
          <w:p>
            <w:pPr>
              <w:pStyle w:val="Compact"/>
            </w:pPr>
            <w:r>
              <w:t xml:space="preserve">+0.169</w:t>
            </w:r>
          </w:p>
        </w:tc>
        <w:tc>
          <w:tcPr/>
          <w:p>
            <w:pPr>
              <w:pStyle w:val="Compact"/>
            </w:pPr>
            <w:r>
              <w:t xml:space="preserve">+0.168</w:t>
            </w:r>
          </w:p>
        </w:tc>
        <w:tc>
          <w:tcPr/>
          <w:p>
            <w:pPr>
              <w:pStyle w:val="Compact"/>
            </w:pPr>
            <w:r>
              <w:t xml:space="preserve">0.95 (tie)</w:t>
            </w:r>
          </w:p>
        </w:tc>
      </w:tr>
      <w:tr>
        <w:tc>
          <w:tcPr/>
          <w:p>
            <w:pPr>
              <w:pStyle w:val="Compact"/>
            </w:pPr>
            <w:r>
              <w:t xml:space="preserve">7 d</w:t>
            </w:r>
          </w:p>
        </w:tc>
        <w:tc>
          <w:tcPr/>
          <w:p>
            <w:pPr>
              <w:pStyle w:val="Compact"/>
            </w:pPr>
            <w:r>
              <w:t xml:space="preserve">1.675</w:t>
            </w:r>
          </w:p>
        </w:tc>
        <w:tc>
          <w:tcPr/>
          <w:p>
            <w:pPr>
              <w:pStyle w:val="Compact"/>
            </w:pPr>
            <w:r>
              <w:t xml:space="preserve">1.683</w:t>
            </w:r>
          </w:p>
        </w:tc>
        <w:tc>
          <w:tcPr/>
          <w:p>
            <w:pPr>
              <w:pStyle w:val="Compact"/>
            </w:pPr>
            <w:r>
              <w:t xml:space="preserve">+0.237</w:t>
            </w:r>
          </w:p>
        </w:tc>
        <w:tc>
          <w:tcPr/>
          <w:p>
            <w:pPr>
              <w:pStyle w:val="Compact"/>
            </w:pPr>
            <w:r>
              <w:t xml:space="preserve">+0.232</w:t>
            </w:r>
          </w:p>
        </w:tc>
        <w:tc>
          <w:tcPr/>
          <w:p>
            <w:pPr>
              <w:pStyle w:val="Compact"/>
            </w:pPr>
            <w:r>
              <w:t xml:space="preserve">1×10⁻³ (TR better)</w:t>
            </w:r>
          </w:p>
        </w:tc>
      </w:tr>
    </w:tbl>
    <w:p>
      <w:pPr>
        <w:pStyle w:val="BodyText"/>
      </w:pPr>
      <w:r>
        <w:t xml:space="preserve">Both models transfer far out of region and both beat persistence/damped by a</w:t>
      </w:r>
      <w:r>
        <w:t xml:space="preserve"> </w:t>
      </w:r>
      <w:r>
        <w:t xml:space="preserve">wide margin;</w:t>
      </w:r>
      <w:r>
        <w:t xml:space="preserve"> </w:t>
      </w:r>
      <w:r>
        <w:rPr>
          <w:b/>
          <w:bCs/>
        </w:rPr>
        <w:t xml:space="preserve">between them the result is a horizon-conditional tie</w:t>
      </w:r>
      <w:r>
        <w:t xml:space="preserve"> </w:t>
      </w:r>
      <w:r>
        <w:t xml:space="preserve">— LightGBM</w:t>
      </w:r>
      <w:r>
        <w:t xml:space="preserve"> </w:t>
      </w:r>
      <w:r>
        <w:t xml:space="preserve">is better at 1 day, the two are indistinguishable at 3 days, and ThermoRoute is</w:t>
      </w:r>
      <w:r>
        <w:t xml:space="preserve"> </w:t>
      </w:r>
      <w:r>
        <w:t xml:space="preserve">better at 7 days (the same ordering as in-sample, §4.2). We therefore do</w:t>
      </w:r>
      <w:r>
        <w:t xml:space="preserve"> </w:t>
      </w:r>
      <w:r>
        <w:rPr>
          <w:b/>
          <w:bCs/>
        </w:rPr>
        <w:t xml:space="preserve">not</w:t>
      </w:r>
      <w:r>
        <w:t xml:space="preserve"> </w:t>
      </w:r>
      <w:r>
        <w:t xml:space="preserve">claim that ThermoRoute generalises to ungauged basins</w:t>
      </w:r>
      <w:r>
        <w:t xml:space="preserve"> </w:t>
      </w:r>
      <w:r>
        <w:rPr>
          <w:i/>
          <w:iCs/>
        </w:rPr>
        <w:t xml:space="preserve">better than</w:t>
      </w:r>
      <w:r>
        <w:t xml:space="preserve"> </w:t>
      </w:r>
      <w:r>
        <w:t xml:space="preserve">the strong</w:t>
      </w:r>
      <w:r>
        <w:t xml:space="preserve"> </w:t>
      </w:r>
      <w:r>
        <w:t xml:space="preserve">learned baseline; we claim that a physics-biased, station-agnostic model transfers</w:t>
      </w:r>
      <w:r>
        <w:t xml:space="preserve"> </w:t>
      </w:r>
      <w:r>
        <w:rPr>
          <w:i/>
          <w:iCs/>
        </w:rPr>
        <w:t xml:space="preserve">as well as</w:t>
      </w:r>
      <w:r>
        <w:t xml:space="preserve"> </w:t>
      </w:r>
      <w:r>
        <w:t xml:space="preserve">a global GBDT while additionally carrying the calibrated intervals</w:t>
      </w:r>
      <w:r>
        <w:t xml:space="preserve"> </w:t>
      </w:r>
      <w:r>
        <w:t xml:space="preserve">(§4.4), the bounded-degradation guarantee (Proposition 1) and the interpretable</w:t>
      </w:r>
      <w:r>
        <w:t xml:space="preserve"> </w:t>
      </w:r>
      <w:r>
        <w:t xml:space="preserve">drivers (§4.5) that the GBDT does not. This honest delineation — parity in point</w:t>
      </w:r>
      <w:r>
        <w:t xml:space="preserve"> </w:t>
      </w:r>
      <w:r>
        <w:t xml:space="preserve">accuracy, advantage in the properties that matter for deployment — is the</w:t>
      </w:r>
      <w:r>
        <w:t xml:space="preserve"> </w:t>
      </w:r>
      <w:r>
        <w:t xml:space="preserve">paper’s central position.</w:t>
      </w:r>
    </w:p>
    <w:bookmarkEnd w:id="26"/>
    <w:bookmarkStart w:id="30" w:name="calibration-warnings-and-decision-value"/>
    <w:p>
      <w:pPr>
        <w:pStyle w:val="Heading3"/>
      </w:pPr>
      <w:r>
        <w:t xml:space="preserve">4.4 Calibration, warnings and decision value</w:t>
      </w:r>
    </w:p>
    <w:p>
      <w:pPr>
        <w:pStyle w:val="FirstParagraph"/>
      </w:pPr>
      <w:r>
        <w:rPr>
          <w:b/>
          <w:bCs/>
        </w:rPr>
        <w:t xml:space="preserve">Calibration.</w:t>
      </w:r>
      <w:r>
        <w:t xml:space="preserve"> </w:t>
      </w:r>
      <w:r>
        <w:t xml:space="preserve">Conformalised Quantile Regression (Romano et al., 2019) on the</w:t>
      </w:r>
      <w:r>
        <w:t xml:space="preserve"> </w:t>
      </w:r>
      <w:r>
        <w:t xml:space="preserve">2018 calibration year widens raw quantiles per (station × horizon). The formal</w:t>
      </w:r>
      <w:r>
        <w:t xml:space="preserve"> </w:t>
      </w:r>
      <w:r>
        <w:t xml:space="preserve">finite-sample (1−α) coverage guarantee of split-CQR holds only under</w:t>
      </w:r>
      <w:r>
        <w:t xml:space="preserve"> </w:t>
      </w:r>
      <w:r>
        <w:t xml:space="preserve">exchangeability between calibration and test; in our temporal split the test</w:t>
      </w:r>
      <w:r>
        <w:t xml:space="preserve"> </w:t>
      </w:r>
      <w:r>
        <w:t xml:space="preserve">years (2019–2020) follow the calibration year, so the assumption is</w:t>
      </w:r>
      <w:r>
        <w:t xml:space="preserve"> </w:t>
      </w:r>
      <w:r>
        <w:rPr>
          <w:b/>
          <w:bCs/>
        </w:rPr>
        <w:t xml:space="preserve">not</w:t>
      </w:r>
      <w:r>
        <w:t xml:space="preserve"> </w:t>
      </w:r>
      <w:r>
        <w:t xml:space="preserve">strictly satisfied — we therefore report</w:t>
      </w:r>
      <w:r>
        <w:t xml:space="preserve"> </w:t>
      </w:r>
      <w:r>
        <w:rPr>
          <w:i/>
          <w:iCs/>
        </w:rPr>
        <w:t xml:space="preserve">empirical</w:t>
      </w:r>
      <w:r>
        <w:t xml:space="preserve"> </w:t>
      </w:r>
      <w:r>
        <w:t xml:space="preserve">coverage rather than a</w:t>
      </w:r>
      <w:r>
        <w:t xml:space="preserve"> </w:t>
      </w:r>
      <w:r>
        <w:t xml:space="preserve">guarantee. ThermoRoute’s 90 % intervals achieve</w:t>
      </w:r>
      <w:r>
        <w:t xml:space="preserve"> </w:t>
      </w:r>
      <w:r>
        <w:rPr>
          <w:b/>
          <w:bCs/>
        </w:rPr>
        <w:t xml:space="preserve">PICP 0.904 / 0.909 / 0.911</w:t>
      </w:r>
      <w:r>
        <w:t xml:space="preserve"> </w:t>
      </w:r>
      <w:r>
        <w:t xml:space="preserve">at 1 / 3 / 7 days, with</w:t>
      </w:r>
      <w:r>
        <w:t xml:space="preserve"> </w:t>
      </w:r>
      <w:r>
        <w:rPr>
          <w:b/>
          <w:bCs/>
        </w:rPr>
        <w:t xml:space="preserve">96 / 88 / 86 %</w:t>
      </w:r>
      <w:r>
        <w:t xml:space="preserve"> </w:t>
      </w:r>
      <w:r>
        <w:t xml:space="preserve">of the n=114 blind-test stations</w:t>
      </w:r>
      <w:r>
        <w:t xml:space="preserve"> </w:t>
      </w:r>
      <w:r>
        <w:t xml:space="preserve">falling within ±0.05 of nominal (Wilson 95 % CIs: 91–99 %, 80–93 %, 78–91 %;</w:t>
      </w:r>
      <w:r>
        <w:t xml:space="preserve"> </w:t>
      </w:r>
      <w:r>
        <w:t xml:space="preserve">Figure 3). LightGBM is similarly calibrated (PICP 0.906 / 0.906 / 0.907). On the</w:t>
      </w:r>
      <w:r>
        <w:t xml:space="preserve"> </w:t>
      </w:r>
      <w:r>
        <w:t xml:space="preserve">smaller 40-station pilot the same model is calibrated at the</w:t>
      </w:r>
      <w:r>
        <w:t xml:space="preserve"> </w:t>
      </w:r>
      <w:r>
        <w:rPr>
          <w:i/>
          <w:iCs/>
        </w:rPr>
        <w:t xml:space="preserve">population</w:t>
      </w:r>
      <w:r>
        <w:t xml:space="preserve"> </w:t>
      </w:r>
      <w:r>
        <w:t xml:space="preserve">level</w:t>
      </w:r>
      <w:r>
        <w:t xml:space="preserve"> </w:t>
      </w:r>
      <w:r>
        <w:t xml:space="preserve">(median PICP 0.90–0.91) with a wider per-station spread (n=36 per-station PICP</w:t>
      </w:r>
      <w:r>
        <w:t xml:space="preserve"> </w:t>
      </w:r>
      <w:r>
        <w:t xml:space="preserve">range 0.81–0.97), and on the three-station cascade the spread is wider still</w:t>
      </w:r>
      <w:r>
        <w:t xml:space="preserve"> </w:t>
      </w:r>
      <w:r>
        <w:t xml:space="preserve">(0.79–0.91, §4.1), so we treat tight per-station coverage as a property of the</w:t>
      </w:r>
      <w:r>
        <w:t xml:space="preserve"> </w:t>
      </w:r>
      <w:r>
        <w:t xml:space="preserve">large-sample regime, not a guarantee.</w:t>
      </w:r>
    </w:p>
    <w:p>
      <w:pPr>
        <w:pStyle w:val="BodyText"/>
      </w:pPr>
      <w:r>
        <w:rPr>
          <w:b/>
          <w:bCs/>
        </w:rPr>
        <w:t xml:space="preserve">High-temperature exceedance warnings</w:t>
      </w:r>
      <w:r>
        <w:t xml:space="preserve"> </w:t>
      </w:r>
      <w:r>
        <w:t xml:space="preserve">have clear positive skill on the</w:t>
      </w:r>
      <w:r>
        <w:t xml:space="preserve"> </w:t>
      </w:r>
      <w:r>
        <w:t xml:space="preserve">120-station panel (Brier-skill +0.74 / +0.60 / +0.51; AUPRC 0.92 / 0.82 / 0.74</w:t>
      </w:r>
      <w:r>
        <w:t xml:space="preserve"> </w:t>
      </w:r>
      <w:r>
        <w:t xml:space="preserve">at 1 / 3 / 7 d), slightly ahead of LightGBM (+0.73 / +0.57 / +0.49;</w:t>
      </w:r>
      <w:r>
        <w:t xml:space="preserve"> </w:t>
      </w:r>
      <w:r>
        <w:t xml:space="preserve">AUPRC 0.92 / 0.79 / 0.72). The exceedance threshold is</w:t>
      </w:r>
      <w:r>
        <w:t xml:space="preserve"> </w:t>
      </w:r>
      <w:r>
        <w:rPr>
          <w:b/>
          <w:bCs/>
        </w:rPr>
        <w:t xml:space="preserve">statistical</w:t>
      </w:r>
      <w:r>
        <w:t xml:space="preserve">, set as the</w:t>
      </w:r>
      <w:r>
        <w:t xml:space="preserve"> </w:t>
      </w:r>
      <w:r>
        <w:t xml:space="preserve">station-specific train-period 90th percentile of WTEMP — it is not a biological</w:t>
      </w:r>
      <w:r>
        <w:t xml:space="preserve"> </w:t>
      </w:r>
      <w:r>
        <w:t xml:space="preserve">or regulatory limit and the AUPRC numbers should be read accordingly.</w:t>
      </w:r>
    </w:p>
    <w:p>
      <w:pPr>
        <w:pStyle w:val="BodyText"/>
      </w:pPr>
      <w:r>
        <w:rPr>
          <w:b/>
          <w:bCs/>
        </w:rPr>
        <w:t xml:space="preserve">Decision value (illustrative).</w:t>
      </w:r>
      <w:r>
        <w:t xml:space="preserve"> </w:t>
      </w:r>
      <w:r>
        <w:t xml:space="preserve">On a generic cost–loss decision model (Wilks</w:t>
      </w:r>
      <w:r>
        <w:t xml:space="preserve"> </w:t>
      </w:r>
      <w:r>
        <w:t xml:space="preserve">2011), the calibrated probabilistic warning captures more relative economic</w:t>
      </w:r>
      <w:r>
        <w:t xml:space="preserve"> </w:t>
      </w:r>
      <w:r>
        <w:t xml:space="preserve">value than a deterministic persistence-threshold warning across most cost–loss</w:t>
      </w:r>
      <w:r>
        <w:t xml:space="preserve"> </w:t>
      </w:r>
      <w:r>
        <w:t xml:space="preserve">ratios α: peak REV is</w:t>
      </w:r>
      <w:r>
        <w:t xml:space="preserve"> </w:t>
      </w:r>
      <w:r>
        <w:rPr>
          <w:b/>
          <w:bCs/>
        </w:rPr>
        <w:t xml:space="preserve">0.91 / 0.85 / 0.82</w:t>
      </w:r>
      <w:r>
        <w:t xml:space="preserve"> </w:t>
      </w:r>
      <w:r>
        <w:t xml:space="preserve">for ThermoRoute (1/3/7 d) versus</w:t>
      </w:r>
      <w:r>
        <w:t xml:space="preserve"> </w:t>
      </w:r>
      <w:r>
        <w:t xml:space="preserve">0.84 / 0.71 / 0.59 for persistence, computed at a shared base rate (the</w:t>
      </w:r>
      <w:r>
        <w:t xml:space="preserve"> </w:t>
      </w:r>
      <w:r>
        <w:t xml:space="preserve">intersection of test keys defined in §3.5) and over the full α grid 0.01–0.99;</w:t>
      </w:r>
      <w:r>
        <w:t xml:space="preserve"> </w:t>
      </w:r>
      <w:r>
        <w:t xml:space="preserve">LightGBM is comparable (0.90 / 0.84 / 0.81). On the earlier 40-station pilot we</w:t>
      </w:r>
      <w:r>
        <w:t xml:space="preserve"> </w:t>
      </w:r>
      <w:r>
        <w:t xml:space="preserve">did</w:t>
      </w:r>
      <w:r>
        <w:t xml:space="preserve"> </w:t>
      </w:r>
      <w:r>
        <w:rPr>
          <w:b/>
          <w:bCs/>
        </w:rPr>
        <w:t xml:space="preserve">not</w:t>
      </w:r>
      <w:r>
        <w:t xml:space="preserve"> </w:t>
      </w:r>
      <w:r>
        <w:t xml:space="preserve">see this advantage — the 120-station result therefore corrects an</w:t>
      </w:r>
      <w:r>
        <w:t xml:space="preserve"> </w:t>
      </w:r>
      <w:r>
        <w:t xml:space="preserve">earlier negative interim finding and is included here as the replicable</w:t>
      </w:r>
      <w:r>
        <w:t xml:space="preserve"> </w:t>
      </w:r>
      <w:r>
        <w:t xml:space="preserve">finding. We caution that the cost–loss model is generic, the threshold is</w:t>
      </w:r>
      <w:r>
        <w:t xml:space="preserve"> </w:t>
      </w:r>
      <w:r>
        <w:t xml:space="preserve">statistical (above), and a true management value calculation would require</w:t>
      </w:r>
      <w:r>
        <w:t xml:space="preserve"> </w:t>
      </w:r>
      <w:r>
        <w:t xml:space="preserve">biological/regulatory thresholds and station-specific cost ratios; this section</w:t>
      </w:r>
      <w:r>
        <w:t xml:space="preserve"> </w:t>
      </w:r>
      <w:r>
        <w:t xml:space="preserve">is a</w:t>
      </w:r>
      <w:r>
        <w:t xml:space="preserve"> </w:t>
      </w:r>
      <w:r>
        <w:rPr>
          <w:i/>
          <w:iCs/>
        </w:rPr>
        <w:t xml:space="preserve">methodological illustration</w:t>
      </w:r>
      <w:r>
        <w:t xml:space="preserve"> </w:t>
      </w:r>
      <w:r>
        <w:t xml:space="preserve">of the probabilistic-vs-deterministic gap,</w:t>
      </w:r>
      <w:r>
        <w:t xml:space="preserve"> </w:t>
      </w:r>
      <w:r>
        <w:t xml:space="preserve">not a demonstration of operational management value.</w:t>
      </w:r>
    </w:p>
    <w:p>
      <w:pPr>
        <w:pStyle w:val="CaptionedFigure"/>
      </w:pPr>
      <w:r>
        <w:drawing>
          <wp:inline>
            <wp:extent cx="5067300" cy="2066634"/>
            <wp:effectExtent b="0" l="0" r="0" t="0"/>
            <wp:docPr descr="Figure 3. Conformal calibration on n=114 USGS blind-test stations. (a) Per-station coverage (PICP) distribution against the 0.90 target; (b) mean coverage versus lead time; (c) interval sharpness. Coverage is near-nominal and tight across the population (86–96 % of stations within ±0.05 of 0.90)." title="" id="28" name="Picture"/>
            <a:graphic>
              <a:graphicData uri="http://schemas.openxmlformats.org/drawingml/2006/picture">
                <pic:pic>
                  <pic:nvPicPr>
                    <pic:cNvPr descr="outputs/figures/fig_usgs_calibration.png" id="29" name="Picture"/>
                    <pic:cNvPicPr>
                      <a:picLocks noChangeArrowheads="1" noChangeAspect="1"/>
                    </pic:cNvPicPr>
                  </pic:nvPicPr>
                  <pic:blipFill>
                    <a:blip r:embed="rId27"/>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Conformal calibration on n=114 USGS blind-test stations. (a) Per-station coverage (PICP) distribution against the 0.90 target; (b) mean coverage versus lead time; (c) interval sharpness. Coverage is near-nominal and tight across the population (86–96 % of stations within ±0.05 of 0.90).</w:t>
      </w:r>
    </w:p>
    <w:bookmarkEnd w:id="30"/>
    <w:bookmarkStart w:id="34"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~1.8× from low to high</w:t>
      </w:r>
      <w:r>
        <w:t xml:space="preserve"> </w:t>
      </w:r>
      <w:r>
        <w:t xml:space="preserve">flow (implied memory 1/κ ≈ 6–18 d), which we initially read as a flow-dependent</w:t>
      </w:r>
      <w:r>
        <w:t xml:space="preserve"> </w:t>
      </w:r>
      <w:r>
        <w:t xml:space="preserve">thermal memory.</w:t>
      </w:r>
      <w:r>
        <w:t xml:space="preserve"> </w:t>
      </w:r>
      <w:r>
        <w:rPr>
          <w:b/>
          <w:bCs/>
        </w:rPr>
        <w:t xml:space="preserve">This does not replicate on the large sample:</w:t>
      </w:r>
      <w:r>
        <w:t xml:space="preserve"> </w:t>
      </w:r>
      <w:r>
        <w:t xml:space="preserve">across the 120-station</w:t>
      </w:r>
      <w:r>
        <w:t xml:space="preserve"> </w:t>
      </w:r>
      <w:r>
        <w:t xml:space="preserve">USGS panel κ rises with flow at</w:t>
      </w:r>
      <w:r>
        <w:t xml:space="preserve"> </w:t>
      </w:r>
      <w:r>
        <w:rPr>
          <w:b/>
          <w:bCs/>
        </w:rPr>
        <w:t xml:space="preserve">0 % of stations</w:t>
      </w:r>
      <w:r>
        <w:t xml:space="preserve"> </w:t>
      </w:r>
      <w:r>
        <w:t xml:space="preserve">(median κ_high/κ_low =</w:t>
      </w:r>
      <w:r>
        <w:t xml:space="preserve"> </w:t>
      </w:r>
      <w:r>
        <w:t xml:space="preserve">0.87; mean κ_low 0.134 vs κ_high 0.117) — and at only 24 % on the smaller 40-</w:t>
      </w:r>
      <w:r>
        <w:t xml:space="preserve"> </w:t>
      </w:r>
      <w:r>
        <w:t xml:space="preserve">station pilot — so there is no consistent, physically directional flow dependence</w:t>
      </w:r>
      <w:r>
        <w:t xml:space="preserve"> </w:t>
      </w:r>
      <w:r>
        <w:t xml:space="preserve">at scale; if anything the sign is weakly reversed. Together with the ablation showing that freezing κ’s modulators (TR-</w:t>
      </w:r>
      <w:r>
        <w:t xml:space="preserve"> </w:t>
      </w:r>
      <w:r>
        <w:t xml:space="preserve">fixedKappa) does not worsen point accuracy, we conclude that</w:t>
      </w:r>
      <w:r>
        <w:t xml:space="preserve"> </w:t>
      </w:r>
      <w:r>
        <w:rPr>
          <w:b/>
          <w:bCs/>
        </w:rPr>
        <w:t xml:space="preserve">the dynamic-κ</w:t>
      </w:r>
      <w:r>
        <w:rPr>
          <w:b/>
          <w:bCs/>
        </w:rPr>
        <w:t xml:space="preserve"> </w:t>
      </w:r>
      <w:r>
        <w:rPr>
          <w:b/>
          <w:bCs/>
        </w:rPr>
        <w:t xml:space="preserve">modulation is not a validated mechanism and not an accuracy lever</w:t>
      </w:r>
      <w:r>
        <w:t xml:space="preserve">; the three-</w:t>
      </w:r>
      <w:r>
        <w:t xml:space="preserve"> </w:t>
      </w:r>
      <w:r>
        <w:t xml:space="preserve">station signal was a small-sample artifact. We therefore do not claim a flow-</w:t>
      </w:r>
      <w:r>
        <w:t xml:space="preserve"> </w:t>
      </w:r>
      <w:r>
        <w:t xml:space="preserve">dependent thermal memory.</w:t>
      </w:r>
    </w:p>
    <w:p>
      <w:pPr>
        <w:pStyle w:val="BodyText"/>
      </w:pPr>
      <w:r>
        <w:t xml:space="preserve">What does survive is interpretability of the</w:t>
      </w:r>
      <w:r>
        <w:t xml:space="preserve"> </w:t>
      </w:r>
      <w:r>
        <w:rPr>
          <w:i/>
          <w:iCs/>
        </w:rPr>
        <w:t xml:space="preserve">router</w:t>
      </w:r>
      <w:r>
        <w:t xml:space="preserve">. Its dominant variable</w:t>
      </w:r>
      <w:r>
        <w:t xml:space="preserve"> </w:t>
      </w:r>
      <w:r>
        <w:t xml:space="preserve">shares shift sensibly with horizon: at 1 day the router concentrates on</w:t>
      </w:r>
      <w:r>
        <w:t xml:space="preserve"> </w:t>
      </w:r>
      <w:r>
        <w:t xml:space="preserve">discharge (FLOW ≈44 % of routing weight) and precipitation (≈29 %), consistent</w:t>
      </w:r>
      <w:r>
        <w:t xml:space="preserve"> </w:t>
      </w:r>
      <w:r>
        <w:t xml:space="preserve">with short-range control by hydrologic state and recent rainfall; at 3 and 7</w:t>
      </w:r>
      <w:r>
        <w:t xml:space="preserve"> </w:t>
      </w:r>
      <w:r>
        <w:t xml:space="preserve">days incident solar radiation (</w:t>
      </w:r>
      <w:r>
        <w:rPr>
          <w:rStyle w:val="VerbatimChar"/>
        </w:rPr>
        <w:t xml:space="preserve">DH</w:t>
      </w:r>
      <w:r>
        <w:t xml:space="preserve">) grows to the single largest share</w:t>
      </w:r>
      <w:r>
        <w:t xml:space="preserve"> </w:t>
      </w:r>
      <w:r>
        <w:t xml:space="preserve">(30 % / 35 %) alongside flow (29 % / 27 %) and a rising humidity contribution</w:t>
      </w:r>
      <w:r>
        <w:t xml:space="preserve"> </w:t>
      </w:r>
      <w:r>
        <w:t xml:space="preserve">(RHMEAN 15 % / 17 %), consistent with the surface energy budget — radiative</w:t>
      </w:r>
      <w:r>
        <w:t xml:space="preserve"> </w:t>
      </w:r>
      <w:r>
        <w:t xml:space="preserve">heating and evaporative exchange — mattering more as the persistent thermal</w:t>
      </w:r>
      <w:r>
        <w:t xml:space="preserve"> </w:t>
      </w:r>
      <w:r>
        <w:t xml:space="preserve">state decays at longer leads. This is an interpretive read-out, not a causal</w:t>
      </w:r>
      <w:r>
        <w:t xml:space="preserve"> </w:t>
      </w:r>
      <w:r>
        <w:t xml:space="preserve">mechanism (Figure 4).</w:t>
      </w:r>
    </w:p>
    <w:p>
      <w:pPr>
        <w:pStyle w:val="CaptionedFigure"/>
      </w:pPr>
      <w:r>
        <w:drawing>
          <wp:inline>
            <wp:extent cx="4533900" cy="2109975"/>
            <wp:effectExtent b="0" l="0" r="0" t="0"/>
            <wp:docPr descr="Figure 4. Dynamic relaxation rate κ on the 120-station USGS panel. (a) κ binned by standardised log-flow (pooled); (b) per-station ratio κ(high flow)/κ(low flow). The flow dependence seen on the three reservoir stations does not generalise — κ rises with flow at 0 % of stations on the 120-station panel (and 24 % on the 40-station pilot), median ratio 0.87 — so we retract the flow-dependent thermal-memory claim." title="" id="32" name="Picture"/>
            <a:graphic>
              <a:graphicData uri="http://schemas.openxmlformats.org/drawingml/2006/picture">
                <pic:pic>
                  <pic:nvPicPr>
                    <pic:cNvPr descr="outputs/figures/fig_usgs_kappa.png" id="33" name="Picture"/>
                    <pic:cNvPicPr>
                      <a:picLocks noChangeArrowheads="1" noChangeAspect="1"/>
                    </pic:cNvPicPr>
                  </pic:nvPicPr>
                  <pic:blipFill>
                    <a:blip r:embed="rId31"/>
                    <a:stretch>
                      <a:fillRect/>
                    </a:stretch>
                  </pic:blipFill>
                  <pic:spPr bwMode="auto">
                    <a:xfrm>
                      <a:off x="0" y="0"/>
                      <a:ext cx="4533900" cy="2109975"/>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Dynamic relaxation rate κ on the 120-station USGS panel. (a) κ binned by standardised log-flow (pooled); (b) per-station ratio κ(high flow)/κ(low flow). The flow dependence seen on the three reservoir stations does not generalise — κ rises with flow at</w:t>
      </w:r>
      <w:r>
        <w:t xml:space="preserve"> </w:t>
      </w:r>
      <w:r>
        <w:rPr>
          <w:b/>
          <w:bCs/>
        </w:rPr>
        <w:t xml:space="preserve">0 % of stations</w:t>
      </w:r>
      <w:r>
        <w:t xml:space="preserve"> </w:t>
      </w:r>
      <w:r>
        <w:t xml:space="preserve">on the 120-station panel (and 24 % on the 40-station pilot), median ratio 0.87 — so we retract the flow-dependent thermal-memory claim.</w:t>
      </w:r>
    </w:p>
    <w:bookmarkEnd w:id="34"/>
    <w:bookmarkStart w:id="35"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Each ablation is</w:t>
      </w:r>
      <w:r>
        <w:t xml:space="preserve"> </w:t>
      </w:r>
      <w:r>
        <w:t xml:space="preserve">trained at</w:t>
      </w:r>
      <w:r>
        <w:t xml:space="preserve"> </w:t>
      </w:r>
      <w:r>
        <w:rPr>
          <w:b/>
          <w:bCs/>
        </w:rPr>
        <w:t xml:space="preserve">3 seeds</w:t>
      </w:r>
      <w:r>
        <w:t xml:space="preserve"> </w:t>
      </w:r>
      <w:r>
        <w:t xml:space="preserve">on the 120-station panel and compared to the full model by</w:t>
      </w:r>
      <w:r>
        <w:t xml:space="preserve"> </w:t>
      </w:r>
      <w:r>
        <w:t xml:space="preserve">a per-station paired test (Wilcoxon signed-rank at h=3); 3-seed-mean per-station</w:t>
      </w:r>
      <w:r>
        <w:t xml:space="preserve"> </w:t>
      </w:r>
      <w:r>
        <w:t xml:space="preserve">median RMSE (1 / 3 / 7 days):</w:t>
      </w:r>
    </w:p>
    <w:p>
      <w:pPr>
        <w:pStyle w:val="BodyText"/>
      </w:pPr>
      <w:r>
        <w:t xml:space="preserve">Each ablation and the full model are all scored on the</w:t>
      </w:r>
      <w:r>
        <w:t xml:space="preserve"> </w:t>
      </w:r>
      <w:r>
        <w:rPr>
          <w:b/>
          <w:bCs/>
        </w:rPr>
        <w:t xml:space="preserve">matched 3-seed budget</w:t>
      </w:r>
      <w:r>
        <w:t xml:space="preserve"> </w:t>
      </w:r>
      <w:r>
        <w:t xml:space="preserve">(seeds {0,1,2}); the paired test is a per-station Wilcoxon signed-rank at h=3: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h1</w:t>
            </w:r>
          </w:p>
        </w:tc>
        <w:tc>
          <w:tcPr/>
          <w:p>
            <w:pPr>
              <w:pStyle w:val="Compact"/>
            </w:pPr>
            <w:r>
              <w:t xml:space="preserve">h3</w:t>
            </w:r>
          </w:p>
        </w:tc>
        <w:tc>
          <w:tcPr/>
          <w:p>
            <w:pPr>
              <w:pStyle w:val="Compact"/>
            </w:pPr>
            <w:r>
              <w:t xml:space="preserve">h7</w:t>
            </w:r>
          </w:p>
        </w:tc>
        <w:tc>
          <w:tcPr/>
          <w:p>
            <w:pPr>
              <w:pStyle w:val="Compact"/>
            </w:pPr>
            <w:r>
              <w:t xml:space="preserve">Wilcoxon p (h3 vs full)</w:t>
            </w:r>
          </w:p>
        </w:tc>
      </w:tr>
      <w:tr>
        <w:tc>
          <w:tcPr/>
          <w:p>
            <w:pPr>
              <w:pStyle w:val="Compact"/>
            </w:pPr>
            <w:r>
              <w:t xml:space="preserve">ThermoRoute (full)</w:t>
            </w:r>
          </w:p>
        </w:tc>
        <w:tc>
          <w:tcPr/>
          <w:p>
            <w:pPr>
              <w:pStyle w:val="Compact"/>
            </w:pPr>
            <w:r>
              <w:t xml:space="preserve">0.630</w:t>
            </w:r>
          </w:p>
        </w:tc>
        <w:tc>
          <w:tcPr/>
          <w:p>
            <w:pPr>
              <w:pStyle w:val="Compact"/>
            </w:pPr>
            <w:r>
              <w:t xml:space="preserve">1.289</w:t>
            </w:r>
          </w:p>
        </w:tc>
        <w:tc>
          <w:tcPr/>
          <w:p>
            <w:pPr>
              <w:pStyle w:val="Compact"/>
            </w:pPr>
            <w:r>
              <w:t xml:space="preserve">1.656</w:t>
            </w:r>
          </w:p>
        </w:tc>
        <w:tc>
          <w:tcPr/>
          <w:p>
            <w:pPr>
              <w:pStyle w:val="Compact"/>
            </w:pPr>
            <w:r>
              <w:t xml:space="preserve">—</w:t>
            </w:r>
          </w:p>
        </w:tc>
      </w:tr>
      <w:tr>
        <w:tc>
          <w:tcPr/>
          <w:p>
            <w:pPr>
              <w:pStyle w:val="Compact"/>
            </w:pPr>
            <w:r>
              <w:t xml:space="preserve">TR-noPrior</w:t>
            </w:r>
          </w:p>
        </w:tc>
        <w:tc>
          <w:tcPr/>
          <w:p>
            <w:pPr>
              <w:pStyle w:val="Compact"/>
            </w:pPr>
            <w:r>
              <w:t xml:space="preserve">1.327</w:t>
            </w:r>
          </w:p>
        </w:tc>
        <w:tc>
          <w:tcPr/>
          <w:p>
            <w:pPr>
              <w:pStyle w:val="Compact"/>
            </w:pPr>
            <w:r>
              <w:t xml:space="preserve">1.528</w:t>
            </w:r>
          </w:p>
        </w:tc>
        <w:tc>
          <w:tcPr/>
          <w:p>
            <w:pPr>
              <w:pStyle w:val="Compact"/>
            </w:pPr>
            <w:r>
              <w:t xml:space="preserve">1.699</w:t>
            </w:r>
          </w:p>
        </w:tc>
        <w:tc>
          <w:tcPr/>
          <w:p>
            <w:pPr>
              <w:pStyle w:val="Compact"/>
            </w:pPr>
            <w:r>
              <w:t xml:space="preserve">2.2×10⁻²⁰ *</w:t>
            </w:r>
          </w:p>
        </w:tc>
      </w:tr>
      <w:tr>
        <w:tc>
          <w:tcPr/>
          <w:p>
            <w:pPr>
              <w:pStyle w:val="Compact"/>
            </w:pPr>
            <w:r>
              <w:t xml:space="preserve">TR-noMoE</w:t>
            </w:r>
          </w:p>
        </w:tc>
        <w:tc>
          <w:tcPr/>
          <w:p>
            <w:pPr>
              <w:pStyle w:val="Compact"/>
            </w:pPr>
            <w:r>
              <w:t xml:space="preserve">0.733</w:t>
            </w:r>
          </w:p>
        </w:tc>
        <w:tc>
          <w:tcPr/>
          <w:p>
            <w:pPr>
              <w:pStyle w:val="Compact"/>
            </w:pPr>
            <w:r>
              <w:t xml:space="preserve">1.343</w:t>
            </w:r>
          </w:p>
        </w:tc>
        <w:tc>
          <w:tcPr/>
          <w:p>
            <w:pPr>
              <w:pStyle w:val="Compact"/>
            </w:pPr>
            <w:r>
              <w:t xml:space="preserve">1.699</w:t>
            </w:r>
          </w:p>
        </w:tc>
        <w:tc>
          <w:tcPr/>
          <w:p>
            <w:pPr>
              <w:pStyle w:val="Compact"/>
            </w:pPr>
            <w:r>
              <w:t xml:space="preserve">9.5×10⁻¹⁸ *</w:t>
            </w:r>
          </w:p>
        </w:tc>
      </w:tr>
      <w:tr>
        <w:tc>
          <w:tcPr/>
          <w:p>
            <w:pPr>
              <w:pStyle w:val="Compact"/>
            </w:pPr>
            <w:r>
              <w:t xml:space="preserve">TR-noRouter</w:t>
            </w:r>
          </w:p>
        </w:tc>
        <w:tc>
          <w:tcPr/>
          <w:p>
            <w:pPr>
              <w:pStyle w:val="Compact"/>
            </w:pPr>
            <w:r>
              <w:t xml:space="preserve">0.639</w:t>
            </w:r>
          </w:p>
        </w:tc>
        <w:tc>
          <w:tcPr/>
          <w:p>
            <w:pPr>
              <w:pStyle w:val="Compact"/>
            </w:pPr>
            <w:r>
              <w:t xml:space="preserve">1.302</w:t>
            </w:r>
          </w:p>
        </w:tc>
        <w:tc>
          <w:tcPr/>
          <w:p>
            <w:pPr>
              <w:pStyle w:val="Compact"/>
            </w:pPr>
            <w:r>
              <w:t xml:space="preserve">1.662</w:t>
            </w:r>
          </w:p>
        </w:tc>
        <w:tc>
          <w:tcPr/>
          <w:p>
            <w:pPr>
              <w:pStyle w:val="Compact"/>
            </w:pPr>
            <w:r>
              <w:t xml:space="preserve">1.3×10⁻⁶ *</w:t>
            </w:r>
          </w:p>
        </w:tc>
      </w:tr>
      <w:tr>
        <w:tc>
          <w:tcPr/>
          <w:p>
            <w:pPr>
              <w:pStyle w:val="Compact"/>
            </w:pPr>
            <w:r>
              <w:t xml:space="preserve">TR-fixedKappa</w:t>
            </w:r>
          </w:p>
        </w:tc>
        <w:tc>
          <w:tcPr/>
          <w:p>
            <w:pPr>
              <w:pStyle w:val="Compact"/>
            </w:pPr>
            <w:r>
              <w:t xml:space="preserve">0.642</w:t>
            </w:r>
          </w:p>
        </w:tc>
        <w:tc>
          <w:tcPr/>
          <w:p>
            <w:pPr>
              <w:pStyle w:val="Compact"/>
            </w:pPr>
            <w:r>
              <w:t xml:space="preserve">1.294</w:t>
            </w:r>
          </w:p>
        </w:tc>
        <w:tc>
          <w:tcPr/>
          <w:p>
            <w:pPr>
              <w:pStyle w:val="Compact"/>
            </w:pPr>
            <w:r>
              <w:t xml:space="preserve">1.658</w:t>
            </w:r>
          </w:p>
        </w:tc>
        <w:tc>
          <w:tcPr/>
          <w:p>
            <w:pPr>
              <w:pStyle w:val="Compact"/>
            </w:pPr>
            <w:r>
              <w:t xml:space="preserve">0.23 (n.s.)</w:t>
            </w:r>
          </w:p>
        </w:tc>
      </w:tr>
    </w:tbl>
    <w:p>
      <w:pPr>
        <w:pStyle w:val="BodyText"/>
      </w:pPr>
      <w:r>
        <w:t xml:space="preserve">Removing the physics prior is catastrophic — RMSE more than doubles at 1 day</w:t>
      </w:r>
      <w:r>
        <w:t xml:space="preserve"> </w:t>
      </w:r>
      <w:r>
        <w:t xml:space="preserve">(0.630 → 1.327) and the per-station difference is significant at p ≈ 2×10⁻²⁰ —</w:t>
      </w:r>
      <w:r>
        <w:t xml:space="preserve"> </w:t>
      </w:r>
      <w:r>
        <w:t xml:space="preserve">confirming that the prior carries the forecast. Removing the mixture-of-experts</w:t>
      </w:r>
      <w:r>
        <w:t xml:space="preserve"> </w:t>
      </w:r>
      <w:r>
        <w:t xml:space="preserve">(+0.103 / +0.054 / +0.043 at 1 / 3 / 7 d, p ≈ 1×10⁻¹⁷) and the router</w:t>
      </w:r>
      <w:r>
        <w:t xml:space="preserve"> </w:t>
      </w:r>
      <w:r>
        <w:t xml:space="preserve">(+0.009 / +0.013 / +0.006, p ≈ 1×10⁻⁶) both hurt significantly. Freezing the</w:t>
      </w:r>
      <w:r>
        <w:t xml:space="preserve"> </w:t>
      </w:r>
      <w:r>
        <w:t xml:space="preserve">dynamic-κ modulators (TR-fixedKappa) leaves accuracy</w:t>
      </w:r>
      <w:r>
        <w:t xml:space="preserve"> </w:t>
      </w:r>
      <w:r>
        <w:rPr>
          <w:b/>
          <w:bCs/>
        </w:rPr>
        <w:t xml:space="preserve">statistically unchanged</w:t>
      </w:r>
      <w:r>
        <w:t xml:space="preserve"> </w:t>
      </w:r>
      <w:r>
        <w:t xml:space="preserve">(+0.012 / +0.005 / +0.002, paired p = 0.23, not significant): once the seed</w:t>
      </w:r>
      <w:r>
        <w:t xml:space="preserve"> </w:t>
      </w:r>
      <w:r>
        <w:t xml:space="preserve">budget is matched, the dynamic modulation is neither helpful nor harmful. The</w:t>
      </w:r>
      <w:r>
        <w:t xml:space="preserve"> </w:t>
      </w:r>
      <w:r>
        <w:t xml:space="preserve">honest reading is that the prior, experts and router contribute real accuracy</w:t>
      </w:r>
      <w:r>
        <w:t xml:space="preserve"> </w:t>
      </w:r>
      <w:r>
        <w:t xml:space="preserve">while the dynamic-κ modulation is interpretive overhead we do not claim as an</w:t>
      </w:r>
      <w:r>
        <w:t xml:space="preserve"> </w:t>
      </w:r>
      <w:r>
        <w:t xml:space="preserve">accuracy lever — retained only because freezing it does not improve accuracy</w:t>
      </w:r>
      <w:r>
        <w:t xml:space="preserve"> </w:t>
      </w:r>
      <w:r>
        <w:t xml:space="preserve">either (consistent with the §4.5 mechanism retraction). Unlike the 40-station</w:t>
      </w:r>
      <w:r>
        <w:t xml:space="preserve"> </w:t>
      </w:r>
      <w:r>
        <w:t xml:space="preserve">pilot — where fixed-κ was marginally</w:t>
      </w:r>
      <w:r>
        <w:t xml:space="preserve"> </w:t>
      </w:r>
      <w:r>
        <w:rPr>
          <w:i/>
          <w:iCs/>
        </w:rPr>
        <w:t xml:space="preserve">better</w:t>
      </w:r>
      <w:r>
        <w:t xml:space="preserve"> </w:t>
      </w:r>
      <w:r>
        <w:t xml:space="preserve">at 7 days — the sign is now (if</w:t>
      </w:r>
      <w:r>
        <w:t xml:space="preserve"> </w:t>
      </w:r>
      <w:r>
        <w:t xml:space="preserve">negligibly) in favour of the dynamic version, which we read as within-noise.</w:t>
      </w:r>
    </w:p>
    <w:bookmarkEnd w:id="35"/>
    <w:bookmarkEnd w:id="36"/>
    <w:bookmarkStart w:id="37"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w:t>
      </w:r>
      <w:r>
        <w:t xml:space="preserve"> </w:t>
      </w:r>
      <w:r>
        <w:rPr>
          <w:i/>
          <w:iCs/>
        </w:rPr>
        <w:t xml:space="preserve">physics</w:t>
      </w:r>
      <w:r>
        <w:t xml:space="preserve"> </w:t>
      </w:r>
      <w:r>
        <w:t xml:space="preserve">baselines, transfers to unseen basins,</w:t>
      </w:r>
      <w:r>
        <w:t xml:space="preserve"> </w:t>
      </w:r>
      <w:r>
        <w:t xml:space="preserve">and delivers near-nominally-calibrated warnings — while being</w:t>
      </w:r>
      <w:r>
        <w:t xml:space="preserve"> </w:t>
      </w:r>
      <w:r>
        <w:rPr>
          <w:b/>
          <w:bCs/>
        </w:rPr>
        <w:t xml:space="preserve">on par with, not</w:t>
      </w:r>
      <w:r>
        <w:rPr>
          <w:b/>
          <w:bCs/>
        </w:rPr>
        <w:t xml:space="preserve"> </w:t>
      </w:r>
      <w:r>
        <w:rPr>
          <w:b/>
          <w:bCs/>
        </w:rPr>
        <w:t xml:space="preserve">superior to, a strong gradient-boosting learner</w:t>
      </w:r>
      <w:r>
        <w:t xml:space="preserve">.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(gage height is</w:t>
      </w:r>
      <w:r>
        <w:t xml:space="preserve"> </w:t>
      </w:r>
      <w:r>
        <w:t xml:space="preserve">unavailable at most USGS temperature gages, so the rating-curve physics line is</w:t>
      </w:r>
      <w:r>
        <w:t xml:space="preserve"> </w:t>
      </w:r>
      <w:r>
        <w:t xml:space="preserve">inactive at scale) and uses Daymet incident solar radiation as the radiative</w:t>
      </w:r>
      <w:r>
        <w:t xml:space="preserve"> </w:t>
      </w:r>
      <w:r>
        <w:t xml:space="preserve">channel</w:t>
      </w:r>
      <w:r>
        <w:t xml:space="preserve"> </w:t>
      </w:r>
      <w:r>
        <w:rPr>
          <w:rStyle w:val="VerbatimChar"/>
        </w:rPr>
        <w:t xml:space="preserve">DH</w:t>
      </w:r>
      <w:r>
        <w:t xml:space="preserve"> </w:t>
      </w:r>
      <w:r>
        <w:t xml:space="preserve">(a physical replacement of unknown scale relative to the original</w:t>
      </w:r>
      <w:r>
        <w:t xml:space="preserve"> </w:t>
      </w:r>
      <w:r>
        <w:t xml:space="preserve">3-station</w:t>
      </w:r>
      <w:r>
        <w:t xml:space="preserve"> </w:t>
      </w:r>
      <w:r>
        <w:rPr>
          <w:rStyle w:val="VerbatimChar"/>
        </w:rPr>
        <w:t xml:space="preserve">DH</w:t>
      </w:r>
      <w:r>
        <w:t xml:space="preserve">); wind speed is included from gridMET in the 7-variable</w:t>
      </w:r>
      <w:r>
        <w:t xml:space="preserve"> </w:t>
      </w:r>
      <w:r>
        <w:t xml:space="preserve">configuration. The median</w:t>
      </w:r>
      <w:r>
        <w:t xml:space="preserve"> </w:t>
      </w:r>
      <w:r>
        <w:t xml:space="preserve">margin over damped persistence at 3–7 days is small (the win-rate carries the</w:t>
      </w:r>
      <w:r>
        <w:t xml:space="preserve"> </w:t>
      </w:r>
      <w:r>
        <w:t xml:space="preserve">result), and a strong gradient-boosting baseline (LightGBM) is</w:t>
      </w:r>
      <w:r>
        <w:t xml:space="preserve"> </w:t>
      </w:r>
      <w:r>
        <w:rPr>
          <w:b/>
          <w:bCs/>
        </w:rPr>
        <w:t xml:space="preserve">at least as</w:t>
      </w:r>
      <w:r>
        <w:rPr>
          <w:b/>
          <w:bCs/>
        </w:rPr>
        <w:t xml:space="preserve"> </w:t>
      </w:r>
      <w:r>
        <w:rPr>
          <w:b/>
          <w:bCs/>
        </w:rPr>
        <w:t xml:space="preserve">accurate as ThermoRoute</w:t>
      </w:r>
      <w:r>
        <w:t xml:space="preserve">: significantly better at 1 day and statistically</w:t>
      </w:r>
      <w:r>
        <w:t xml:space="preserve"> </w:t>
      </w:r>
      <w:r>
        <w:t xml:space="preserve">indistinguishable at 3–7 days once the seed budget is matched (per-seed protocol,</w:t>
      </w:r>
      <w:r>
        <w:t xml:space="preserve"> </w:t>
      </w:r>
      <w:r>
        <w:t xml:space="preserve">§4.2). We therefore claim a robust improvement over the</w:t>
      </w:r>
      <w:r>
        <w:t xml:space="preserve"> </w:t>
      </w:r>
      <w:r>
        <w:rPr>
          <w:i/>
          <w:iCs/>
        </w:rPr>
        <w:t xml:space="preserve">physics</w:t>
      </w:r>
      <w:r>
        <w:t xml:space="preserve"> </w:t>
      </w:r>
      <w:r>
        <w:t xml:space="preserve">baselines and</w:t>
      </w:r>
      <w:r>
        <w:t xml:space="preserve"> </w:t>
      </w:r>
      <w:r>
        <w:t xml:space="preserve">calibrated, transferable uncertainty — not a new state of the art over all</w:t>
      </w:r>
      <w:r>
        <w:t xml:space="preserve"> </w:t>
      </w:r>
      <w:r>
        <w:t xml:space="preserve">learners. We report five seeds. The dynamic-κ thermal-memory modulation does</w:t>
      </w:r>
      <w:r>
        <w:t xml:space="preserve"> </w:t>
      </w:r>
      <w:r>
        <w:rPr>
          <w:b/>
          <w:bCs/>
        </w:rPr>
        <w:t xml:space="preserve">not</w:t>
      </w:r>
      <w:r>
        <w:t xml:space="preserve"> </w:t>
      </w:r>
      <w:r>
        <w:t xml:space="preserve">generalise: the flow-dependence seen on three stations vanishes on the</w:t>
      </w:r>
      <w:r>
        <w:t xml:space="preserve"> </w:t>
      </w:r>
      <w:r>
        <w:t xml:space="preserve">large sample (κ rises with flow at 0 % of stations), and freezing κ’s modulators</w:t>
      </w:r>
      <w:r>
        <w:t xml:space="preserve"> </w:t>
      </w:r>
      <w:r>
        <w:t xml:space="preserve">does not worsen RMSE, so we retract the mechanism claim and keep only the</w:t>
      </w:r>
      <w:r>
        <w:t xml:space="preserve"> </w:t>
      </w:r>
      <w:r>
        <w:t xml:space="preserve">router’s interpretable, horizon-dependent driver shares.</w:t>
      </w:r>
    </w:p>
    <w:p>
      <w:pPr>
        <w:pStyle w:val="BodyText"/>
      </w:pPr>
      <w:r>
        <w:rPr>
          <w:b/>
          <w:bCs/>
        </w:rPr>
        <w:t xml:space="preserve">Input uncertainty.</w:t>
      </w:r>
      <w:r>
        <w:t xml:space="preserve"> </w:t>
      </w:r>
      <w:r>
        <w:t xml:space="preserve">Our forcings are gridded reanalysis (Daymet, gridMET), which</w:t>
      </w:r>
      <w:r>
        <w:t xml:space="preserve"> </w:t>
      </w:r>
      <w:r>
        <w:t xml:space="preserve">we treat as exact inputs — the very assumption that BATEA [G2, G3] warns against for</w:t>
      </w:r>
      <w:r>
        <w:t xml:space="preserve"> </w:t>
      </w:r>
      <w:r>
        <w:t xml:space="preserve">rainfall–runoff, where forcing error can dominate and, if ignored, biases the</w:t>
      </w:r>
      <w:r>
        <w:t xml:space="preserve"> </w:t>
      </w:r>
      <w:r>
        <w:t xml:space="preserve">calibrated parameters. Two points make this less acute here than in the</w:t>
      </w:r>
      <w:r>
        <w:t xml:space="preserve"> </w:t>
      </w:r>
      <w:r>
        <w:t xml:space="preserve">rainfall–runoff setting BATEA addresses. First, water temperature is far smoother</w:t>
      </w:r>
      <w:r>
        <w:t xml:space="preserve"> </w:t>
      </w:r>
      <w:r>
        <w:t xml:space="preserve">and more strongly autocorrelated than discharge, so short-horizon skill is carried</w:t>
      </w:r>
      <w:r>
        <w:t xml:space="preserve"> </w:t>
      </w:r>
      <w:r>
        <w:t xml:space="preserve">by the persistent state (</w:t>
      </w:r>
      <w:r>
        <w:rPr>
          <w:rStyle w:val="VerbatimChar"/>
        </w:rPr>
        <w:t xml:space="preserve">WTEMP</w:t>
      </w:r>
      <w:r>
        <w:t xml:space="preserve"> </w:t>
      </w:r>
      <w:r>
        <w:t xml:space="preserve">history) rather than by the noisy meteorological</w:t>
      </w:r>
      <w:r>
        <w:t xml:space="preserve"> </w:t>
      </w:r>
      <w:r>
        <w:t xml:space="preserve">forcing, limiting the leverage of input error. Second, we do not need the input-error</w:t>
      </w:r>
      <w:r>
        <w:t xml:space="preserve"> </w:t>
      </w:r>
      <w:r>
        <w:t xml:space="preserve">model that BATEA requires and that it concedes is</w:t>
      </w:r>
      <w:r>
        <w:t xml:space="preserve"> </w:t>
      </w:r>
      <w:r>
        <w:t xml:space="preserve">“poorly understood”</w:t>
      </w:r>
      <w:r>
        <w:t xml:space="preserve">: the conformal</w:t>
      </w:r>
      <w:r>
        <w:t xml:space="preserve"> </w:t>
      </w:r>
      <w:r>
        <w:t xml:space="preserve">layer calibrates the predictive intervals</w:t>
      </w:r>
      <w:r>
        <w:t xml:space="preserve"> </w:t>
      </w:r>
      <w:r>
        <w:rPr>
          <w:i/>
          <w:iCs/>
        </w:rPr>
        <w:t xml:space="preserve">empirically</w:t>
      </w:r>
      <w:r>
        <w:t xml:space="preserve"> </w:t>
      </w:r>
      <w:r>
        <w:t xml:space="preserve">on held-out years, absorbing</w:t>
      </w:r>
      <w:r>
        <w:t xml:space="preserve"> </w:t>
      </w:r>
      <w:r>
        <w:t xml:space="preserve">residual forcing error into the coverage rather than attributing it. The cost, in</w:t>
      </w:r>
      <w:r>
        <w:t xml:space="preserve"> </w:t>
      </w:r>
      <w:r>
        <w:t xml:space="preserve">BATEA’s terms, is that we cannot separate forcing error from model error — a</w:t>
      </w:r>
      <w:r>
        <w:t xml:space="preserve"> </w:t>
      </w:r>
      <w:r>
        <w:t xml:space="preserve">deliberate trade of process attribution for distribution-free coverage at scale.</w:t>
      </w:r>
      <w:r>
        <w:t xml:space="preserve"> </w:t>
      </w:r>
      <w:r>
        <w:t xml:space="preserve">A fully operational system would additionally replace our reanalysis forcings with</w:t>
      </w:r>
      <w:r>
        <w:t xml:space="preserve"> </w:t>
      </w:r>
      <w:r>
        <w:t xml:space="preserve">archived numerical weather-prediction forecasts, whose own error would degrade</w:t>
      </w:r>
      <w:r>
        <w:t xml:space="preserve"> </w:t>
      </w:r>
      <w:r>
        <w:t xml:space="preserve">multi-day skill and could be handled either by a BATEA-style latent input model or</w:t>
      </w:r>
      <w:r>
        <w:t xml:space="preserve"> </w:t>
      </w:r>
      <w:r>
        <w:t xml:space="preserve">by re-calibrating the conformal intervals on forecast-driven residuals; we leave this</w:t>
      </w:r>
      <w:r>
        <w:t xml:space="preserve"> </w:t>
      </w:r>
      <w:r>
        <w:t xml:space="preserve">operational-forcing track to future work.</w:t>
      </w:r>
    </w:p>
    <w:p>
      <w:pPr>
        <w:pStyle w:val="BodyText"/>
      </w:pPr>
      <w:r>
        <w:rPr>
          <w:b/>
          <w:bCs/>
        </w:rPr>
        <w:t xml:space="preserve">Equifinality.</w:t>
      </w:r>
      <w:r>
        <w:t xml:space="preserve"> </w:t>
      </w:r>
      <w:r>
        <w:t xml:space="preserve">The near-identical validation loss across our five seeds</w:t>
      </w:r>
      <w:r>
        <w:t xml:space="preserve"> </w:t>
      </w:r>
      <w:r>
        <w:t xml:space="preserve">(1.343–1.348) is a learned-model echo of the parameter equifinality that motivated</w:t>
      </w:r>
      <w:r>
        <w:t xml:space="preserve"> </w:t>
      </w:r>
      <w:r>
        <w:t xml:space="preserve">GLUE [G1]: many weight configurations simulate the calibration data almost equally</w:t>
      </w:r>
      <w:r>
        <w:t xml:space="preserve"> </w:t>
      </w:r>
      <w:r>
        <w:t xml:space="preserve">well. Where GLUE embraces this and propagates it into the prediction limits, our</w:t>
      </w:r>
      <w:r>
        <w:t xml:space="preserve"> </w:t>
      </w:r>
      <w:r>
        <w:t xml:space="preserve">bounded physics prior instead</w:t>
      </w:r>
      <w:r>
        <w:t xml:space="preserve"> </w:t>
      </w:r>
      <w:r>
        <w:rPr>
          <w:i/>
          <w:iCs/>
        </w:rPr>
        <w:t xml:space="preserve">reduces</w:t>
      </w:r>
      <w:r>
        <w:t xml:space="preserve"> </w:t>
      </w:r>
      <w:r>
        <w:t xml:space="preserve">it — constraining the residual so the</w:t>
      </w:r>
      <w:r>
        <w:t xml:space="preserve"> </w:t>
      </w:r>
      <w:r>
        <w:t xml:space="preserve">admissible solutions cluster near damped persistence — which is philosophically</w:t>
      </w:r>
      <w:r>
        <w:t xml:space="preserve"> </w:t>
      </w:r>
      <w:r>
        <w:t xml:space="preserve">closer to BATEA’s add-structure stance than to GLUE’s accept-equifinality one, and is</w:t>
      </w:r>
      <w:r>
        <w:t xml:space="preserve"> </w:t>
      </w:r>
      <w:r>
        <w:t xml:space="preserve">consistent with the low across-seed spread we observe.</w:t>
      </w:r>
    </w:p>
    <w:bookmarkEnd w:id="37"/>
    <w:bookmarkStart w:id="38"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120-station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is at least as accurate across leads — better at 1 day and statistically</w:t>
      </w:r>
      <w:r>
        <w:t xml:space="preserve"> </w:t>
      </w:r>
      <w:r>
        <w:t xml:space="preserve">on par at 3–7 days — so the claim is calibrated, transferable skill over the</w:t>
      </w:r>
      <w:r>
        <w:t xml:space="preserve"> </w:t>
      </w:r>
      <w:r>
        <w:t xml:space="preserve">physics baselines, not a new state of the art over all learners.</w:t>
      </w:r>
    </w:p>
    <w:bookmarkEnd w:id="38"/>
    <w:bookmarkStart w:id="39"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120-station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120 stream gages across 35 U.S. states and 16 HUC2 regions (≥55 %</w:t>
      </w:r>
      <w:r>
        <w:t xml:space="preserve"> </w:t>
      </w:r>
      <w:r>
        <w:t xml:space="preserve">water-temperature and ≥70 % flow coverage over 2006–2020, plus a ≥80 %</w:t>
      </w:r>
      <w:r>
        <w:t xml:space="preserve"> </w:t>
      </w:r>
      <w:r>
        <w:t xml:space="preserve">blind-test-window coverage gate — §2) span free-flowing and dam-regulated</w:t>
      </w:r>
      <w:r>
        <w:t xml:space="preserve"> </w:t>
      </w:r>
      <w:r>
        <w:t xml:space="preserve">rivers; water-temperature coverage ranges 0.56–1.00 (median ≈0.88). The</w:t>
      </w:r>
      <w:r>
        <w:t xml:space="preserve"> </w:t>
      </w:r>
      <w:r>
        <w:t xml:space="preserve">assembled main panel is</w:t>
      </w:r>
      <w:r>
        <w:t xml:space="preserve"> </w:t>
      </w:r>
      <w:r>
        <w:rPr>
          <w:rStyle w:val="VerbatimChar"/>
        </w:rPr>
        <w:t xml:space="preserve">data_usgs/panel_usgs_100.parquet</w:t>
      </w:r>
      <w:r>
        <w:t xml:space="preserve"> </w:t>
      </w:r>
      <w:r>
        <w:t xml:space="preserve">(120 stations, seven</w:t>
      </w:r>
      <w:r>
        <w:t xml:space="preserve"> </w:t>
      </w:r>
      <w:r>
        <w:t xml:space="preserve">model variables plus WLEVEL; the filename is historical and predates the</w:t>
      </w:r>
      <w:r>
        <w:t xml:space="preserve"> </w:t>
      </w:r>
      <w:r>
        <w:t xml:space="preserve">120-station rebuild). Station metadata with USGS site numbers and coordinates</w:t>
      </w:r>
      <w:r>
        <w:t xml:space="preserve"> </w:t>
      </w:r>
      <w:r>
        <w:t xml:space="preserve">is in</w:t>
      </w:r>
      <w:r>
        <w:t xml:space="preserve"> </w:t>
      </w:r>
      <w:r>
        <w:rPr>
          <w:rStyle w:val="VerbatimChar"/>
        </w:rPr>
        <w:t xml:space="preserve">data_usgs/stations_meta_120v2.csv</w:t>
      </w:r>
      <w:r>
        <w:t xml:space="preserve">, and every probed-but-rejected</w:t>
      </w:r>
      <w:r>
        <w:t xml:space="preserve"> </w:t>
      </w:r>
      <w:r>
        <w:t xml:space="preserve">candidate is recorded in</w:t>
      </w:r>
      <w:r>
        <w:t xml:space="preserve"> </w:t>
      </w:r>
      <w:r>
        <w:rPr>
          <w:rStyle w:val="VerbatimChar"/>
        </w:rPr>
        <w:t xml:space="preserve">data_usgs/rejected_sites_120v2.csv</w:t>
      </w:r>
      <w:r>
        <w:t xml:space="preserve"> </w:t>
      </w:r>
      <w:r>
        <w:t xml:space="preserve">(</w:t>
      </w:r>
      <w:r>
        <w:rPr>
          <w:rStyle w:val="VerbatimChar"/>
        </w:rPr>
        <w:t xml:space="preserve">outputs/reports/usgs_acquisition.md</w:t>
      </w:r>
      <w:r>
        <w:t xml:space="preserve"> </w:t>
      </w:r>
      <w:r>
        <w:t xml:space="preserve">documents the audit trail). The legacy</w:t>
      </w:r>
      <w:r>
        <w:t xml:space="preserve"> </w:t>
      </w:r>
      <w:r>
        <w:t xml:space="preserve">40-station pilot panels (</w:t>
      </w:r>
      <w:r>
        <w:rPr>
          <w:rStyle w:val="VerbatimChar"/>
        </w:rPr>
        <w:t xml:space="preserve">data_usgs/panel_usgs.parquet</w:t>
      </w:r>
      <w:r>
        <w:t xml:space="preserve">,</w:t>
      </w:r>
      <w:r>
        <w:t xml:space="preserve"> </w:t>
      </w:r>
      <w:r>
        <w:rPr>
          <w:rStyle w:val="VerbatimChar"/>
        </w:rPr>
        <w:t xml:space="preserve">data_usgs/panel_usgs_wind.parquet</w:t>
      </w:r>
      <w:r>
        <w:t xml:space="preserve">) are retained only for the §S1 pilot</w:t>
      </w:r>
      <w:r>
        <w:t xml:space="preserve"> </w:t>
      </w:r>
      <w:r>
        <w:t xml:space="preserve">comparison. All panels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39"/>
    <w:bookmarkStart w:id="40"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cross-model sample consistency), and</w:t>
      </w:r>
      <w:r>
        <w:t xml:space="preserve"> </w:t>
      </w:r>
      <w:r>
        <w:t xml:space="preserve">one-command reproduction (</w:t>
      </w:r>
      <w:r>
        <w:rPr>
          <w:rStyle w:val="VerbatimChar"/>
        </w:rPr>
        <w:t xml:space="preserve">scripts/run_all.sh</w:t>
      </w:r>
      <w:r>
        <w:t xml:space="preserve">) are in this repository. Per-day</w:t>
      </w:r>
      <w:r>
        <w:t xml:space="preserve"> </w:t>
      </w:r>
      <w:r>
        <w:t xml:space="preserve">predictions, model weights and logs are regenerable by the staged scripts</w:t>
      </w:r>
      <w:r>
        <w:t xml:space="preserve"> </w:t>
      </w:r>
      <w:r>
        <w:t xml:space="preserve">(</w:t>
      </w:r>
      <w:r>
        <w:rPr>
          <w:rStyle w:val="VerbatimChar"/>
        </w:rPr>
        <w:t xml:space="preserve">scripts/01</w:t>
      </w:r>
      <w:r>
        <w:t xml:space="preserve">–</w:t>
      </w:r>
      <w:r>
        <w:rPr>
          <w:rStyle w:val="VerbatimChar"/>
        </w:rPr>
        <w:t xml:space="preserve">14</w:t>
      </w:r>
      <w:r>
        <w:t xml:space="preserve">);</w:t>
      </w:r>
      <w:r>
        <w:t xml:space="preserve"> </w:t>
      </w:r>
      <w:r>
        <w:rPr>
          <w:rStyle w:val="VerbatimChar"/>
        </w:rPr>
        <w:t xml:space="preserve">scripts/14_manifest.py</w:t>
      </w:r>
      <w:r>
        <w:t xml:space="preserve"> </w:t>
      </w:r>
      <w:r>
        <w:t xml:space="preserve">writes a sha256 manifest of every</w:t>
      </w:r>
      <w:r>
        <w:t xml:space="preserve"> </w:t>
      </w:r>
      <w:r>
        <w:t xml:space="preserve">artifact the manuscript’s numbers depend on (</w:t>
      </w:r>
      <w:r>
        <w:rPr>
          <w:rStyle w:val="VerbatimChar"/>
        </w:rPr>
        <w:t xml:space="preserve">outputs/manifest.json</w:t>
      </w:r>
      <w:r>
        <w:t xml:space="preserve">), and</w:t>
      </w:r>
      <w:r>
        <w:t xml:space="preserve"> </w:t>
      </w:r>
      <w:r>
        <w:rPr>
          <w:rStyle w:val="VerbatimChar"/>
        </w:rPr>
        <w:t xml:space="preserve">--check</w:t>
      </w:r>
      <w:r>
        <w:t xml:space="preserve"> </w:t>
      </w:r>
      <w:r>
        <w:t xml:space="preserve">verifies the recorded hashes so any drift between the manuscript and</w:t>
      </w:r>
      <w:r>
        <w:t xml:space="preserve"> </w:t>
      </w:r>
      <w:r>
        <w:t xml:space="preserve">the artifacts is machine-detectable. Continuous integration runs the test suite</w:t>
      </w:r>
      <w:r>
        <w:t xml:space="preserve"> </w:t>
      </w:r>
      <w:r>
        <w:t xml:space="preserve">under both the version-locked environment that produced the published numbers</w:t>
      </w:r>
      <w:r>
        <w:t xml:space="preserve"> </w:t>
      </w:r>
      <w:r>
        <w:t xml:space="preserve">(</w:t>
      </w:r>
      <w:r>
        <w:rPr>
          <w:rStyle w:val="VerbatimChar"/>
        </w:rPr>
        <w:t xml:space="preserve">requirements-lock.txt</w:t>
      </w:r>
      <w:r>
        <w:t xml:space="preserve">) and loose forward-compatibility floors.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bookmarkEnd w:id="40"/>
    <w:bookmarkStart w:id="45"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41"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Diaz, J., Hamshaw, S., Oliver, S., Ross, J. C., Sleckman, M., Appling, A. P., Corson-Dosch, H., Jia, X., Read, J., Sadler, J., Thompson, T., Watkins, D., White, E.,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Fan, Y., Xie, Y., Li, Y., Jia, X., 2025. Geo-aware models for stream temperature prediction across different spatial regions and scales, in: Proceedings of the 33rd ACM International Conference on Advances in Geographic Information Systems (SIGSPATIAL ’25). ACM, pp. 124–136.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Weierbach, H., Lima, A. R., Willard, J. D., Hendrix, V. C., Christianson, D. S., Lubich, M., Varadharajan, C., 2022. Stream temperature predictions for river basin management in the Pacific Northwest and Mid-Atlantic regions using machine learning. Water 14, 1032. https://doi.org/10.3390/w14071032. [F11]</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41"/>
    <w:bookmarkStart w:id="42" w:name="Xa6ac26526a0ae9c60f5d4555fcca5dcf2ca1bef"/>
    <w:p>
      <w:pPr>
        <w:pStyle w:val="Heading3"/>
      </w:pPr>
      <w:r>
        <w:t xml:space="preserve">Uncertainty estimation in hydrological modelling</w:t>
      </w:r>
    </w:p>
    <w:p>
      <w:pPr>
        <w:pStyle w:val="FirstParagraph"/>
      </w:pPr>
      <w:r>
        <w:t xml:space="preserve">Beven, K., Binley, A., 1992. The future of distributed models: model calibration and uncertainty prediction. Hydrological Processes 6 (3), 279–298. https://doi.org/10.1002/hyp.3360060305. [G1]</w:t>
      </w:r>
    </w:p>
    <w:p>
      <w:pPr>
        <w:pStyle w:val="BodyText"/>
      </w:pPr>
      <w:r>
        <w:t xml:space="preserve">Kavetski, D., Kuczera, G., Franks, S. W., 2006a. Bayesian analysis of input uncertainty in hydrological modeling: 1. Theory. Water Resources Research 42, W03407. https://doi.org/10.1029/2005WR004368. [G2]</w:t>
      </w:r>
    </w:p>
    <w:p>
      <w:pPr>
        <w:pStyle w:val="BodyText"/>
      </w:pPr>
      <w:r>
        <w:t xml:space="preserve">Kavetski, D., Kuczera, G., Franks, S. W., 2006b. Bayesian analysis of input uncertainty in hydrological modeling: 2. Application. Water Resources Research 42, W03408. https://doi.org/10.1029/2005WR004376. [G3]</w:t>
      </w:r>
    </w:p>
    <w:bookmarkEnd w:id="42"/>
    <w:bookmarkStart w:id="43"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3538–3548.</w:t>
      </w:r>
    </w:p>
    <w:p>
      <w:pPr>
        <w:pStyle w:val="BodyText"/>
      </w:pPr>
      <w:r>
        <w:t xml:space="preserve">Vovk, V., Gammerman, A., Shafer, G., 2005. Algorithmic Learning in a Random World. Springer, New York. https://doi.org/10.1007/b106715.</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International Geophysics Series, vol. 100. Academic Press, Oxford. ISBN 978-0-12-385022-5.</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https://doi.org/10.1016/j.jhydrol.2009.08.003.</w:t>
      </w:r>
    </w:p>
    <w:bookmarkEnd w:id="43"/>
    <w:bookmarkStart w:id="44" w:name="software-and-data-sources"/>
    <w:p>
      <w:pPr>
        <w:pStyle w:val="Heading3"/>
      </w:pPr>
      <w:r>
        <w:t xml:space="preserve">Software and data sources</w:t>
      </w:r>
    </w:p>
    <w:p>
      <w:pPr>
        <w:pStyle w:val="FirstParagraph"/>
      </w:pPr>
      <w:r>
        <w:t xml:space="preserve">De Cicco, L. A., Hirsch, R. M., Lorenz, D., Watkins, W. D., Johnson, M., 2024. dataRetrieval: R packages for discovering and retrieving water data available from federal hydrologic web services, v.2.7.17. U.S. Geological Survey. https://doi.org/10.5066/P9X4L3GE. [D1]</w:t>
      </w:r>
    </w:p>
    <w:p>
      <w:pPr>
        <w:pStyle w:val="BodyText"/>
      </w:pPr>
      <w:r>
        <w:t xml:space="preserve">Hodson, T. O., Hariharan, J. A., Black, S., Horsburgh, J. S., 2023. dataretrieval (Python): a Python package for discovering and retrieving water data available from U.S. federal hydrologic web services. U.S. Geological Survey software release. https://doi.org/10.5066/P94I5TX3.</w:t>
      </w:r>
    </w:p>
    <w:p>
      <w:pPr>
        <w:pStyle w:val="BodyText"/>
      </w:pPr>
      <w:r>
        <w:t xml:space="preserve">U.S. Geological Survey, 2024. USGS water data for the Nation: U.S. Geological Survey National Water Information System (NWIS) database. Web services accessed via dataRetrieval; parameter codes 00010 (water temperature), 00060 (discharge), 00065 (gage height); accessed 2026. https://doi.org/10.5066/F7P55KJN (https://waterdata.usgs.gov/nwis). [public domain]</w:t>
      </w:r>
    </w:p>
    <w:p>
      <w:pPr>
        <w:pStyle w:val="BodyText"/>
      </w:pPr>
      <w:r>
        <w:t xml:space="preserve">Thornton, M. M., Shrestha, R., Wei, Y., Thornton, P. E., Kao, S.-C.,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8024–8035.</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https://doi.org/10.1038/s41592-019-0686-2.</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2026-07-04T09:36:30Z</dcterms:created>
  <dcterms:modified xsi:type="dcterms:W3CDTF">2026-07-04T09:36:30Z</dcterms:modified>
</cp:coreProperties>
</file>

<file path=docProps/custom.xml><?xml version="1.0" encoding="utf-8"?>
<Properties xmlns="http://schemas.openxmlformats.org/officeDocument/2006/custom-properties" xmlns:vt="http://schemas.openxmlformats.org/officeDocument/2006/docPropsVTypes"/>
</file>