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p ≤ 4×10⁻¹⁸), with median skill vs damped</w:t>
      </w:r>
      <w:r>
        <w:t xml:space="preserve"> </w:t>
      </w:r>
      <w:r>
        <w:t xml:space="preserve">+0.17 / +0.08 / +0.04 at 1 / 3 / 7 days and better than damped at</w:t>
      </w:r>
      <w:r>
        <w:t xml:space="preserve"> </w:t>
      </w:r>
      <w:r>
        <w:rPr>
          <w:b/>
          <w:bCs/>
        </w:rPr>
        <w:t xml:space="preserve">83 / 89 / 88 %</w:t>
      </w:r>
      <w:r>
        <w:t xml:space="preserve"> </w:t>
      </w:r>
      <w:r>
        <w:t xml:space="preserve">of the n=120 stations (Wilson 95 % CIs all exclude 50 %), and beats the canonical</w:t>
      </w:r>
      <w:r>
        <w:t xml:space="preserve"> </w:t>
      </w:r>
      <w:r>
        <w:t xml:space="preserve">Toffolon–Piccolroaz air2stream-a8 physical model on median RMSE at every lead</w:t>
      </w:r>
      <w:r>
        <w:t xml:space="preserve"> </w:t>
      </w:r>
      <w:r>
        <w:t xml:space="preserve">(0.620 / 1.282 / 1.655 vs 0.797 / 1.464 / 1.809). Against a strong gradient-</w:t>
      </w:r>
      <w:r>
        <w:t xml:space="preserve"> </w:t>
      </w:r>
      <w:r>
        <w:t xml:space="preserve">boosting baseline (LightGBM) the result is</w:t>
      </w:r>
      <w:r>
        <w:t xml:space="preserve"> </w:t>
      </w:r>
      <w:r>
        <w:rPr>
          <w:i/>
          <w:iCs/>
        </w:rPr>
        <w:t xml:space="preserve">horizon-conditional</w:t>
      </w:r>
      <w:r>
        <w:t xml:space="preserve">: LightGBM</w:t>
      </w:r>
      <w:r>
        <w:t xml:space="preserve"> </w:t>
      </w:r>
      <w:r>
        <w:t xml:space="preserve">significantly leads at 1 day (median skill −0.018, p = 3×10⁻⁵), ThermoRoute</w:t>
      </w:r>
      <w:r>
        <w:t xml:space="preserve"> </w:t>
      </w:r>
      <w:r>
        <w:t xml:space="preserve">significantly leads at 3 and 7 days (+0.014 and +0.006, p ≤ 1×10⁻³), winning</w:t>
      </w:r>
      <w:r>
        <w:t xml:space="preserve"> </w:t>
      </w:r>
      <w:r>
        <w:t xml:space="preserve">75 % and 67 % of stations head-to-head respectively. We do not claim a uniform</w:t>
      </w:r>
      <w:r>
        <w:t xml:space="preserve"> </w:t>
      </w:r>
      <w:r>
        <w:t xml:space="preserve">advantage over LightGBM, and we report the unfavourable 1-day result openly. In leave-group-out transfer to basins it never trained on, it</w:t>
      </w:r>
      <w:r>
        <w:t xml:space="preserve"> </w:t>
      </w:r>
      <w:r>
        <w:t xml:space="preserve">beats persistence by +0.16 / +0.16 / +0.24 (one-shot 90→30 split, single</w:t>
      </w:r>
      <w:r>
        <w:t xml:space="preserve"> </w:t>
      </w:r>
      <w:r>
        <w:t xml:space="preserve">realisation) and by +0.13 / +0.14 / +0.23 across folds (4-fold every-station-</w:t>
      </w:r>
      <w:r>
        <w:t xml:space="preserve"> </w:t>
      </w:r>
      <w:r>
        <w:t xml:space="preserve">held-out, std ≈ 0.02).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only 4 %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2"/>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13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 the canonical Toffolon–Piccolroaz 8-parameter air2stream is</w:t>
      </w:r>
      <w:r>
        <w:t xml:space="preserve"> </w:t>
      </w:r>
      <w:r>
        <w:t xml:space="preserve">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0.797</w:t>
            </w:r>
          </w:p>
        </w:tc>
        <w:tc>
          <w:tcPr/>
          <w:p>
            <w:pPr>
              <w:pStyle w:val="Compact"/>
            </w:pPr>
            <w:r>
              <w:rPr>
                <w:b/>
                <w:bCs/>
              </w:rPr>
              <w:t xml:space="preserve">0.620</w:t>
            </w:r>
          </w:p>
        </w:tc>
        <w:tc>
          <w:tcPr/>
          <w:p>
            <w:pPr>
              <w:pStyle w:val="Compact"/>
            </w:pPr>
            <w:r>
              <w:t xml:space="preserve">0.629</w:t>
            </w:r>
          </w:p>
        </w:tc>
        <w:tc>
          <w:tcPr/>
          <w:p>
            <w:pPr>
              <w:pStyle w:val="Compact"/>
            </w:pPr>
            <w:r>
              <w:t xml:space="preserve">+0.205</w:t>
            </w:r>
          </w:p>
        </w:tc>
        <w:tc>
          <w:tcPr/>
          <w:p>
            <w:pPr>
              <w:pStyle w:val="Compact"/>
            </w:pPr>
            <w:r>
              <w:t xml:space="preserve">+0.174</w:t>
            </w:r>
          </w:p>
        </w:tc>
        <w:tc>
          <w:tcPr/>
          <w:p>
            <w:pPr>
              <w:pStyle w:val="Compact"/>
            </w:pPr>
            <w:r>
              <w:t xml:space="preserve">83 %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1.464</w:t>
            </w:r>
          </w:p>
        </w:tc>
        <w:tc>
          <w:tcPr/>
          <w:p>
            <w:pPr>
              <w:pStyle w:val="Compact"/>
            </w:pPr>
            <w:r>
              <w:t xml:space="preserve">1.300</w:t>
            </w:r>
          </w:p>
        </w:tc>
        <w:tc>
          <w:tcPr/>
          <w:p>
            <w:pPr>
              <w:pStyle w:val="Compact"/>
            </w:pPr>
            <w:r>
              <w:rPr>
                <w:b/>
                <w:bCs/>
              </w:rPr>
              <w:t xml:space="preserve">1.282</w:t>
            </w:r>
          </w:p>
        </w:tc>
        <w:tc>
          <w:tcPr/>
          <w:p>
            <w:pPr>
              <w:pStyle w:val="Compact"/>
            </w:pPr>
            <w:r>
              <w:t xml:space="preserve">+0.189</w:t>
            </w:r>
          </w:p>
        </w:tc>
        <w:tc>
          <w:tcPr/>
          <w:p>
            <w:pPr>
              <w:pStyle w:val="Compact"/>
            </w:pPr>
            <w:r>
              <w:t xml:space="preserve">+0.080</w:t>
            </w:r>
          </w:p>
        </w:tc>
        <w:tc>
          <w:tcPr/>
          <w:p>
            <w:pPr>
              <w:pStyle w:val="Compact"/>
            </w:pPr>
            <w:r>
              <w:t xml:space="preserve">89 %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1.809</w:t>
            </w:r>
          </w:p>
        </w:tc>
        <w:tc>
          <w:tcPr/>
          <w:p>
            <w:pPr>
              <w:pStyle w:val="Compact"/>
            </w:pPr>
            <w:r>
              <w:t xml:space="preserve">1.669</w:t>
            </w:r>
          </w:p>
        </w:tc>
        <w:tc>
          <w:tcPr/>
          <w:p>
            <w:pPr>
              <w:pStyle w:val="Compact"/>
            </w:pPr>
            <w:r>
              <w:rPr>
                <w:b/>
                <w:bCs/>
              </w:rPr>
              <w:t xml:space="preserve">1.655</w:t>
            </w:r>
          </w:p>
        </w:tc>
        <w:tc>
          <w:tcPr/>
          <w:p>
            <w:pPr>
              <w:pStyle w:val="Compact"/>
            </w:pPr>
            <w:r>
              <w:t xml:space="preserve">+0.251</w:t>
            </w:r>
          </w:p>
        </w:tc>
        <w:tc>
          <w:tcPr/>
          <w:p>
            <w:pPr>
              <w:pStyle w:val="Compact"/>
            </w:pPr>
            <w:r>
              <w:t xml:space="preserve">+0.037</w:t>
            </w:r>
          </w:p>
        </w:tc>
        <w:tc>
          <w:tcPr/>
          <w:p>
            <w:pPr>
              <w:pStyle w:val="Compact"/>
            </w:pPr>
            <w:r>
              <w:t xml:space="preserve">88 %</w:t>
            </w:r>
          </w:p>
        </w:tc>
      </w:tr>
    </w:tbl>
    <w:p>
      <w:pPr>
        <w:pStyle w:val="BodyText"/>
      </w:pPr>
      <w:r>
        <w:t xml:space="preserve">ThermoRoute beats every</w:t>
      </w:r>
      <w:r>
        <w:t xml:space="preserve"> </w:t>
      </w:r>
      <w:r>
        <w:rPr>
          <w:i/>
          <w:iCs/>
        </w:rPr>
        <w:t xml:space="preserve">physics</w:t>
      </w:r>
      <w:r>
        <w:t xml:space="preserve"> </w:t>
      </w:r>
      <w:r>
        <w:t xml:space="preserve">baseline at every horizon and on</w:t>
      </w:r>
      <w:r>
        <w:t xml:space="preserve"> </w:t>
      </w:r>
      <w:r>
        <w:rPr>
          <w:b/>
          <w:bCs/>
        </w:rPr>
        <w:t xml:space="preserve">83–89 % of</w:t>
      </w:r>
      <w:r>
        <w:rPr>
          <w:b/>
          <w:bCs/>
        </w:rPr>
        <w:t xml:space="preserve"> </w:t>
      </w:r>
      <w:r>
        <w:rPr>
          <w:b/>
          <w:bCs/>
        </w:rPr>
        <w:t xml:space="preserve">individual stations</w:t>
      </w:r>
      <w:r>
        <w:t xml:space="preserve"> </w:t>
      </w:r>
      <w:r>
        <w:t xml:space="preserve">— a consistent, not outlier-driven, advantage that survives</w:t>
      </w:r>
      <w:r>
        <w:t xml:space="preserve"> </w:t>
      </w:r>
      <w:r>
        <w:t xml:space="preserve">the inner-join identical-keys enforcement (§3.5). Per-station Wilcoxon paired</w:t>
      </w:r>
      <w:r>
        <w:t xml:space="preserve"> </w:t>
      </w:r>
      <w:r>
        <w:t xml:space="preserve">tests (n=120) give median skill +0.174 / +0.080 / +0.037 vs damped persistence</w:t>
      </w:r>
      <w:r>
        <w:t xml:space="preserve"> </w:t>
      </w:r>
      <w:r>
        <w:t xml:space="preserve">(p ≤ 4×10⁻¹⁸ at every horizon) and +0.205 / +0.189 / +0.251 vs raw persistence</w:t>
      </w:r>
      <w:r>
        <w:t xml:space="preserve"> </w:t>
      </w:r>
      <w:r>
        <w:t xml:space="preserve">(p ≤ 2×10⁻¹⁹). The bootstrap 95 % CIs (station resampling) all exclude zero by a</w:t>
      </w:r>
      <w:r>
        <w:t xml:space="preserve"> </w:t>
      </w:r>
      <w:r>
        <w:t xml:space="preserve">wide margin.</w:t>
      </w:r>
    </w:p>
    <w:p>
      <w:pPr>
        <w:pStyle w:val="BodyText"/>
      </w:pPr>
      <w:r>
        <w:t xml:space="preserve">The strong gradient-boosting baseline (LightGBM) is competitive and the</w:t>
      </w:r>
      <w:r>
        <w:t xml:space="preserve"> </w:t>
      </w:r>
      <w:r>
        <w:t xml:space="preserve">comparison is the most interesting case.</w:t>
      </w:r>
      <w:r>
        <w:t xml:space="preserve"> </w:t>
      </w:r>
      <w:r>
        <w:rPr>
          <w:b/>
          <w:bCs/>
        </w:rPr>
        <w:t xml:space="preserve">At 1 day LightGBM is significantly</w:t>
      </w:r>
      <w:r>
        <w:rPr>
          <w:b/>
          <w:bCs/>
        </w:rPr>
        <w:t xml:space="preserve"> </w:t>
      </w:r>
      <w:r>
        <w:rPr>
          <w:b/>
          <w:bCs/>
        </w:rPr>
        <w:t xml:space="preserve">better than ThermoRoute</w:t>
      </w:r>
      <w:r>
        <w:t xml:space="preserve"> </w:t>
      </w:r>
      <w:r>
        <w:t xml:space="preserve">(median skill −0.018, p = 3×10⁻⁵, ThermoRoute wins</w:t>
      </w:r>
      <w:r>
        <w:t xml:space="preserve"> </w:t>
      </w:r>
      <w:r>
        <w:t xml:space="preserve">only 33 % of stations), reflecting LightGBM’s strength when the</w:t>
      </w:r>
      <w:r>
        <w:t xml:space="preserve"> </w:t>
      </w:r>
      <w:r>
        <w:t xml:space="preserve">short-horizon signal is dominated by lagged WTEMP that ThermoRoute’s physics</w:t>
      </w:r>
      <w:r>
        <w:t xml:space="preserve"> </w:t>
      </w:r>
      <w:r>
        <w:t xml:space="preserve">prior already supplies but with less flexibility than 200 boosted trees can add.</w:t>
      </w:r>
      <w:r>
        <w:t xml:space="preserve"> </w:t>
      </w:r>
      <w:r>
        <w:t xml:space="preserve">At 3–7 days the ordering flips: ThermoRoute wins on median (1.282/1.655 vs</w:t>
      </w:r>
      <w:r>
        <w:t xml:space="preserve"> </w:t>
      </w:r>
      <w:r>
        <w:t xml:space="preserve">1.300/1.669), the per-station paired difference favours ThermoRoute (median</w:t>
      </w:r>
      <w:r>
        <w:t xml:space="preserve"> </w:t>
      </w:r>
      <w:r>
        <w:t xml:space="preserve">skill +0.014/+0.006, p = 1×10⁻⁸ and 9×10⁻⁴) and ThermoRoute wins</w:t>
      </w:r>
      <w:r>
        <w:t xml:space="preserve"> </w:t>
      </w:r>
      <w:r>
        <w:rPr>
          <w:b/>
          <w:bCs/>
        </w:rPr>
        <w:t xml:space="preserve">75 / 67 %</w:t>
      </w:r>
      <w:r>
        <w:t xml:space="preserve"> </w:t>
      </w:r>
      <w:r>
        <w:t xml:space="preserve">of</w:t>
      </w:r>
      <w:r>
        <w:t xml:space="preserve"> </w:t>
      </w:r>
      <w:r>
        <w:t xml:space="preserve">stations at h3/h7 respectively. We therefore claim (i) a robust, significant</w:t>
      </w:r>
      <w:r>
        <w:t xml:space="preserve"> </w:t>
      </w:r>
      <w:r>
        <w:t xml:space="preserve">improvement over the physics baselines at every horizon, and (ii) a</w:t>
      </w:r>
      <w:r>
        <w:t xml:space="preserve"> </w:t>
      </w:r>
      <w:r>
        <w:rPr>
          <w:i/>
          <w:iCs/>
        </w:rPr>
        <w:t xml:space="preserve">horizon-conditional</w:t>
      </w:r>
      <w:r>
        <w:t xml:space="preserve"> </w:t>
      </w:r>
      <w:r>
        <w:t xml:space="preserve">result against the strong learned baseline: LightGBM</w:t>
      </w:r>
      <w:r>
        <w:t xml:space="preserve"> </w:t>
      </w:r>
      <w:r>
        <w:t xml:space="preserve">better at 1 day, ThermoRoute better at 3–7 days. We do</w:t>
      </w:r>
      <w:r>
        <w:t xml:space="preserve"> </w:t>
      </w:r>
      <w:r>
        <w:rPr>
          <w:b/>
          <w:bCs/>
        </w:rPr>
        <w:t xml:space="preserve">not</w:t>
      </w:r>
      <w:r>
        <w:t xml:space="preserve"> </w:t>
      </w:r>
      <w:r>
        <w:t xml:space="preserve">claim a uniform</w:t>
      </w:r>
      <w:r>
        <w:t xml:space="preserve"> </w:t>
      </w:r>
      <w:r>
        <w:t xml:space="preserve">advantage over LightGBM. The intermediate 40-station pilot gives the same</w:t>
      </w:r>
      <w:r>
        <w:t xml:space="preserve"> </w:t>
      </w:r>
      <w:r>
        <w:t xml:space="preserve">qualitative ordering with smaller effect sizes; the 120-station numbers are the</w:t>
      </w:r>
      <w:r>
        <w:t xml:space="preserve"> </w:t>
      </w:r>
      <w:r>
        <w:t xml:space="preserve">headline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w:t>
      </w:r>
    </w:p>
    <w:bookmarkEnd w:id="25"/>
    <w:bookmarkStart w:id="26" w:name="X6c23a05b3f93a778ebaa62f71de63224e9e2f84"/>
    <w:p>
      <w:pPr>
        <w:pStyle w:val="Heading3"/>
      </w:pPr>
      <w:r>
        <w:t xml:space="preserve">4.3 Spatial transfer to unseen basins (Table B)</w:t>
      </w:r>
    </w:p>
    <w:p>
      <w:pPr>
        <w:pStyle w:val="FirstParagraph"/>
      </w:pPr>
      <w:r>
        <w:t xml:space="preserve">We use leave-group-out (LGO) — training on a held-in subset and forecasting an</w:t>
      </w:r>
      <w:r>
        <w:t xml:space="preserve"> </w:t>
      </w:r>
      <w:r>
        <w:t xml:space="preserve">entirely held-out subset of basins. On the headline 120-station setup, training on</w:t>
      </w:r>
      <w:r>
        <w:t xml:space="preserve"> </w:t>
      </w:r>
      <w:r>
        <w:t xml:space="preserve">90 stations and testing on 30 unseen basins gives a</w:t>
      </w:r>
      <w:r>
        <w:t xml:space="preserve"> </w:t>
      </w:r>
      <w:r>
        <w:rPr>
          <w:b/>
          <w:bCs/>
        </w:rPr>
        <w:t xml:space="preserve">single-realisation</w:t>
      </w:r>
      <w:r>
        <w:t xml:space="preserve"> </w:t>
      </w:r>
      <w:r>
        <w:t xml:space="preserve">transfer skill vs persistence of</w:t>
      </w:r>
      <w:r>
        <w:t xml:space="preserve"> </w:t>
      </w:r>
      <w:r>
        <w:rPr>
          <w:b/>
          <w:bCs/>
        </w:rPr>
        <w:t xml:space="preserve">+0.16 / +0.16 / +0.24</w:t>
      </w:r>
      <w:r>
        <w:t xml:space="preserve"> </w:t>
      </w:r>
      <w:r>
        <w:t xml:space="preserve">at 1 / 3 / 7 days</w:t>
      </w:r>
      <w:r>
        <w:t xml:space="preserve"> </w:t>
      </w:r>
      <w:r>
        <w:t xml:space="preserve">(RMSE 0.656 / 1.285 / 1.553 vs persistence 0.780 / 1.528 / 2.058). A single</w:t>
      </w:r>
      <w:r>
        <w:t xml:space="preserve"> </w:t>
      </w:r>
      <w:r>
        <w:t xml:space="preserve">random 75/25 split does not give an across-fold uncertainty estimate; for that</w:t>
      </w:r>
      <w:r>
        <w:t xml:space="preserve"> </w:t>
      </w:r>
      <w:r>
        <w:t xml:space="preserve">we point to the 4-fold LGO on the 40-station pilot — every available station</w:t>
      </w:r>
      <w:r>
        <w:t xml:space="preserve"> </w:t>
      </w:r>
      <w:r>
        <w:t xml:space="preserve">held out exactly once — which gave a more conservative average skill of</w:t>
      </w:r>
      <w:r>
        <w:t xml:space="preserve"> </w:t>
      </w:r>
      <w:r>
        <w:rPr>
          <w:b/>
          <w:bCs/>
        </w:rPr>
        <w:t xml:space="preserve">+0.13 / +0.14 / +0.23</w:t>
      </w:r>
      <w:r>
        <w:t xml:space="preserve"> </w:t>
      </w:r>
      <w:r>
        <w:t xml:space="preserve">with small across-fold variability (std ≈ 0.02;</w:t>
      </w:r>
      <w:r>
        <w:t xml:space="preserve"> </w:t>
      </w:r>
      <w:r>
        <w:t xml:space="preserve">per-fold h7 skill 0.22–0.25), and also beats</w:t>
      </w:r>
      <w:r>
        <w:t xml:space="preserve"> </w:t>
      </w:r>
      <w:r>
        <w:rPr>
          <w:i/>
          <w:iCs/>
        </w:rPr>
        <w:t xml:space="preserve">damped</w:t>
      </w:r>
      <w:r>
        <w:t xml:space="preserve"> </w:t>
      </w:r>
      <w:r>
        <w:t xml:space="preserve">persistence on the unseen</w:t>
      </w:r>
      <w:r>
        <w:t xml:space="preserve"> </w:t>
      </w:r>
      <w:r>
        <w:t xml:space="preserve">basins (+0.09 / +0.02 / +0.01). The combination — large-sample one-shot for</w:t>
      </w:r>
      <w:r>
        <w:t xml:space="preserve"> </w:t>
      </w:r>
      <w:r>
        <w:t xml:space="preserve">effect size, small-sample multi-fold for variance — is the most informative</w:t>
      </w:r>
      <w:r>
        <w:t xml:space="preserve"> </w:t>
      </w:r>
      <w:r>
        <w:t xml:space="preserve">report under the available compute; a full 4-fold LGO on the 120-station panel</w:t>
      </w:r>
      <w:r>
        <w:t xml:space="preserve"> </w:t>
      </w:r>
      <w:r>
        <w:t xml:space="preserve">is queued as a robustness check (§S3). This is the contribution a single-site</w:t>
      </w:r>
      <w:r>
        <w:t xml:space="preserve"> </w:t>
      </w:r>
      <w:r>
        <w:t xml:space="preserve">study cannot make: the learned prior plus a station-agnostic residual</w:t>
      </w:r>
      <w:r>
        <w:t xml:space="preserve"> </w:t>
      </w:r>
      <w:r>
        <w:t xml:space="preserve">generalises across basins, not just across years at one site.</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0.911 / 0.912</w:t>
      </w:r>
      <w:r>
        <w:t xml:space="preserve"> </w:t>
      </w:r>
      <w:r>
        <w:t xml:space="preserve">at 1 / 3 / 7 days, with</w:t>
      </w:r>
      <w:r>
        <w:t xml:space="preserve"> </w:t>
      </w:r>
      <w:r>
        <w:rPr>
          <w:b/>
          <w:bCs/>
        </w:rPr>
        <w:t xml:space="preserve">93 / 91 / 86 %</w:t>
      </w:r>
      <w:r>
        <w:t xml:space="preserve"> </w:t>
      </w:r>
      <w:r>
        <w:t xml:space="preserve">of the n=114 blind-test stations</w:t>
      </w:r>
      <w:r>
        <w:t xml:space="preserve"> </w:t>
      </w:r>
      <w:r>
        <w:t xml:space="preserve">falling within ±0.05 of nominal (Wilson 95 % CIs: 87–97 %, 84–95 %, 78–91 %;</w:t>
      </w:r>
      <w:r>
        <w:t xml:space="preserve"> </w:t>
      </w:r>
      <w:r>
        <w:t xml:space="preserve">Figure 3). LightGBM is similarly calibrated (PICP 0.905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(mean PICP ≈ 0.90) but</w:t>
      </w:r>
      <w:r>
        <w:t xml:space="preserve"> </w:t>
      </w:r>
      <w:r>
        <w:rPr>
          <w:i/>
          <w:iCs/>
        </w:rPr>
        <w:t xml:space="preserve">across-station</w:t>
      </w:r>
      <w:r>
        <w:t xml:space="preserve"> </w:t>
      </w:r>
      <w:r>
        <w:t xml:space="preserve">tightness is worse (n=36 PICP range</w:t>
      </w:r>
      <w:r>
        <w:t xml:space="preserve"> </w:t>
      </w:r>
      <w:r>
        <w:t xml:space="preserve">0.65–0.91),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modest positive skill (Brier-skill</w:t>
      </w:r>
      <w:r>
        <w:t xml:space="preserve"> </w:t>
      </w:r>
      <w:r>
        <w:t xml:space="preserve">+0.30 / +0.25 / +0.24; AUPRC 0.57 / 0.51 / 0.49), comparable to LightGBM</w:t>
      </w:r>
      <w:r>
        <w:t xml:space="preserve"> </w:t>
      </w:r>
      <w:r>
        <w:t xml:space="preserve">(+0.33 / +0.30 / +0.28).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0.90 / 0.86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0.85 / 0.82).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4 % of stations</w:t>
      </w:r>
      <w:r>
        <w:t xml:space="preserve"> </w:t>
      </w:r>
      <w:r>
        <w:t xml:space="preserve">(median κ_high/κ_low =</w:t>
      </w:r>
      <w:r>
        <w:t xml:space="preserve"> </w:t>
      </w:r>
      <w:r>
        <w:t xml:space="preserve">0.94; mean κ_low 0.110 vs κ_high 0.103) — and at only 24 % on the smaller 40-</w:t>
      </w:r>
      <w:r>
        <w:t xml:space="preserve"> </w:t>
      </w:r>
      <w:r>
        <w:t xml:space="preserve">station pilot — so there is no consistent, physically directional flow dependence</w:t>
      </w:r>
      <w:r>
        <w:t xml:space="preserve"> </w:t>
      </w:r>
      <w:r>
        <w:t xml:space="preserve">at scale.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 air</w:t>
      </w:r>
      <w:r>
        <w:t xml:space="preserve"> </w:t>
      </w:r>
      <w:r>
        <w:t xml:space="preserve">temperature (≈95 % of routing weight) plus a small contribution from recent</w:t>
      </w:r>
      <w:r>
        <w:t xml:space="preserve"> </w:t>
      </w:r>
      <w:r>
        <w:t xml:space="preserve">WTEMP (≈5 %), consistent with the dominance of air–water heat exchange at short</w:t>
      </w:r>
      <w:r>
        <w:t xml:space="preserve"> </w:t>
      </w:r>
      <w:r>
        <w:t xml:space="preserve">range; at 3 and 7 days the share spreads to precipitation (33 % / 36 %), wind</w:t>
      </w:r>
      <w:r>
        <w:t xml:space="preserve"> </w:t>
      </w:r>
      <w:r>
        <w:t xml:space="preserve">speed (25 % / 23 %) and humidity (18 % / 17 %), consistent with event-driven,</w:t>
      </w:r>
      <w:r>
        <w:t xml:space="preserve"> </w:t>
      </w:r>
      <w:r>
        <w:t xml:space="preserve">runoff- and energy-budget-mediated temperature change becoming more important at</w:t>
      </w:r>
      <w:r>
        <w:t xml:space="preserve"> </w:t>
      </w:r>
      <w:r>
        <w:t xml:space="preserve">longer leads. This is an interpretive read-out, not a causal mechanism (Figure 4).</w:t>
      </w:r>
    </w:p>
    <w:p>
      <w:pPr>
        <w:pStyle w:val="CaptionedFigure"/>
      </w:pPr>
      <w:r>
        <w:drawing>
          <wp:inline>
            <wp:extent cx="4533900" cy="2115683"/>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only 4 % of stations on the 120-station panel (and 24 % on the 40-station pilot), median ratio 0.94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 only</w:t>
      </w:r>
      <w:r>
        <w:t xml:space="preserve"> </w:t>
      </w:r>
      <w:r>
        <w:rPr>
          <w:b/>
          <w:bCs/>
        </w:rPr>
        <w:t xml:space="preserve">4 % of stations</w:t>
      </w:r>
      <w:r>
        <w:t xml:space="preserve"> </w:t>
      </w:r>
      <w:r>
        <w:t xml:space="preserve">on the 120-station panel (and 24 % on the 40-station pilot), median ratio 0.94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On the 120-station</w:t>
      </w:r>
      <w:r>
        <w:t xml:space="preserve"> </w:t>
      </w:r>
      <w:r>
        <w:t xml:space="preserve">panel, single-seed per-station median RMSE (1 / 3 / 7 days):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r>
      <w:tr>
        <w:tc>
          <w:tcPr/>
          <w:p>
            <w:pPr>
              <w:pStyle w:val="Compact"/>
            </w:pPr>
            <w:r>
              <w:rPr>
                <w:b/>
                <w:bCs/>
              </w:rPr>
              <w:t xml:space="preserve">ThermoRoute (full)</w:t>
            </w:r>
          </w:p>
        </w:tc>
        <w:tc>
          <w:tcPr/>
          <w:p>
            <w:pPr>
              <w:pStyle w:val="Compact"/>
            </w:pPr>
            <w:r>
              <w:rPr>
                <w:b/>
                <w:bCs/>
              </w:rPr>
              <w:t xml:space="preserve">0.629</w:t>
            </w:r>
          </w:p>
        </w:tc>
        <w:tc>
          <w:tcPr/>
          <w:p>
            <w:pPr>
              <w:pStyle w:val="Compact"/>
            </w:pPr>
            <w:r>
              <w:rPr>
                <w:b/>
                <w:bCs/>
              </w:rPr>
              <w:t xml:space="preserve">1.282</w:t>
            </w:r>
          </w:p>
        </w:tc>
        <w:tc>
          <w:tcPr/>
          <w:p>
            <w:pPr>
              <w:pStyle w:val="Compact"/>
            </w:pPr>
            <w:r>
              <w:rPr>
                <w:b/>
                <w:bCs/>
              </w:rPr>
              <w:t xml:space="preserve">1.655</w:t>
            </w:r>
          </w:p>
        </w:tc>
      </w:tr>
      <w:tr>
        <w:tc>
          <w:tcPr/>
          <w:p>
            <w:pPr>
              <w:pStyle w:val="Compact"/>
            </w:pPr>
            <w:r>
              <w:t xml:space="preserve">TR-noPrior</w:t>
            </w:r>
          </w:p>
        </w:tc>
        <w:tc>
          <w:tcPr/>
          <w:p>
            <w:pPr>
              <w:pStyle w:val="Compact"/>
            </w:pPr>
            <w:r>
              <w:t xml:space="preserve">1.177</w:t>
            </w:r>
          </w:p>
        </w:tc>
        <w:tc>
          <w:tcPr/>
          <w:p>
            <w:pPr>
              <w:pStyle w:val="Compact"/>
            </w:pPr>
            <w:r>
              <w:t xml:space="preserve">1.440</w:t>
            </w:r>
          </w:p>
        </w:tc>
        <w:tc>
          <w:tcPr/>
          <w:p>
            <w:pPr>
              <w:pStyle w:val="Compact"/>
            </w:pPr>
            <w:r>
              <w:t xml:space="preserve">1.684</w:t>
            </w:r>
          </w:p>
        </w:tc>
      </w:tr>
      <w:tr>
        <w:tc>
          <w:tcPr/>
          <w:p>
            <w:pPr>
              <w:pStyle w:val="Compact"/>
            </w:pPr>
            <w:r>
              <w:t xml:space="preserve">TR-noMoE</w:t>
            </w:r>
          </w:p>
        </w:tc>
        <w:tc>
          <w:tcPr/>
          <w:p>
            <w:pPr>
              <w:pStyle w:val="Compact"/>
            </w:pPr>
            <w:r>
              <w:t xml:space="preserve">0.745</w:t>
            </w:r>
          </w:p>
        </w:tc>
        <w:tc>
          <w:tcPr/>
          <w:p>
            <w:pPr>
              <w:pStyle w:val="Compact"/>
            </w:pPr>
            <w:r>
              <w:t xml:space="preserve">1.359</w:t>
            </w:r>
          </w:p>
        </w:tc>
        <w:tc>
          <w:tcPr/>
          <w:p>
            <w:pPr>
              <w:pStyle w:val="Compact"/>
            </w:pPr>
            <w:r>
              <w:t xml:space="preserve">1.692</w:t>
            </w:r>
          </w:p>
        </w:tc>
      </w:tr>
      <w:tr>
        <w:tc>
          <w:tcPr/>
          <w:p>
            <w:pPr>
              <w:pStyle w:val="Compact"/>
            </w:pPr>
            <w:r>
              <w:t xml:space="preserve">TR-noRouter</w:t>
            </w:r>
          </w:p>
        </w:tc>
        <w:tc>
          <w:tcPr/>
          <w:p>
            <w:pPr>
              <w:pStyle w:val="Compact"/>
            </w:pPr>
            <w:r>
              <w:t xml:space="preserve">0.640</w:t>
            </w:r>
          </w:p>
        </w:tc>
        <w:tc>
          <w:tcPr/>
          <w:p>
            <w:pPr>
              <w:pStyle w:val="Compact"/>
            </w:pPr>
            <w:r>
              <w:t xml:space="preserve">1.294</w:t>
            </w:r>
          </w:p>
        </w:tc>
        <w:tc>
          <w:tcPr/>
          <w:p>
            <w:pPr>
              <w:pStyle w:val="Compact"/>
            </w:pPr>
            <w:r>
              <w:t xml:space="preserve">1.667</w:t>
            </w:r>
          </w:p>
        </w:tc>
      </w:tr>
      <w:tr>
        <w:tc>
          <w:tcPr/>
          <w:p>
            <w:pPr>
              <w:pStyle w:val="Compact"/>
            </w:pPr>
            <w:r>
              <w:t xml:space="preserve">TR-fixedKappa</w:t>
            </w:r>
          </w:p>
        </w:tc>
        <w:tc>
          <w:tcPr/>
          <w:p>
            <w:pPr>
              <w:pStyle w:val="Compact"/>
            </w:pPr>
            <w:r>
              <w:t xml:space="preserve">0.648</w:t>
            </w:r>
          </w:p>
        </w:tc>
        <w:tc>
          <w:tcPr/>
          <w:p>
            <w:pPr>
              <w:pStyle w:val="Compact"/>
            </w:pPr>
            <w:r>
              <w:t xml:space="preserve">1.305</w:t>
            </w:r>
          </w:p>
        </w:tc>
        <w:tc>
          <w:tcPr/>
          <w:p>
            <w:pPr>
              <w:pStyle w:val="Compact"/>
            </w:pPr>
            <w:r>
              <w:t xml:space="preserve">1.655</w:t>
            </w:r>
          </w:p>
        </w:tc>
      </w:tr>
    </w:tbl>
    <w:p>
      <w:pPr>
        <w:pStyle w:val="BodyText"/>
      </w:pPr>
      <w:r>
        <w:t xml:space="preserve">Removing the physics prior is catastrophic — RMSE nearly doubles at 1 day</w:t>
      </w:r>
      <w:r>
        <w:t xml:space="preserve"> </w:t>
      </w:r>
      <w:r>
        <w:t xml:space="preserve">(0.629 → 1.177) and grows materially at 3 / 7 days — confirming that the prior</w:t>
      </w:r>
      <w:r>
        <w:t xml:space="preserve"> </w:t>
      </w:r>
      <w:r>
        <w:t xml:space="preserve">carries the forecast. Removing the mixture-of-experts hurts (+0.077 / +0.077 /</w:t>
      </w:r>
      <w:r>
        <w:t xml:space="preserve"> </w:t>
      </w:r>
      <w:r>
        <w:t xml:space="preserve">+0.037 at 1 / 3 / 7 d); removing the router hurts slightly (+0.011 / +0.012 /</w:t>
      </w:r>
      <w:r>
        <w:t xml:space="preserve"> </w:t>
      </w:r>
      <w:r>
        <w:t xml:space="preserve">+0.012); freezing the dynamic-κ modulators (TR-fixedKappa) gives effectively the</w:t>
      </w:r>
      <w:r>
        <w:t xml:space="preserve"> </w:t>
      </w:r>
      <w:r>
        <w:t xml:space="preserve">same accuracy as the full model (±0.019 / +0.023 / 0.000), reinforcing the §4.5</w:t>
      </w:r>
      <w:r>
        <w:t xml:space="preserve"> </w:t>
      </w:r>
      <w:r>
        <w:t xml:space="preserve">finding that the dynamic-κ modulation is not an accuracy lever. The honest</w:t>
      </w:r>
      <w:r>
        <w:t xml:space="preserve"> </w:t>
      </w:r>
      <w:r>
        <w:t xml:space="preserve">reading is that the prior, experts and router contribute real accuracy in</w:t>
      </w:r>
      <w:r>
        <w:t xml:space="preserve"> </w:t>
      </w:r>
      <w:r>
        <w:t xml:space="preserve">proportion to their effect sizes; dynamic-κ is interpretive overhead, retained</w:t>
      </w:r>
      <w:r>
        <w:t xml:space="preserve"> </w:t>
      </w:r>
      <w:r>
        <w:t xml:space="preserve">in the model only because freezing it does not improve accuracy either. The</w:t>
      </w:r>
      <w:r>
        <w:t xml:space="preserve"> </w:t>
      </w:r>
      <w:r>
        <w:t xml:space="preserve">multi-seed paired tests with Wilcoxon p-values are queued in the rigor stage</w:t>
      </w:r>
      <w:r>
        <w:t xml:space="preserve"> </w:t>
      </w:r>
      <w:r>
        <w:t xml:space="preserve">(§S3); we expect the prior/experts/router gaps to remain significant by orders</w:t>
      </w:r>
      <w:r>
        <w:t xml:space="preserve"> </w:t>
      </w:r>
      <w:r>
        <w:t xml:space="preserve">of magnitude.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2026-06-30T20:41:18Z</dcterms:created>
  <dcterms:modified xsi:type="dcterms:W3CDTF">2026-06-30T20:41:18Z</dcterms:modified>
</cp:coreProperties>
</file>

<file path=docProps/custom.xml><?xml version="1.0" encoding="utf-8"?>
<Properties xmlns="http://schemas.openxmlformats.org/officeDocument/2006/custom-properties" xmlns:vt="http://schemas.openxmlformats.org/officeDocument/2006/docPropsVTypes"/>
</file>