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0" w:line="240" w:lineRule="auto"/>
      </w:pPr>
    </w:p>
    <w:p>
      <w:pPr>
        <w:pStyle w:val="Title"/>
        <w:spacing w:after="80"/>
        <w:jc w:val="left"/>
      </w:pPr>
      <w:r>
        <w:rPr>
          <w:rFonts w:ascii="Calibri" w:hAnsi="Calibri" w:eastAsia="Calibri" w:cs="Calibri"/>
          <w:b/>
          <w:color w:val="000000"/>
          <w:sz w:val="46"/>
        </w:rPr>
        <w:t>THERMOROUTE HIGHLIGHTS</w:t>
      </w:r>
    </w:p>
    <w:p>
      <w:pPr>
        <w:pStyle w:val="Subtitle"/>
        <w:spacing w:after="280"/>
        <w:jc w:val="left"/>
      </w:pPr>
      <w:r>
        <w:rPr>
          <w:rFonts w:ascii="Calibri" w:hAnsi="Calibri" w:eastAsia="Calibri" w:cs="Calibri"/>
          <w:b w:val="0"/>
        </w:rPr>
        <w:t>PRE-OPEN / INCOMPLETE - DESIGN HIGHLIGHTS ONLY</w:t>
      </w:r>
    </w:p>
    <w:p>
      <w:pPr>
        <w:pStyle w:val="PreOpenMetadata"/>
      </w:pPr>
      <w:r>
        <w:rPr>
          <w:rFonts w:ascii="Calibri" w:hAnsi="Calibri" w:eastAsia="Calibri" w:cs="Calibri"/>
          <w:b/>
          <w:color w:val="000000"/>
          <w:sz w:val="21"/>
        </w:rPr>
        <w:t xml:space="preserve">Evidence state: </w:t>
      </w:r>
      <w:r>
        <w:rPr>
          <w:rFonts w:ascii="Calibri" w:hAnsi="Calibri" w:eastAsia="Calibri" w:cs="Calibri"/>
          <w:color w:val="000000"/>
          <w:sz w:val="21"/>
        </w:rPr>
        <w:t>Canonical computation and target-period evaluation incomplete</w:t>
      </w:r>
    </w:p>
    <w:p>
      <w:pPr>
        <w:pStyle w:val="PreOpenMetadata"/>
      </w:pPr>
      <w:r>
        <w:rPr>
          <w:rFonts w:ascii="Calibri" w:hAnsi="Calibri" w:eastAsia="Calibri" w:cs="Calibri"/>
          <w:b/>
          <w:color w:val="000000"/>
          <w:sz w:val="21"/>
        </w:rPr>
        <w:t xml:space="preserve">Use: </w:t>
      </w:r>
      <w:r>
        <w:rPr>
          <w:rFonts w:ascii="Calibri" w:hAnsi="Calibri" w:eastAsia="Calibri" w:cs="Calibri"/>
          <w:color w:val="000000"/>
          <w:sz w:val="21"/>
        </w:rPr>
        <w:t>Internal review; not a performance summary</w:t>
      </w:r>
    </w:p>
    <w:p>
      <w:pPr>
        <w:spacing w:before="140" w:after="200" w:line="240" w:lineRule="auto"/>
        <w:pBdr>
          <w:bottom w:val="single" w:sz="14" w:space="4" w:color="1F4D78"/>
        </w:pBdr>
      </w:pPr>
    </w:p>
    <w:p>
      <w:pPr>
        <w:pStyle w:val="PreOpenCallout"/>
        <w:shd w:fill="F4F6F9"/>
        <w:pBdr>
          <w:left w:val="single" w:sz="20" w:space="8" w:color="2E74B5"/>
        </w:pBdr>
        <w:keepLines/>
      </w:pPr>
      <w:r>
        <w:rPr>
          <w:rFonts w:ascii="Calibri" w:hAnsi="Calibri" w:eastAsia="Calibri" w:cs="Calibri"/>
          <w:b w:val="0"/>
        </w:rPr>
        <w:t>Draft status: the canonical computation and one-time target-period evaluation remain incomplete. These are design highlights, not performance findings. This byte-frozen pre-opening status snapshot is not a live project-status page and is not rewritten after the one-time opening.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numPr>
          <w:ilvl w:val="0"/>
          <w:numId w:val="12"/>
        </w:numPr>
        <w:spacing w:before="0" w:after="80" w:line="300" w:lineRule="auto"/>
        <w:jc w:val="left"/>
        <w:keepLines/>
      </w:pPr>
      <w:r>
        <w:rPr>
          <w:rFonts w:ascii="Calibri" w:hAnsi="Calibri" w:eastAsia="Calibri" w:cs="Calibri"/>
          <w:b w:val="0"/>
        </w:rPr>
        <w:t>Is designed to hindcast daily river water temperature at 1-, 3-, and 7-day horizons.</w:t>
      </w:r>
    </w:p>
    <w:p>
      <w:pPr>
        <w:numPr>
          <w:ilvl w:val="0"/>
          <w:numId w:val="12"/>
        </w:numPr>
        <w:spacing w:before="0" w:after="80" w:line="300" w:lineRule="auto"/>
        <w:jc w:val="left"/>
        <w:keepLines/>
      </w:pPr>
      <w:r>
        <w:rPr>
          <w:rFonts w:ascii="Calibri" w:hAnsi="Calibri" w:eastAsia="Calibri" w:cs="Calibri"/>
          <w:b w:val="0"/>
        </w:rPr>
        <w:t>Anchors a learned temporal model to damped persistence with a bounded residual.</w:t>
      </w:r>
    </w:p>
    <w:p>
      <w:pPr>
        <w:numPr>
          <w:ilvl w:val="0"/>
          <w:numId w:val="12"/>
        </w:numPr>
        <w:spacing w:before="0" w:after="80" w:line="300" w:lineRule="auto"/>
        <w:jc w:val="left"/>
        <w:keepLines/>
      </w:pPr>
      <w:r>
        <w:rPr>
          <w:rFonts w:ascii="Calibri" w:hAnsi="Calibri" w:eastAsia="Calibri" w:cs="Calibri"/>
          <w:b w:val="0"/>
        </w:rPr>
        <w:t>Uses a stable 120-site USGS development panel covering 2006–2020.</w:t>
      </w:r>
    </w:p>
    <w:p>
      <w:pPr>
        <w:numPr>
          <w:ilvl w:val="0"/>
          <w:numId w:val="12"/>
        </w:numPr>
        <w:spacing w:before="0" w:after="80" w:line="300" w:lineRule="auto"/>
        <w:jc w:val="left"/>
        <w:keepLines/>
      </w:pPr>
      <w:r>
        <w:rPr>
          <w:rFonts w:ascii="Calibri" w:hAnsi="Calibri" w:eastAsia="Calibri" w:cs="Calibri"/>
          <w:b w:val="0"/>
        </w:rPr>
        <w:t>Separates training, validation, calibration, and exploratory development years.</w:t>
      </w:r>
    </w:p>
    <w:p>
      <w:pPr>
        <w:numPr>
          <w:ilvl w:val="0"/>
          <w:numId w:val="12"/>
        </w:numPr>
        <w:spacing w:before="0" w:after="80" w:line="300" w:lineRule="auto"/>
        <w:jc w:val="left"/>
        <w:keepLines/>
      </w:pPr>
      <w:r>
        <w:rPr>
          <w:rFonts w:ascii="Calibri" w:hAnsi="Calibri" w:eastAsia="Calibri" w:cs="Calibri"/>
          <w:b w:val="0"/>
        </w:rPr>
        <w:t>The frozen protocol specifies six primary model types and seven one-factor controls.</w:t>
      </w:r>
    </w:p>
    <w:p>
      <w:pPr>
        <w:numPr>
          <w:ilvl w:val="0"/>
          <w:numId w:val="12"/>
        </w:numPr>
        <w:spacing w:before="0" w:after="80" w:line="300" w:lineRule="auto"/>
        <w:jc w:val="left"/>
        <w:keepLines/>
      </w:pPr>
      <w:r>
        <w:rPr>
          <w:rFonts w:ascii="Calibri" w:hAnsi="Calibri" w:eastAsia="Calibri" w:cs="Calibri"/>
          <w:b w:val="0"/>
        </w:rPr>
        <w:t>Stage 09 controls are single-seed functionality diagnostics, not causal ablations.</w:t>
      </w:r>
    </w:p>
    <w:p>
      <w:pPr>
        <w:numPr>
          <w:ilvl w:val="0"/>
          <w:numId w:val="12"/>
        </w:numPr>
        <w:spacing w:before="0" w:after="80" w:line="300" w:lineRule="auto"/>
        <w:jc w:val="left"/>
        <w:keepLines/>
      </w:pPr>
      <w:r>
        <w:rPr>
          <w:rFonts w:ascii="Calibri" w:hAnsi="Calibri" w:eastAsia="Calibri" w:cs="Calibri"/>
          <w:b w:val="0"/>
        </w:rPr>
        <w:t>Uses station-balanced RMSE effects on identical model-pair target keys.</w:t>
      </w:r>
    </w:p>
    <w:p>
      <w:pPr>
        <w:numPr>
          <w:ilvl w:val="0"/>
          <w:numId w:val="12"/>
        </w:numPr>
        <w:spacing w:before="0" w:after="80" w:line="300" w:lineRule="auto"/>
        <w:jc w:val="left"/>
        <w:keepLines/>
      </w:pPr>
      <w:r>
        <w:rPr>
          <w:rFonts w:ascii="Calibri" w:hAnsi="Calibri" w:eastAsia="Calibri" w:cs="Calibri"/>
          <w:b w:val="0"/>
        </w:rPr>
        <w:t>Computes exact whole-HUC2 sign-flip and Holm sensitivities for five frozen comparisons.</w:t>
      </w:r>
    </w:p>
    <w:p>
      <w:pPr>
        <w:numPr>
          <w:ilvl w:val="0"/>
          <w:numId w:val="12"/>
        </w:numPr>
        <w:spacing w:before="0" w:after="80" w:line="300" w:lineRule="auto"/>
        <w:jc w:val="left"/>
        <w:keepLines/>
      </w:pPr>
      <w:r>
        <w:rPr>
          <w:rFonts w:ascii="Calibri" w:hAnsi="Calibri" w:eastAsia="Calibri" w:cs="Calibri"/>
          <w:b w:val="0"/>
        </w:rPr>
        <w:t>A minimum-30-cluster gate cannot pass with 15 HUC2 groups, so Route A is descriptive only.</w:t>
      </w:r>
    </w:p>
    <w:p>
      <w:pPr>
        <w:numPr>
          <w:ilvl w:val="0"/>
          <w:numId w:val="12"/>
        </w:numPr>
        <w:spacing w:before="0" w:after="80" w:line="300" w:lineRule="auto"/>
        <w:jc w:val="left"/>
        <w:keepLines/>
      </w:pPr>
      <w:r>
        <w:rPr>
          <w:rFonts w:ascii="Calibri" w:hAnsi="Calibri" w:eastAsia="Calibri" w:cs="Calibri"/>
          <w:b w:val="0"/>
        </w:rPr>
        <w:t>Restricts H2 to the frozen four-candidate, five-seed LightGBM procedure.</w:t>
      </w:r>
    </w:p>
    <w:p>
      <w:pPr>
        <w:numPr>
          <w:ilvl w:val="0"/>
          <w:numId w:val="12"/>
        </w:numPr>
        <w:spacing w:before="0" w:after="80" w:line="300" w:lineRule="auto"/>
        <w:jc w:val="left"/>
        <w:keepLines/>
      </w:pPr>
      <w:r>
        <w:rPr>
          <w:rFonts w:ascii="Calibri" w:hAnsi="Calibri" w:eastAsia="Calibri" w:cs="Calibri"/>
          <w:b w:val="0"/>
        </w:rPr>
        <w:t>Audits observable-key temporal coverage with eight fixed descriptive sensitivities.</w:t>
      </w:r>
    </w:p>
    <w:p>
      <w:pPr>
        <w:numPr>
          <w:ilvl w:val="0"/>
          <w:numId w:val="12"/>
        </w:numPr>
        <w:spacing w:before="0" w:after="80" w:line="300" w:lineRule="auto"/>
        <w:jc w:val="left"/>
        <w:keepLines/>
      </w:pPr>
      <w:r>
        <w:rPr>
          <w:rFonts w:ascii="Calibri" w:hAnsi="Calibri" w:eastAsia="Calibri" w:cs="Calibri"/>
          <w:b w:val="0"/>
        </w:rPr>
        <w:t>The opening design will archive raw target requests, identifiers, qualifiers, and conflicts.</w:t>
      </w:r>
    </w:p>
    <w:p>
      <w:pPr>
        <w:numPr>
          <w:ilvl w:val="0"/>
          <w:numId w:val="12"/>
        </w:numPr>
        <w:spacing w:before="0" w:after="80" w:line="300" w:lineRule="auto"/>
        <w:jc w:val="left"/>
        <w:keepLines/>
      </w:pPr>
      <w:r>
        <w:rPr>
          <w:rFonts w:ascii="Calibri" w:hAnsi="Calibri" w:eastAsia="Calibri" w:cs="Calibri"/>
          <w:b w:val="0"/>
        </w:rPr>
        <w:t>Requires a model-freeze commit before candidate metadata and later covariates.</w:t>
      </w:r>
    </w:p>
    <w:p>
      <w:pPr>
        <w:numPr>
          <w:ilvl w:val="0"/>
          <w:numId w:val="12"/>
        </w:numPr>
        <w:spacing w:before="0" w:after="80" w:line="300" w:lineRule="auto"/>
        <w:jc w:val="left"/>
        <w:keepLines/>
      </w:pPr>
      <w:r>
        <w:rPr>
          <w:rFonts w:ascii="Calibri" w:hAnsi="Calibri" w:eastAsia="Calibri" w:cs="Calibri"/>
          <w:b w:val="0"/>
        </w:rPr>
        <w:t>Generates the five comparison statements only from a fully verified one-time receipt.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360" w:num="2"/>
          <w:docGrid w:linePitch="360"/>
        </w:sectPr>
      </w:pPr>
    </w:p>
    <w:p>
      <w:pPr>
        <w:pStyle w:val="Heading1"/>
        <w:keepNext/>
        <w:keepLines/>
      </w:pPr>
      <w:r>
        <w:rPr>
          <w:rFonts w:ascii="Calibri" w:hAnsi="Calibri" w:eastAsia="Calibri" w:cs="Calibri"/>
          <w:b w:val="0"/>
        </w:rPr>
        <w:t>Current status</w:t>
      </w:r>
    </w:p>
    <w:p>
      <w:pPr>
        <w:keepLines/>
      </w:pPr>
      <w:r>
        <w:rPr>
          <w:rFonts w:ascii="Calibri" w:hAnsi="Calibri" w:eastAsia="Calibri" w:cs="Calibri"/>
          <w:b w:val="0"/>
        </w:rPr>
        <w:t>The legacy headline numbers have been withdrawn because they belong to a different station mapping and do not have the lineage sidecars required by the current code. The 2018–2020 predictor-product bridge has passed. The outstanding work is to rerun the canonical development chain, freeze and replay all model bundles, acquire the remaining outcome-free metadata and historical covariates in the required order, pass authorization, execute the fixed opening, receipt-bind the coverage audit, and generate the canonical Markdown result layer and release evidence.</w:t>
      </w:r>
    </w:p>
    <w:p>
      <w:pPr>
        <w:pStyle w:val="Heading1"/>
        <w:keepNext/>
        <w:keepLines/>
      </w:pPr>
      <w:r>
        <w:rPr>
          <w:rFonts w:ascii="Calibri" w:hAnsi="Calibri" w:eastAsia="Calibri" w:cs="Calibri"/>
          <w:b w:val="0"/>
        </w:rPr>
        <w:t>Scope</w:t>
      </w:r>
    </w:p>
    <w:p>
      <w:pPr>
        <w:keepLines/>
      </w:pPr>
      <w:r>
        <w:rPr>
          <w:rFonts w:ascii="Calibri" w:hAnsi="Calibri" w:eastAsia="Calibri" w:cs="Calibri"/>
          <w:b w:val="0"/>
        </w:rPr>
        <w:t>The architecture is physics-inspired but remains a statistical predictor. Its event threshold and numerical comparison margin are methodological quantities. The external-site analysis uses local observation history and remains exploratory. Coverage sensitivities condition on observed issue/target WTEMP and do not establish missing-at-random, all-calendar, year-stability, or season-stability claims. The current Git seal is repository-internal and has no independent timestamp or custodian. The five comparison rows describe the fixed availability-enriched cohort; clustered p-values and intervals are assumption-conditional sensitivities and cannot establish superiority, non-inferiority, equivalence, parity, or national generalization.</w:t>
      </w:r>
    </w:p>
    <w:sectPr w:rsidR="00FC693F" w:rsidRPr="0006063C" w:rsidSect="00034616">
      <w:type w:val="continuous"/>
      <w:pgSz w:w="12240" w:h="15840"/>
      <w:pgMar w:top="1440" w:right="1440" w:bottom="1440" w:left="1440" w:header="708" w:footer="708" w:gutter="0"/>
      <w:cols w:space="36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Calibri" w:cs="Calibri"/>
        <w:color w:val="5F6B78"/>
        <w:sz w:val="18"/>
      </w:rPr>
      <w:t xml:space="preserve">PRE-OPEN / INCOMPLETE  •  Page </w:t>
    </w:r>
    <w:r>
      <w:rPr>
        <w:rFonts w:ascii="Calibri" w:hAnsi="Calibri" w:eastAsia="Calibri" w:cs="Calibri"/>
        <w:color w:val="5F6B7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9360"/>
      </w:tabs>
      <w:spacing w:before="0" w:after="0" w:line="240" w:lineRule="auto"/>
      <w:jc w:val="left"/>
    </w:pPr>
    <w:r>
      <w:rPr>
        <w:rFonts w:ascii="Calibri" w:hAnsi="Calibri" w:eastAsia="Calibri" w:cs="Calibri"/>
        <w:b/>
        <w:color w:val="5F6B78"/>
        <w:sz w:val="17"/>
      </w:rPr>
      <w:t>THERMOROUTE | HIGHLIGHTS</w:t>
    </w:r>
    <w:r>
      <w:rPr>
        <w:rFonts w:ascii="Calibri" w:hAnsi="Calibri" w:eastAsia="Calibri" w:cs="Calibri"/>
        <w:sz w:val="17"/>
      </w:rPr>
      <w:tab/>
    </w:r>
    <w:r>
      <w:rPr>
        <w:rFonts w:ascii="Calibri" w:hAnsi="Calibri" w:eastAsia="Calibri" w:cs="Calibri"/>
        <w:b/>
        <w:color w:val="5F6B78"/>
        <w:sz w:val="17"/>
      </w:rPr>
      <w:t>DESIGN HIGHLIGHTS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before="0"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before="0"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before="0" w:after="80" w:line="300" w:lineRule="auto"/>
      </w:pPr>
    </w:lvl>
  </w:abstractNum>
  <w:num w:numId="11">
    <w:abstractNumId w:val="10"/>
  </w:num>
  <w:num w:numId="12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 w:line="240" w:lineRule="auto"/>
      <w:jc w:val="center"/>
    </w:pPr>
    <w:rPr>
      <w:rFonts w:asciiTheme="majorHAnsi" w:eastAsiaTheme="majorEastAsia" w:hAnsiTheme="majorHAnsi" w:cstheme="majorBidi" w:ascii="Calibri" w:hAnsi="Calibri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eOpenKicker">
    <w:name w:val="PreOpen Kicker"/>
    <w:pPr>
      <w:spacing w:before="0" w:after="360" w:line="240" w:lineRule="auto"/>
      <w:jc w:val="center"/>
    </w:pPr>
    <w:rPr>
      <w:rFonts w:ascii="Calibri" w:hAnsi="Calibri"/>
      <w:b/>
      <w:color w:val="8A6814"/>
      <w:sz w:val="20"/>
    </w:rPr>
  </w:style>
  <w:style w:type="paragraph" w:customStyle="1" w:styleId="PreOpenCallout">
    <w:name w:val="PreOpen Callout"/>
    <w:pPr>
      <w:spacing w:before="120" w:after="200" w:line="276" w:lineRule="auto"/>
      <w:ind w:left="202" w:right="144"/>
      <w:jc w:val="left"/>
    </w:pPr>
    <w:rPr>
      <w:rFonts w:ascii="Calibri" w:hAnsi="Calibri"/>
      <w:color w:val="0B2545"/>
      <w:sz w:val="21"/>
    </w:rPr>
  </w:style>
  <w:style w:type="paragraph" w:customStyle="1" w:styleId="PreOpenMetadata">
    <w:name w:val="PreOpen Metadata"/>
    <w:pPr>
      <w:spacing w:before="0" w:after="60" w:line="264" w:lineRule="auto"/>
    </w:pPr>
    <w:rPr>
      <w:rFonts w:ascii="Calibri" w:hAnsi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ThermoRoute PRE-OPEN highlights</dc:title>
  <dc:subject>PRE-OPEN / INCOMPLETE design highlights</dc:subject>
  <dc:creator>python-docx</dc:creator>
  <cp:keywords/>
  <dc:description>Generated from canonical PRE-OPEN Markdown; design highlights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