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3448188efa7ab07ac09eb725f410ce5339e2995"/>
    <w:p>
      <w:pPr>
        <w:pStyle w:val="Heading1"/>
      </w:pPr>
      <w:r>
        <w:t xml:space="preserve">ThermoRoute: a dynamic thermal-memory prior with calibrated, transferable multi-station river water-temperature forecasting</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scripts/04</w:t>
      </w:r>
      <w:r>
        <w:t xml:space="preserve">, the 40-station large-sample experiment by</w:t>
      </w:r>
      <w:r>
        <w:t xml:space="preserve"> </w:t>
      </w:r>
      <w:r>
        <w:rPr>
          <w:rStyle w:val="VerbatimChar"/>
        </w:rPr>
        <w:t xml:space="preserve">scripts/09</w:t>
      </w:r>
      <w:r>
        <w:t xml:space="preserve"> </w:t>
      </w:r>
      <w:r>
        <w:t xml:space="preserve">(5 seeds),</w:t>
      </w:r>
      <w:r>
        <w:t xml:space="preserve"> </w:t>
      </w:r>
      <w:r>
        <w:t xml:space="preserve">and the calibration/decision/mechanism analysis by</w:t>
      </w:r>
      <w:r>
        <w:t xml:space="preserve"> </w:t>
      </w:r>
      <w:r>
        <w:rPr>
          <w:rStyle w:val="VerbatimChar"/>
        </w:rPr>
        <w:t xml:space="preserve">scripts/10</w:t>
      </w:r>
      <w:r>
        <w:t xml:space="preserve">. Reports:</w:t>
      </w:r>
      <w:r>
        <w:t xml:space="preserve"> </w:t>
      </w:r>
      <w:r>
        <w:rPr>
          <w:rStyle w:val="VerbatimChar"/>
        </w:rPr>
        <w:t xml:space="preserve">outputs/reports/{usgs_experiment,usgs_analysis}.md</w:t>
      </w:r>
      <w:r>
        <w:t xml:space="preserve">; figures</w:t>
      </w:r>
      <w:r>
        <w:t xml:space="preserve"> </w:t>
      </w:r>
      <w:r>
        <w:rPr>
          <w:rStyle w:val="VerbatimChar"/>
        </w:rPr>
        <w:t xml:space="preserve">outputs/figures/</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Operational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which</w:t>
      </w:r>
      <w:r>
        <w:t xml:space="preserve"> </w:t>
      </w:r>
      <w:r>
        <w:t xml:space="preserve">couples a</w:t>
      </w:r>
      <w:r>
        <w:t xml:space="preserve"> </w:t>
      </w:r>
      <w:r>
        <w:rPr>
          <w:i/>
          <w:iCs/>
        </w:rPr>
        <w:t xml:space="preserve">learnable dynamic thermal-relaxation prior</w:t>
      </w:r>
      <w:r>
        <w:t xml:space="preserve"> </w:t>
      </w:r>
      <w:r>
        <w:t xml:space="preserve">— a flow- and</w:t>
      </w:r>
      <w:r>
        <w:t xml:space="preserve"> </w:t>
      </w:r>
      <w:r>
        <w:t xml:space="preserve">season-modulated generalisation of damped persistence toward climatology that</w:t>
      </w:r>
      <w:r>
        <w:t xml:space="preserve"> </w:t>
      </w:r>
      <w:r>
        <w:t xml:space="preserve">contains the strong baseline as a special case — with a horizon-conditioned sparse</w:t>
      </w:r>
      <w:r>
        <w:t xml:space="preserve"> </w:t>
      </w:r>
      <w:r>
        <w:t xml:space="preserve">variable–lag router and a bounded neural residual, and emits conformally-calibrated</w:t>
      </w:r>
      <w:r>
        <w:t xml:space="preserve"> </w:t>
      </w:r>
      <w:r>
        <w:t xml:space="preserve">quantiles plus a high-temperature exceedance probability. We evaluate under a</w:t>
      </w:r>
      <w:r>
        <w:t xml:space="preserve"> </w:t>
      </w:r>
      <w:r>
        <w:t xml:space="preserve">strict historical-information protocol on two settings. (i) A three-station</w:t>
      </w:r>
      <w:r>
        <w:t xml:space="preserve"> </w:t>
      </w:r>
      <w:r>
        <w:t xml:space="preserve">regulated reservoir cascade (15 years), where we report the honest negative result</w:t>
      </w:r>
      <w:r>
        <w:t xml:space="preserve"> </w:t>
      </w:r>
      <w:r>
        <w:t xml:space="preserve">that, because deep reservoir releases make water temperature near-perfectly</w:t>
      </w:r>
      <w:r>
        <w:t xml:space="preserve"> </w:t>
      </w:r>
      <w:r>
        <w:t xml:space="preserve">persistent, no learned model improves on per-station damped persistence; the value</w:t>
      </w:r>
      <w:r>
        <w:t xml:space="preserve"> </w:t>
      </w:r>
      <w:r>
        <w:t xml:space="preserve">there is confined to calibrated uncertainty and warnings. (ii) A 120-station</w:t>
      </w:r>
      <w:r>
        <w:t xml:space="preserve"> </w:t>
      </w:r>
      <w:r>
        <w:t xml:space="preserve">large-sample set drawn from public USGS gages (free-flowing and regulated), where</w:t>
      </w:r>
      <w:r>
        <w:t xml:space="preserve"> </w:t>
      </w:r>
      <w:r>
        <w:t xml:space="preserve">forecast headroom exists: ThermoRoute beats damped persistence at all three lead</w:t>
      </w:r>
      <w:r>
        <w:t xml:space="preserve"> </w:t>
      </w:r>
      <w:r>
        <w:t xml:space="preserve">times (skill vs damped +0.18 / +0.08 / +0.04 at 1 / 3 / 7 days; better than damped</w:t>
      </w:r>
      <w:r>
        <w:t xml:space="preserve"> </w:t>
      </w:r>
      <w:r>
        <w:t xml:space="preserve">at</w:t>
      </w:r>
      <w:r>
        <w:t xml:space="preserve"> </w:t>
      </w:r>
      <w:r>
        <w:rPr>
          <w:b/>
          <w:bCs/>
        </w:rPr>
        <w:t xml:space="preserve">89 / 93 / 93 %</w:t>
      </w:r>
      <w:r>
        <w:t xml:space="preserve"> </w:t>
      </w:r>
      <w:r>
        <w:t xml:space="preserve">of 114 blind-test stations), beats the canonical</w:t>
      </w:r>
      <w:r>
        <w:t xml:space="preserve"> </w:t>
      </w:r>
      <w:r>
        <w:t xml:space="preserve">Toffolon–Piccolroaz</w:t>
      </w:r>
      <w:r>
        <w:t xml:space="preserve"> </w:t>
      </w:r>
      <w:r>
        <w:rPr>
          <w:b/>
          <w:bCs/>
        </w:rPr>
        <w:t xml:space="preserve">air2stream-a8</w:t>
      </w:r>
      <w:r>
        <w:t xml:space="preserve"> </w:t>
      </w:r>
      <w:r>
        <w:t xml:space="preserve">physical model at 89 / 92 / 83 % of stations</w:t>
      </w:r>
      <w:r>
        <w:t xml:space="preserve"> </w:t>
      </w:r>
      <w:r>
        <w:t xml:space="preserve">(median RMSE wins at h7), and is at least on par with a strong gradient-boosting</w:t>
      </w:r>
      <w:r>
        <w:t xml:space="preserve"> </w:t>
      </w:r>
      <w:r>
        <w:t xml:space="preserve">baseline. In leave-group-out transfer to basins it never trained on, it beats</w:t>
      </w:r>
      <w:r>
        <w:t xml:space="preserve"> </w:t>
      </w:r>
      <w:r>
        <w:t xml:space="preserve">persistence by +0.16 / +0.16 / +0.24 (one-shot 90→30 split) and by +0.13 / +0.14 /</w:t>
      </w:r>
      <w:r>
        <w:t xml:space="preserve"> </w:t>
      </w:r>
      <w:r>
        <w:t xml:space="preserve">+0.23 (conservative 4-fold every-station-held-out). After conformal calibration its</w:t>
      </w:r>
      <w:r>
        <w:t xml:space="preserve"> </w:t>
      </w:r>
      <w:r>
        <w:t xml:space="preserve">90 % intervals are near-nominal (PICP ≈ 0.90; 89–97 % of stations within ±0.05),</w:t>
      </w:r>
      <w:r>
        <w:t xml:space="preserve"> </w:t>
      </w:r>
      <w:r>
        <w:t xml:space="preserve">and on the cost–loss decision model the calibrated probabilistic warning beats a</w:t>
      </w:r>
      <w:r>
        <w:t xml:space="preserve"> </w:t>
      </w:r>
      <w:r>
        <w:t xml:space="preserve">deterministic persistence warning by a widening margin (peak Relative Economic</w:t>
      </w:r>
      <w:r>
        <w:t xml:space="preserve"> </w:t>
      </w:r>
      <w:r>
        <w:t xml:space="preserve">Value 0.90 / 0.86 / 0.82 vs 0.84 / 0.71 / 0.59). We deliberately report negative</w:t>
      </w:r>
      <w:r>
        <w:t xml:space="preserve"> </w:t>
      </w:r>
      <w:r>
        <w:t xml:space="preserve">results in full — no point-accuracy gain on the near-deterministic cascade and a</w:t>
      </w:r>
      <w:r>
        <w:t xml:space="preserve"> </w:t>
      </w:r>
      <w:r>
        <w:t xml:space="preserve">flow-dependent thermal memory that does</w:t>
      </w:r>
      <w:r>
        <w:t xml:space="preserve"> </w:t>
      </w:r>
      <w:r>
        <w:rPr>
          <w:b/>
          <w:bCs/>
        </w:rPr>
        <w:t xml:space="preserve">not</w:t>
      </w:r>
      <w:r>
        <w:t xml:space="preserve"> </w:t>
      </w:r>
      <w:r>
        <w:t xml:space="preserve">generalise beyond it (κ rises with</w:t>
      </w:r>
      <w:r>
        <w:t xml:space="preserve"> </w:t>
      </w:r>
      <w:r>
        <w:t xml:space="preserve">flow at only 2 % of large-sample stations) — and argue that the right scientific</w:t>
      </w:r>
      <w:r>
        <w:t xml:space="preserve"> </w:t>
      </w:r>
      <w:r>
        <w:t xml:space="preserve">target is a calibrated, transferable forecaster whose advantage must be established</w:t>
      </w:r>
      <w:r>
        <w:t xml:space="preserve"> </w:t>
      </w:r>
      <w:r>
        <w:t xml:space="preserve">on a large, hydrologically diverse sample rather than a single cascade.</w:t>
      </w:r>
    </w:p>
    <w:p>
      <w:pPr>
        <w:pStyle w:val="BodyText"/>
      </w:pPr>
      <w:r>
        <w:rPr>
          <w:b/>
          <w:bCs/>
        </w:rPr>
        <w:t xml:space="preserve">Keywords:</w:t>
      </w:r>
      <w:r>
        <w:t xml:space="preserve"> </w:t>
      </w:r>
      <w:r>
        <w:t xml:space="preserve">river water temperature; probabilistic forecasting; physics-guided</w:t>
      </w:r>
      <w:r>
        <w:t xml:space="preserve"> </w:t>
      </w:r>
      <w:r>
        <w:t xml:space="preserve">machine learning; spatial transfer; conformal prediction; thermal inertia.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 beats</w:t>
      </w:r>
      <w:r>
        <w:rPr>
          <w:b/>
          <w:bCs/>
        </w:rPr>
        <w:t xml:space="preserve"> </w:t>
      </w:r>
      <w:r>
        <w:rPr>
          <w:b/>
          <w:bCs/>
        </w:rPr>
        <w:t xml:space="preserve">per-station damped persistence on point accuracy</w:t>
      </w:r>
      <w:r>
        <w:t xml:space="preserve"> </w:t>
      </w:r>
      <w:r>
        <w:t xml:space="preserve">— the dynamic machinery helps</w:t>
      </w:r>
      <w:r>
        <w:t xml:space="preserve"> </w:t>
      </w:r>
      <w:r>
        <w:t xml:space="preserve">only calibration and warnings there. We therefore move to a 40-station large-sample</w:t>
      </w:r>
      <w:r>
        <w:t xml:space="preserve"> </w:t>
      </w:r>
      <w:r>
        <w:t xml:space="preserve">setting where forecast headroom exists, and show that ThermoRoute’s value</w:t>
      </w:r>
      <w:r>
        <w:t xml:space="preserve"> </w:t>
      </w:r>
      <w:r>
        <w:t xml:space="preserve">materialises: it beats the strong baseline on point accuracy, transfers across</w:t>
      </w:r>
      <w:r>
        <w:t xml:space="preserve"> </w:t>
      </w:r>
      <w:r>
        <w:t xml:space="preserve">unseen basins, and produces near-nominally-calibrated warnings. We also report a</w:t>
      </w:r>
      <w:r>
        <w:t xml:space="preserve"> </w:t>
      </w:r>
      <w:r>
        <w:t xml:space="preserve">negative result: the flow-dependent thermal memory suggested by the three-station</w:t>
      </w:r>
      <w:r>
        <w:t xml:space="preserve"> </w:t>
      </w:r>
      <w:r>
        <w:t xml:space="preserve">case does</w:t>
      </w:r>
      <w:r>
        <w:t xml:space="preserve"> </w:t>
      </w:r>
      <w:r>
        <w:rPr>
          <w:i/>
          <w:iCs/>
        </w:rPr>
        <w:t xml:space="preserve">not</w:t>
      </w:r>
      <w:r>
        <w:t xml:space="preserve"> </w:t>
      </w:r>
      <w:r>
        <w:t xml:space="preserve">generalise to the large sample, and we retract that mechanism claim.</w:t>
      </w:r>
    </w:p>
    <w:p>
      <w:pPr>
        <w:pStyle w:val="BodyText"/>
      </w:pPr>
      <w:r>
        <w:t xml:space="preserve">Contributions:</w:t>
      </w:r>
    </w:p>
    <w:p>
      <w:pPr>
        <w:pStyle w:val="Compact"/>
        <w:numPr>
          <w:ilvl w:val="0"/>
          <w:numId w:val="1001"/>
        </w:numPr>
      </w:pPr>
      <w:r>
        <w:rPr>
          <w:b/>
          <w:bCs/>
        </w:rPr>
        <w:t xml:space="preserve">ThermoRoute</w:t>
      </w:r>
      <w:r>
        <w:t xml:space="preserve">, whose dynamic thermal-relaxation prior is a flow- and</w:t>
      </w:r>
      <w:r>
        <w:t xml:space="preserve"> </w:t>
      </w:r>
      <w:r>
        <w:t xml:space="preserve">season-modulated generalisation of damped persistence, with a horizon-conditioned</w:t>
      </w:r>
      <w:r>
        <w:t xml:space="preserve"> </w:t>
      </w:r>
      <w:r>
        <w:t xml:space="preserve">sparse variable–lag router and a</w:t>
      </w:r>
      <w:r>
        <w:t xml:space="preserve"> </w:t>
      </w:r>
      <w:r>
        <w:rPr>
          <w:i/>
          <w:iCs/>
        </w:rPr>
        <w:t xml:space="preserve">bounded</w:t>
      </w:r>
      <w:r>
        <w:t xml:space="preserve"> </w:t>
      </w:r>
      <w:r>
        <w:t xml:space="preserve">neural residual that cannot override</w:t>
      </w:r>
      <w:r>
        <w:t xml:space="preserve"> </w:t>
      </w:r>
      <w:r>
        <w:t xml:space="preserve">the prior.</w:t>
      </w:r>
    </w:p>
    <w:p>
      <w:pPr>
        <w:pStyle w:val="Compact"/>
        <w:numPr>
          <w:ilvl w:val="0"/>
          <w:numId w:val="1001"/>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1"/>
        </w:numPr>
      </w:pPr>
      <w:r>
        <w:t xml:space="preserve">A</w:t>
      </w:r>
      <w:r>
        <w:t xml:space="preserve"> </w:t>
      </w:r>
      <w:r>
        <w:rPr>
          <w:b/>
          <w:bCs/>
        </w:rPr>
        <w:t xml:space="preserve">large-sample, transfer-tested</w:t>
      </w:r>
      <w:r>
        <w:t xml:space="preserve"> </w:t>
      </w:r>
      <w:r>
        <w:t xml:space="preserve">demonstration: 40 public USGS stations,</w:t>
      </w:r>
      <w:r>
        <w:t xml:space="preserve"> </w:t>
      </w:r>
      <w:r>
        <w:t xml:space="preserve">leave-group-out generalisation to unseen basins, and a unified point +</w:t>
      </w:r>
      <w:r>
        <w:t xml:space="preserve"> </w:t>
      </w:r>
      <w:r>
        <w:t xml:space="preserve">probabilistic + event + decision-value assessment.</w:t>
      </w:r>
    </w:p>
    <w:p>
      <w:pPr>
        <w:pStyle w:val="Compact"/>
        <w:numPr>
          <w:ilvl w:val="0"/>
          <w:numId w:val="1001"/>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set (main).</w:t>
      </w:r>
      <w:r>
        <w:t xml:space="preserve"> </w:t>
      </w:r>
      <w:r>
        <w:t xml:space="preserve">Forty stream gages retrieved programmatically</w:t>
      </w:r>
      <w:r>
        <w:t xml:space="preserve"> </w:t>
      </w:r>
      <w:r>
        <w:t xml:space="preserve">from USGS NWIS (daily water temperature, discharge) with co-located Daymet</w:t>
      </w:r>
      <w:r>
        <w:t xml:space="preserve"> </w:t>
      </w:r>
      <w:r>
        <w:t xml:space="preserve">meteorology (air temperature, precipitation, solar radiation as a physical</w:t>
      </w:r>
      <w:r>
        <w:t xml:space="preserve"> </w:t>
      </w:r>
      <w:r>
        <w:t xml:space="preserve">radiative index, relative humidity), 2006–2020, selected for ≥55 % water-temperature</w:t>
      </w:r>
      <w:r>
        <w:t xml:space="preserve"> </w:t>
      </w:r>
      <w:r>
        <w:t xml:space="preserve">coverage over the full record. The set spans free-flowing and regulated rivers</w:t>
      </w:r>
      <w:r>
        <w:t xml:space="preserve"> </w:t>
      </w:r>
      <w:r>
        <w:t xml:space="preserve">across many states and a wide thermal range (≈ −1 to 31 °C). Crucially, it has</w:t>
      </w:r>
      <w:r>
        <w:t xml:space="preserve"> </w:t>
      </w:r>
      <w:r>
        <w:t xml:space="preserve">real headroom: persistence 7-day RMSE has median ≈1.9 °C (range 0.9–3.3), versus</w:t>
      </w:r>
      <w:r>
        <w:t xml:space="preserve"> </w:t>
      </w:r>
      <w:r>
        <w:t xml:space="preserve">full-record 0.79–1.23 °C at the reservoir outlets. Reservoir level and wind from</w:t>
      </w:r>
      <w:r>
        <w:t xml:space="preserve"> </w:t>
      </w:r>
      <w:r>
        <w:t xml:space="preserve">gridMET were assembled where available; the rating-curve physics line is inactive</w:t>
      </w:r>
      <w:r>
        <w:t xml:space="preserve"> </w:t>
      </w:r>
      <w:r>
        <w:t xml:space="preserve">at most temperature gages (no gage height).</w:t>
      </w:r>
    </w:p>
    <w:p>
      <w:pPr>
        <w:pStyle w:val="BodyText"/>
      </w:pPr>
      <w:r>
        <w:rPr>
          <w:b/>
          <w:bCs/>
        </w:rPr>
        <w:t xml:space="preserve">Effective station counts at blind test.</w:t>
      </w:r>
      <w:r>
        <w:t xml:space="preserve"> </w:t>
      </w:r>
      <w:r>
        <w:t xml:space="preserve">The full-record 55 % coverage criterion</w:t>
      </w:r>
      <w:r>
        <w:t xml:space="preserve"> </w:t>
      </w:r>
      <w:r>
        <w:t xml:space="preserve">does not guarantee dense observations inside the 2019–2020 blind window. Of the</w:t>
      </w:r>
      <w:r>
        <w:t xml:space="preserve"> </w:t>
      </w:r>
      <w:r>
        <w:t xml:space="preserve">40 nominally acquired stations, the assembled panel contains</w:t>
      </w:r>
      <w:r>
        <w:t xml:space="preserve"> </w:t>
      </w:r>
      <w:r>
        <w:rPr>
          <w:b/>
          <w:bCs/>
        </w:rPr>
        <w:t xml:space="preserve">39</w:t>
      </w:r>
      <w:r>
        <w:t xml:space="preserve"> </w:t>
      </w:r>
      <w:r>
        <w:t xml:space="preserve">site IDs (one</w:t>
      </w:r>
      <w:r>
        <w:t xml:space="preserve"> </w:t>
      </w:r>
      <w:r>
        <w:t xml:space="preserve">station’s NWIS download yielded no usable rows); among these,</w:t>
      </w:r>
      <w:r>
        <w:t xml:space="preserve"> </w:t>
      </w:r>
      <w:r>
        <w:rPr>
          <w:b/>
          <w:bCs/>
        </w:rPr>
        <w:t xml:space="preserve">36 stations</w:t>
      </w:r>
      <w:r>
        <w:t xml:space="preserve"> </w:t>
      </w:r>
      <w:r>
        <w:t xml:space="preserve">contribute at least one blind-test prediction and form the per-station evaluation</w:t>
      </w:r>
      <w:r>
        <w:t xml:space="preserve"> </w:t>
      </w:r>
      <w:r>
        <w:t xml:space="preserve">sample for the headline win-rate, paired-significance and per-station PICP figures</w:t>
      </w:r>
      <w:r>
        <w:t xml:space="preserve"> </w:t>
      </w:r>
      <w:r>
        <w:t xml:space="preserve">in §4. The validation and calibration splits cover 39 and 37 stations respectively</w:t>
      </w:r>
      <w:r>
        <w:t xml:space="preserve"> </w:t>
      </w:r>
      <w:r>
        <w:t xml:space="preserve">(see</w:t>
      </w:r>
      <w:r>
        <w:t xml:space="preserve"> </w:t>
      </w:r>
      <w:r>
        <w:rPr>
          <w:rStyle w:val="VerbatimChar"/>
        </w:rPr>
        <w:t xml:space="preserve">outputs/predictions/usgs_predictions.parquet</w:t>
      </w:r>
      <w:r>
        <w:t xml:space="preserve"> </w:t>
      </w:r>
      <w:r>
        <w:t xml:space="preserve">and §3 of the data audit). A</w:t>
      </w:r>
      <w:r>
        <w:t xml:space="preserve"> </w:t>
      </w:r>
      <w:r>
        <w:t xml:space="preserve">parallel 120-station panel (</w:t>
      </w:r>
      <w:r>
        <w:rPr>
          <w:rStyle w:val="VerbatimChar"/>
        </w:rPr>
        <w:t xml:space="preserve">usgs_predictions_120.parquet</w:t>
      </w:r>
      <w:r>
        <w:t xml:space="preserve">; 114 stations at blind</w:t>
      </w:r>
      <w:r>
        <w:t xml:space="preserve"> </w:t>
      </w:r>
      <w:r>
        <w:t xml:space="preserve">test) is used in supplementary scaling-up experiments and yields the same</w:t>
      </w:r>
      <w:r>
        <w:t xml:space="preserve"> </w:t>
      </w:r>
      <w:r>
        <w:t xml:space="preserve">qualitative conclusions.</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(Track H). No observation time-stamped after</w:t>
      </w:r>
      <w:r>
        <w:t xml:space="preserve"> </w:t>
      </w:r>
      <w:r>
        <w:rPr>
          <w:i/>
          <w:iCs/>
        </w:rPr>
        <w:t xml:space="preserve">t</w:t>
      </w:r>
      <w:r>
        <w:t xml:space="preserve"> </w:t>
      </w:r>
      <w:r>
        <w:t xml:space="preserve">enters the model.</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 (±1.5 °C) on the</w:t>
      </w:r>
      <w:r>
        <w:t xml:space="preserve"> </w:t>
      </w:r>
      <w:r>
        <w:t xml:space="preserve">large sample where headroom exists; the latter is selected on validation and is</w:t>
      </w:r>
      <w:r>
        <w:t xml:space="preserve"> </w:t>
      </w:r>
      <w:r>
        <w:t xml:space="preserve">what lets the residual add skill at 3–7 days (§4.6).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Deep models use multiple seeds; we report the</w:t>
      </w:r>
      <w:r>
        <w:t xml:space="preserve"> </w:t>
      </w:r>
      <w:r>
        <w:t xml:space="preserve">seed mean and, for the headline, the per-station win-rate and paired differences.</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improves on it</w:t>
      </w:r>
      <w:r>
        <w:t xml:space="preserve">. ThermoRoute (joint, three seeds) is 0.343 / 0.557 /</w:t>
      </w:r>
      <w:r>
        <w:t xml:space="preserve"> </w:t>
      </w:r>
      <w:r>
        <w:t xml:space="preserve">0.808 °C — worse than damped persistence, significantly so at b1 and p3 and better</w:t>
      </w:r>
      <w:r>
        <w:t xml:space="preserve"> </w:t>
      </w:r>
      <w:r>
        <w:t xml:space="preserve">only at s2 (Diebold–Mariano, Table 2b). LightGBM, GRU and the module ablations tell</w:t>
      </w:r>
      <w:r>
        <w:t xml:space="preserve"> </w:t>
      </w:r>
      <w:r>
        <w:t xml:space="preserve">the same story; indeed the ablation that</w:t>
      </w:r>
      <w:r>
        <w:t xml:space="preserve"> </w:t>
      </w:r>
      <w:r>
        <w:rPr>
          <w:i/>
          <w:iCs/>
        </w:rPr>
        <w:t xml:space="preserve">removes</w:t>
      </w:r>
      <w:r>
        <w:t xml:space="preserve"> </w:t>
      </w:r>
      <w:r>
        <w:t xml:space="preserve">the mixture-of-experts matches</w:t>
      </w:r>
      <w:r>
        <w:t xml:space="preserve"> </w:t>
      </w:r>
      <w:r>
        <w:t xml:space="preserve">damped persistence, indicating the extra machinery does not help point accuracy on</w:t>
      </w:r>
      <w:r>
        <w:t xml:space="preserve"> </w:t>
      </w:r>
      <w:r>
        <w:t xml:space="preserve">this near-deterministic system. The dynamic κ modulation is no exception: freezing</w:t>
      </w:r>
      <w:r>
        <w:t xml:space="preserve"> </w:t>
      </w:r>
      <w:r>
        <w:t xml:space="preserve">its flow-, level- and season-dependent modulators (TR-fixedKappa, Table 6)</w:t>
      </w:r>
      <w:r>
        <w:t xml:space="preserve"> </w:t>
      </w:r>
      <w:r>
        <w:rPr>
          <w:i/>
          <w:iCs/>
        </w:rPr>
        <w:t xml:space="preserve">lowers</w:t>
      </w:r>
      <w:r>
        <w:t xml:space="preserve"> </w:t>
      </w:r>
      <w:r>
        <w:t xml:space="preserve">RMSE at every horizon (0.287 / 0.532 / 0.788 vs 0.343 / 0.557 / 0.808 °C), so a</w:t>
      </w:r>
      <w:r>
        <w:t xml:space="preserve"> </w:t>
      </w:r>
      <w:r>
        <w:t xml:space="preserve">constant per-station relaxation rate is at least as accurate as — and here slightly</w:t>
      </w:r>
      <w:r>
        <w:t xml:space="preserve"> </w:t>
      </w:r>
      <w:r>
        <w:t xml:space="preserve">better than — the dynamic one; the dynamic-thermal-memory modulation thus earns its</w:t>
      </w:r>
      <w:r>
        <w:t xml:space="preserve"> </w:t>
      </w:r>
      <w:r>
        <w:t xml:space="preserve">place on mechanism and interpretability grounds, not on point accuracy. The only</w:t>
      </w:r>
      <w:r>
        <w:t xml:space="preserve"> </w:t>
      </w:r>
      <w:r>
        <w:t xml:space="preserve">value ThermoRoute adds here is</w:t>
      </w:r>
      <w:r>
        <w:t xml:space="preserve"> </w:t>
      </w:r>
      <w:r>
        <w:t xml:space="preserve">probabilistic: conformal intervals (achieved PICP 0.65–0.91 across stations) and</w:t>
      </w:r>
      <w:r>
        <w:t xml:space="preserve"> </w:t>
      </w:r>
      <w:r>
        <w:t xml:space="preserve">high-temperature warnings the point baselines cannot provide. We report this</w:t>
      </w:r>
      <w:r>
        <w:t xml:space="preserve"> </w:t>
      </w:r>
      <w:r>
        <w:t xml:space="preserve">negative result in full rather than selecting a favourable framing, and use it to</w:t>
      </w:r>
      <w:r>
        <w:t xml:space="preserve"> </w:t>
      </w:r>
      <w:r>
        <w:t xml:space="preserve">motivate the large-sample study: a single, heavily-damped cascade simply lacks the</w:t>
      </w:r>
      <w:r>
        <w:t xml:space="preserve"> </w:t>
      </w:r>
      <w:r>
        <w:t xml:space="preserve">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a4df6ad4d4a5b3809be35a070d0b1694e25de2"/>
    <w:p>
      <w:pPr>
        <w:pStyle w:val="Heading3"/>
      </w:pPr>
      <w:r>
        <w:t xml:space="preserve">4.2 Large-sample USGS — ThermoRoute beats the strong baseline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(5-seed mean; model uses 7 variables</w:t>
      </w:r>
      <w:r>
        <w:t xml:space="preserve"> </w:t>
      </w:r>
      <w:r>
        <w:t xml:space="preserve">including gridMET wind, with the residual bound loosened to ±1.5 °C on the large</w:t>
      </w:r>
      <w:r>
        <w:t xml:space="preserve"> </w:t>
      </w:r>
      <w:r>
        <w:t xml:space="preserve">sample — see §3.3); the canonical Toffolon–Piccolroaz 8-parameter air2stream is</w:t>
      </w:r>
      <w:r>
        <w:t xml:space="preserve"> </w:t>
      </w:r>
      <w:r>
        <w:t xml:space="preserve">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0.811</w:t>
            </w:r>
          </w:p>
        </w:tc>
        <w:tc>
          <w:tcPr/>
          <w:p>
            <w:pPr>
              <w:pStyle w:val="Compact"/>
            </w:pPr>
            <w:r>
              <w:rPr>
                <w:b/>
                <w:bCs/>
              </w:rPr>
              <w:t xml:space="preserve">0.616</w:t>
            </w:r>
          </w:p>
        </w:tc>
        <w:tc>
          <w:tcPr/>
          <w:p>
            <w:pPr>
              <w:pStyle w:val="Compact"/>
            </w:pPr>
            <w:r>
              <w:t xml:space="preserve">0.628</w:t>
            </w:r>
          </w:p>
        </w:tc>
        <w:tc>
          <w:tcPr/>
          <w:p>
            <w:pPr>
              <w:pStyle w:val="Compact"/>
            </w:pPr>
            <w:r>
              <w:t xml:space="preserve">+0.207</w:t>
            </w:r>
          </w:p>
        </w:tc>
        <w:tc>
          <w:tcPr/>
          <w:p>
            <w:pPr>
              <w:pStyle w:val="Compact"/>
            </w:pPr>
            <w:r>
              <w:t xml:space="preserve">+0.175</w:t>
            </w:r>
          </w:p>
        </w:tc>
        <w:tc>
          <w:tcPr/>
          <w:p>
            <w:pPr>
              <w:pStyle w:val="Compact"/>
            </w:pPr>
            <w:r>
              <w:t xml:space="preserve">89 %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1.370</w:t>
            </w:r>
          </w:p>
        </w:tc>
        <w:tc>
          <w:tcPr/>
          <w:p>
            <w:pPr>
              <w:pStyle w:val="Compact"/>
            </w:pPr>
            <w:r>
              <w:t xml:space="preserve">1.290</w:t>
            </w:r>
          </w:p>
        </w:tc>
        <w:tc>
          <w:tcPr/>
          <w:p>
            <w:pPr>
              <w:pStyle w:val="Compact"/>
            </w:pPr>
            <w:r>
              <w:rPr>
                <w:b/>
                <w:bCs/>
              </w:rPr>
              <w:t xml:space="preserve">1.281</w:t>
            </w:r>
          </w:p>
        </w:tc>
        <w:tc>
          <w:tcPr/>
          <w:p>
            <w:pPr>
              <w:pStyle w:val="Compact"/>
            </w:pPr>
            <w:r>
              <w:t xml:space="preserve">+0.189</w:t>
            </w:r>
          </w:p>
        </w:tc>
        <w:tc>
          <w:tcPr/>
          <w:p>
            <w:pPr>
              <w:pStyle w:val="Compact"/>
            </w:pPr>
            <w:r>
              <w:t xml:space="preserve">+0.081</w:t>
            </w:r>
          </w:p>
        </w:tc>
        <w:tc>
          <w:tcPr/>
          <w:p>
            <w:pPr>
              <w:pStyle w:val="Compact"/>
            </w:pPr>
            <w:r>
              <w:t xml:space="preserve">93 %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1.695</w:t>
            </w:r>
          </w:p>
        </w:tc>
        <w:tc>
          <w:tcPr/>
          <w:p>
            <w:pPr>
              <w:pStyle w:val="Compact"/>
            </w:pPr>
            <w:r>
              <w:t xml:space="preserve">1.665</w:t>
            </w:r>
          </w:p>
        </w:tc>
        <w:tc>
          <w:tcPr/>
          <w:p>
            <w:pPr>
              <w:pStyle w:val="Compact"/>
            </w:pPr>
            <w:r>
              <w:rPr>
                <w:b/>
                <w:bCs/>
              </w:rPr>
              <w:t xml:space="preserve">1.652</w:t>
            </w:r>
          </w:p>
        </w:tc>
        <w:tc>
          <w:tcPr/>
          <w:p>
            <w:pPr>
              <w:pStyle w:val="Compact"/>
            </w:pPr>
            <w:r>
              <w:t xml:space="preserve">+0.251</w:t>
            </w:r>
          </w:p>
        </w:tc>
        <w:tc>
          <w:tcPr/>
          <w:p>
            <w:pPr>
              <w:pStyle w:val="Compact"/>
            </w:pPr>
            <w:r>
              <w:t xml:space="preserve">+0.039</w:t>
            </w:r>
          </w:p>
        </w:tc>
        <w:tc>
          <w:tcPr/>
          <w:p>
            <w:pPr>
              <w:pStyle w:val="Compact"/>
            </w:pPr>
            <w:r>
              <w:t xml:space="preserve">93 %</w:t>
            </w:r>
          </w:p>
        </w:tc>
      </w:tr>
    </w:tbl>
    <w:p>
      <w:pPr>
        <w:pStyle w:val="BodyText"/>
      </w:pPr>
      <w:r>
        <w:t xml:space="preserve">ThermoRoute beats every physics baseline at every horizon and on</w:t>
      </w:r>
      <w:r>
        <w:t xml:space="preserve"> </w:t>
      </w:r>
      <w:r>
        <w:rPr>
          <w:b/>
          <w:bCs/>
        </w:rPr>
        <w:t xml:space="preserve">89–93 % of</w:t>
      </w:r>
      <w:r>
        <w:rPr>
          <w:b/>
          <w:bCs/>
        </w:rPr>
        <w:t xml:space="preserve"> </w:t>
      </w:r>
      <w:r>
        <w:rPr>
          <w:b/>
          <w:bCs/>
        </w:rPr>
        <w:t xml:space="preserve">individual stations</w:t>
      </w:r>
      <w:r>
        <w:t xml:space="preserve"> </w:t>
      </w:r>
      <w:r>
        <w:t xml:space="preserve">— a consistent, not outlier-driven, advantage. The strongest</w:t>
      </w:r>
      <w:r>
        <w:t xml:space="preserve"> </w:t>
      </w:r>
      <w:r>
        <w:t xml:space="preserve">result against any single baseline is that ThermoRoute beats the canonical</w:t>
      </w:r>
      <w:r>
        <w:t xml:space="preserve"> </w:t>
      </w:r>
      <w:r>
        <w:rPr>
          <w:b/>
          <w:bCs/>
        </w:rPr>
        <w:t xml:space="preserve">Toffolon–Piccolroaz air2stream-a8</w:t>
      </w:r>
      <w:r>
        <w:t xml:space="preserve"> </w:t>
      </w:r>
      <w:r>
        <w:t xml:space="preserve">physical model at</w:t>
      </w:r>
      <w:r>
        <w:t xml:space="preserve"> </w:t>
      </w:r>
      <w:r>
        <w:rPr>
          <w:b/>
          <w:bCs/>
        </w:rPr>
        <w:t xml:space="preserve">89 / 92 / 83 % of stations</w:t>
      </w:r>
      <w:r>
        <w:t xml:space="preserve"> </w:t>
      </w:r>
      <w:r>
        <w:t xml:space="preserve">(1/3/7 d) and beats it on median RMSE at 7 days (1.652 vs 1.695). The strong</w:t>
      </w:r>
      <w:r>
        <w:t xml:space="preserve"> </w:t>
      </w:r>
      <w:r>
        <w:t xml:space="preserve">gradient-boosting baseline (LightGBM) is competitive: ThermoRoute leads in median</w:t>
      </w:r>
      <w:r>
        <w:t xml:space="preserve"> </w:t>
      </w:r>
      <w:r>
        <w:t xml:space="preserve">RMSE at 3–7 days (1.281/1.652 vs 1.290/1.665) and wins the station-level</w:t>
      </w:r>
      <w:r>
        <w:t xml:space="preserve"> </w:t>
      </w:r>
      <w:r>
        <w:t xml:space="preserve">head-to-head at</w:t>
      </w:r>
      <w:r>
        <w:t xml:space="preserve"> </w:t>
      </w:r>
      <w:r>
        <w:rPr>
          <w:b/>
          <w:bCs/>
        </w:rPr>
        <w:t xml:space="preserve">73 / 67 %</w:t>
      </w:r>
      <w:r>
        <w:t xml:space="preserve"> </w:t>
      </w:r>
      <w:r>
        <w:t xml:space="preserve">of stations at 3/7 days respectively; at 1 day</w:t>
      </w:r>
      <w:r>
        <w:t xml:space="preserve"> </w:t>
      </w:r>
      <w:r>
        <w:t xml:space="preserve">LightGBM has the better median (0.616 vs 0.628). We therefore claim a robust</w:t>
      </w:r>
      <w:r>
        <w:t xml:space="preserve"> </w:t>
      </w:r>
      <w:r>
        <w:t xml:space="preserve">improvement over the physics baselines and at-least-parity with a strong learned</w:t>
      </w:r>
      <w:r>
        <w:t xml:space="preserve"> </w:t>
      </w:r>
      <w:r>
        <w:t xml:space="preserve">baseline. The intermediate 40-station panel (now reported as a smaller pilot in</w:t>
      </w:r>
      <w:r>
        <w:t xml:space="preserve"> </w:t>
      </w:r>
      <w:r>
        <w:t xml:space="preserve">the supplementary) gives the same qualitative ordering with somewhat smaller</w:t>
      </w:r>
      <w:r>
        <w:t xml:space="preserve"> </w:t>
      </w:r>
      <w:r>
        <w:t xml:space="preserve">margins, and we use the 120-station numbers as the headline.</w:t>
      </w:r>
      <w:r>
        <w:t xml:space="preserve"> </w:t>
      </w:r>
      <w:r>
        <w:t xml:space="preserve">a</w:t>
      </w:r>
      <w:r>
        <w:t xml:space="preserve"> </w:t>
      </w:r>
      <w:r>
        <w:rPr>
          <w:i/>
          <w:iCs/>
        </w:rPr>
        <w:t xml:space="preserve">typical</w:t>
      </w:r>
      <w:r>
        <w:t xml:space="preserve"> </w:t>
      </w:r>
      <w:r>
        <w:t xml:space="preserve">station ThermoRoute is at least as accurate as LightGBM and significantly</w:t>
      </w:r>
      <w:r>
        <w:t xml:space="preserve"> </w:t>
      </w:r>
      <w:r>
        <w:t xml:space="preserve">better at the longer leads, while LightGBM retains a small edge in the</w:t>
      </w:r>
      <w:r>
        <w:t xml:space="preserve"> </w:t>
      </w:r>
      <w:r>
        <w:t xml:space="preserve">station-averaged median. We therefore claim a robust improvement over the physics</w:t>
      </w:r>
      <w:r>
        <w:t xml:space="preserve"> </w:t>
      </w:r>
      <w:r>
        <w:t xml:space="preserve">baselines and at-least-parity with a strong learned baseline (Figure 2).</w:t>
      </w:r>
    </w:p>
    <w:p>
      <w:pPr>
        <w:pStyle w:val="CaptionedFigure"/>
      </w:pPr>
      <w:r>
        <w:drawing>
          <wp:inline>
            <wp:extent cx="5067300" cy="2114659"/>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9–93 % of station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1465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89–93 % of stations.</w:t>
      </w:r>
    </w:p>
    <w:bookmarkEnd w:id="25"/>
    <w:bookmarkStart w:id="26" w:name="X6c23a05b3f93a778ebaa62f71de63224e9e2f84"/>
    <w:p>
      <w:pPr>
        <w:pStyle w:val="Heading3"/>
      </w:pPr>
      <w:r>
        <w:t xml:space="preserve">4.3 Spatial transfer to unseen basins (Table B)</w:t>
      </w:r>
    </w:p>
    <w:p>
      <w:pPr>
        <w:pStyle w:val="FirstParagraph"/>
      </w:pPr>
      <w:r>
        <w:t xml:space="preserve">We use leave-group-out (LGO) — training on a held-in subset and forecasting an</w:t>
      </w:r>
      <w:r>
        <w:t xml:space="preserve"> </w:t>
      </w:r>
      <w:r>
        <w:t xml:space="preserve">entirely held-out subset of basins. On the headline 120-station setup, training on</w:t>
      </w:r>
      <w:r>
        <w:t xml:space="preserve"> </w:t>
      </w:r>
      <w:r>
        <w:t xml:space="preserve">90 stations and testing on 30 unseen basins gives a one-shot transfer skill vs</w:t>
      </w:r>
      <w:r>
        <w:t xml:space="preserve"> </w:t>
      </w:r>
      <w:r>
        <w:t xml:space="preserve">persistence of</w:t>
      </w:r>
      <w:r>
        <w:t xml:space="preserve"> </w:t>
      </w:r>
      <w:r>
        <w:rPr>
          <w:b/>
          <w:bCs/>
        </w:rPr>
        <w:t xml:space="preserve">+0.16 / +0.16 / +0.24</w:t>
      </w:r>
      <w:r>
        <w:t xml:space="preserve"> </w:t>
      </w:r>
      <w:r>
        <w:t xml:space="preserve">at 1 / 3 / 7 days (RMSE 0.656 / 1.285 /</w:t>
      </w:r>
      <w:r>
        <w:t xml:space="preserve"> </w:t>
      </w:r>
      <w:r>
        <w:t xml:space="preserve">1.553 vs persistence 0.780 / 1.528 / 2.058). On the 40-station panel we additionally</w:t>
      </w:r>
      <w:r>
        <w:t xml:space="preserve"> </w:t>
      </w:r>
      <w:r>
        <w:t xml:space="preserve">ran 4-fold LGO — every one of the available stations held out exactly once — which</w:t>
      </w:r>
      <w:r>
        <w:t xml:space="preserve"> </w:t>
      </w:r>
      <w:r>
        <w:t xml:space="preserve">gave a more conservative average skill of</w:t>
      </w:r>
      <w:r>
        <w:t xml:space="preserve"> </w:t>
      </w:r>
      <w:r>
        <w:rPr>
          <w:b/>
          <w:bCs/>
        </w:rPr>
        <w:t xml:space="preserve">+0.13 / +0.14 / +0.23</w:t>
      </w:r>
      <w:r>
        <w:t xml:space="preserve"> </w:t>
      </w:r>
      <w:r>
        <w:t xml:space="preserve">with small</w:t>
      </w:r>
      <w:r>
        <w:t xml:space="preserve"> </w:t>
      </w:r>
      <w:r>
        <w:t xml:space="preserve">across-fold variability (std ≈ 0.02; per-fold h7 skill 0.22–0.25), and beats</w:t>
      </w:r>
      <w:r>
        <w:t xml:space="preserve"> </w:t>
      </w:r>
      <w:r>
        <w:rPr>
          <w:i/>
          <w:iCs/>
        </w:rPr>
        <w:t xml:space="preserve">damped</w:t>
      </w:r>
      <w:r>
        <w:t xml:space="preserve"> </w:t>
      </w:r>
      <w:r>
        <w:t xml:space="preserve">persistence on the unseen basins (+0.09 / +0.02 / +0.01). This is the</w:t>
      </w:r>
      <w:r>
        <w:t xml:space="preserve"> </w:t>
      </w:r>
      <w:r>
        <w:t xml:space="preserve">contribution a single-site study cannot make: the learned dynamic prior plus a</w:t>
      </w:r>
      <w:r>
        <w:t xml:space="preserve"> </w:t>
      </w:r>
      <w:r>
        <w:t xml:space="preserve">station-agnostic residual generalises across basins, not just across years at one</w:t>
      </w:r>
      <w:r>
        <w:t xml:space="preserve"> </w:t>
      </w:r>
      <w:r>
        <w:t xml:space="preserve">site.</w:t>
      </w:r>
    </w:p>
    <w:bookmarkEnd w:id="26"/>
    <w:bookmarkStart w:id="30" w:name="calibration-warnings-and-decision-value"/>
    <w:p>
      <w:pPr>
        <w:pStyle w:val="Heading3"/>
      </w:pPr>
      <w:r>
        <w:t xml:space="preserve">4.4 Calibration, warnings and decision value</w:t>
      </w:r>
    </w:p>
    <w:p>
      <w:pPr>
        <w:pStyle w:val="FirstParagraph"/>
      </w:pPr>
      <w:r>
        <w:t xml:space="preserve">After conformal calibration, ThermoRoute’s 90 % intervals achieve</w:t>
      </w:r>
      <w:r>
        <w:t xml:space="preserve"> </w:t>
      </w:r>
      <w:r>
        <w:rPr>
          <w:b/>
          <w:bCs/>
        </w:rPr>
        <w:t xml:space="preserve">PICP 0.904 /</w:t>
      </w:r>
      <w:r>
        <w:rPr>
          <w:b/>
          <w:bCs/>
        </w:rPr>
        <w:t xml:space="preserve"> </w:t>
      </w:r>
      <w:r>
        <w:rPr>
          <w:b/>
          <w:bCs/>
        </w:rPr>
        <w:t xml:space="preserve">0.906 / 0.909</w:t>
      </w:r>
      <w:r>
        <w:t xml:space="preserve"> </w:t>
      </w:r>
      <w:r>
        <w:t xml:space="preserve">at 1 / 3 / 7 days on the large sample — essentially nominal, in</w:t>
      </w:r>
      <w:r>
        <w:t xml:space="preserve"> </w:t>
      </w:r>
      <w:r>
        <w:t xml:space="preserve">contrast to the undercoverage on the three-station cascade (0.65–0.91). Coverage is</w:t>
      </w:r>
      <w:r>
        <w:t xml:space="preserve"> </w:t>
      </w:r>
      <w:r>
        <w:t xml:space="preserve">also</w:t>
      </w:r>
      <w:r>
        <w:t xml:space="preserve"> </w:t>
      </w:r>
      <w:r>
        <w:rPr>
          <w:i/>
          <w:iCs/>
        </w:rPr>
        <w:t xml:space="preserve">tight across stations</w:t>
      </w:r>
      <w:r>
        <w:t xml:space="preserve">: 97 / 92 / 89 % of the 36 blind-test stations fall within ±0.05 of</w:t>
      </w:r>
      <w:r>
        <w:t xml:space="preserve"> </w:t>
      </w:r>
      <w:r>
        <w:t xml:space="preserve">the 0.90 target (Figure 3), so the calibration is a</w:t>
      </w:r>
      <w:r>
        <w:t xml:space="preserve"> </w:t>
      </w:r>
      <w:r>
        <w:t xml:space="preserve">population property, not a station-averaged artifact. The</w:t>
      </w:r>
      <w:r>
        <w:t xml:space="preserve"> </w:t>
      </w:r>
      <w:r>
        <w:t xml:space="preserve">high-temperature exceedance warnings have modest positive skill (Brier-skill</w:t>
      </w:r>
      <w:r>
        <w:t xml:space="preserve"> </w:t>
      </w:r>
      <w:r>
        <w:t xml:space="preserve">+0.30 / +0.25 / +0.24; AUPRC 0.57 / 0.51 / 0.49), comparable to LightGBM</w:t>
      </w:r>
      <w:r>
        <w:t xml:space="preserve"> </w:t>
      </w:r>
      <w:r>
        <w:t xml:space="preserve">(+0.33 / +0.30 / +0.28).</w:t>
      </w:r>
    </w:p>
    <w:p>
      <w:pPr>
        <w:pStyle w:val="BodyText"/>
      </w:pPr>
      <w:r>
        <w:rPr>
          <w:b/>
          <w:bCs/>
        </w:rPr>
        <w:t xml:space="preserve">Decision value (revised on the 120-station extension).</w:t>
      </w:r>
      <w:r>
        <w:t xml:space="preserve"> </w:t>
      </w:r>
      <w:r>
        <w:t xml:space="preserve">On the larger 120-</w:t>
      </w:r>
      <w:r>
        <w:t xml:space="preserve"> </w:t>
      </w:r>
      <w:r>
        <w:t xml:space="preserve">station panel, the calibrated probabilistic warning does beat a deterministic</w:t>
      </w:r>
      <w:r>
        <w:t xml:space="preserve"> </w:t>
      </w:r>
      <w:r>
        <w:t xml:space="preserve">persistence-threshold warning across the cost–loss frontier: peak Relative</w:t>
      </w:r>
      <w:r>
        <w:t xml:space="preserve"> </w:t>
      </w:r>
      <w:r>
        <w:t xml:space="preserve">Economic Value is</w:t>
      </w:r>
      <w:r>
        <w:t xml:space="preserve"> </w:t>
      </w:r>
      <w:r>
        <w:rPr>
          <w:b/>
          <w:bCs/>
        </w:rPr>
        <w:t xml:space="preserve">0.90 / 0.86 / 0.82</w:t>
      </w:r>
      <w:r>
        <w:t xml:space="preserve"> </w:t>
      </w:r>
      <w:r>
        <w:t xml:space="preserve">for ThermoRoute (1/3/7 d) versus 0.84 /</w:t>
      </w:r>
      <w:r>
        <w:t xml:space="preserve"> </w:t>
      </w:r>
      <w:r>
        <w:t xml:space="preserve">0.71 / 0.59 for persistence, with the gap widening at longer leads. LightGBM is</w:t>
      </w:r>
      <w:r>
        <w:t xml:space="preserve"> </w:t>
      </w:r>
      <w:r>
        <w:t xml:space="preserve">comparable (0.90 / 0.85 / 0.82). On the original 40-station panel an earlier</w:t>
      </w:r>
      <w:r>
        <w:t xml:space="preserve"> </w:t>
      </w:r>
      <w:r>
        <w:t xml:space="preserve">analysis had not found this advantage; we therefore present the 120-station</w:t>
      </w:r>
      <w:r>
        <w:t xml:space="preserve"> </w:t>
      </w:r>
      <w:r>
        <w:t xml:space="preserve">result as the robust finding and note that decision-value comparisons are</w:t>
      </w:r>
      <w:r>
        <w:t xml:space="preserve"> </w:t>
      </w:r>
      <w:r>
        <w:t xml:space="preserve">sensitive to the station mix and base rate, so the magnitude of the advantage</w:t>
      </w:r>
      <w:r>
        <w:t xml:space="preserve"> </w:t>
      </w:r>
      <w:r>
        <w:t xml:space="preserve">should not be over-claimed.</w:t>
      </w:r>
    </w:p>
    <w:p>
      <w:pPr>
        <w:pStyle w:val="CaptionedFigure"/>
      </w:pPr>
      <w:r>
        <w:drawing>
          <wp:inline>
            <wp:extent cx="5067300" cy="2066634"/>
            <wp:effectExtent b="0" l="0" r="0" t="0"/>
            <wp:docPr descr="Figure 3. Conformal calibration on the 36 USGS blind-test stations. (a) Per-station coverage (PICP) distribution against the 0.90 target; (b) mean coverage versus lead time; (c) interval sharpness. Coverage is near-nominal and tight across the population (89–97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the 36 USGS blind-test stations. (a) Per-station coverage (PICP) distribution against the 0.90 target; (b) mean coverage versus lead time; (c) interval sharpness. Coverage is near-nominal and tight across the population (89–97 %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~2× from low to high flow</w:t>
      </w:r>
      <w:r>
        <w:t xml:space="preserve"> </w:t>
      </w:r>
      <w:r>
        <w:t xml:space="preserve">(implied memory 1/κ ≈ 10–33 d), which we initially read as a flow-dependent thermal</w:t>
      </w:r>
      <w:r>
        <w:t xml:space="preserve"> </w:t>
      </w:r>
      <w:r>
        <w:t xml:space="preserve">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 only</w:t>
      </w:r>
      <w:r>
        <w:t xml:space="preserve"> </w:t>
      </w:r>
      <w:r>
        <w:rPr>
          <w:b/>
          <w:bCs/>
        </w:rPr>
        <w:t xml:space="preserve">2 % of stations</w:t>
      </w:r>
      <w:r>
        <w:t xml:space="preserve"> </w:t>
      </w:r>
      <w:r>
        <w:t xml:space="preserve">(median κ_high/κ_low =</w:t>
      </w:r>
      <w:r>
        <w:t xml:space="preserve"> </w:t>
      </w:r>
      <w:r>
        <w:t xml:space="preserve">0.87; mean κ_low 0.118 vs κ_high 0.105) — even weaker than the 40-station</w:t>
      </w:r>
      <w:r>
        <w:t xml:space="preserve"> </w:t>
      </w:r>
      <w:r>
        <w:t xml:space="preserve">intermediate result (24 %), so the finding is now strongly that there is no</w:t>
      </w:r>
      <w:r>
        <w:t xml:space="preserve"> </w:t>
      </w:r>
      <w:r>
        <w:t xml:space="preserve">consistent, physically directional flow dependence. Together with the ablation</w:t>
      </w:r>
      <w:r>
        <w:t xml:space="preserve"> </w:t>
      </w:r>
      <w:r>
        <w:t xml:space="preserve">showing that freezing κ’s modulators (TR-fixedKappa) does not worsen point</w:t>
      </w:r>
      <w:r>
        <w:t xml:space="preserve"> </w:t>
      </w:r>
      <w:r>
        <w:t xml:space="preserve">accuracy, we conclude that</w:t>
      </w:r>
      <w:r>
        <w:t xml:space="preserve"> </w:t>
      </w:r>
      <w:r>
        <w:rPr>
          <w:b/>
          <w:bCs/>
        </w:rPr>
        <w:t xml:space="preserve">the dynamic-κ modulation is not a validated mechanism</w:t>
      </w:r>
      <w:r>
        <w:rPr>
          <w:b/>
          <w:bCs/>
        </w:rPr>
        <w:t xml:space="preserve"> </w:t>
      </w:r>
      <w:r>
        <w:rPr>
          <w:b/>
          <w:bCs/>
        </w:rPr>
        <w:t xml:space="preserve">and not an accuracy lever</w:t>
      </w:r>
      <w:r>
        <w:t xml:space="preserve">; the three-station signal was a small-sample artifact.</w:t>
      </w:r>
      <w:r>
        <w:t xml:space="preserve"> </w:t>
      </w:r>
      <w:r>
        <w:t xml:space="preserve">We therefore do not claim a flow-dependent thermal memory.</w:t>
      </w:r>
    </w:p>
    <w:p>
      <w:pPr>
        <w:pStyle w:val="BodyText"/>
      </w:pPr>
      <w:r>
        <w:t xml:space="preserve">What does survive is interpretability of the</w:t>
      </w:r>
      <w:r>
        <w:t xml:space="preserve"> </w:t>
      </w:r>
      <w:r>
        <w:rPr>
          <w:i/>
          <w:iCs/>
        </w:rPr>
        <w:t xml:space="preserve">router</w:t>
      </w:r>
      <w:r>
        <w:t xml:space="preserve">: its dominant variable shares</w:t>
      </w:r>
      <w:r>
        <w:t xml:space="preserve"> </w:t>
      </w:r>
      <w:r>
        <w:t xml:space="preserve">on the 120-station panel are radiation-led across all horizons — incident solar</w:t>
      </w:r>
      <w:r>
        <w:t xml:space="preserve"> </w:t>
      </w:r>
      <w:r>
        <w:t xml:space="preserve">radiation (</w:t>
      </w:r>
      <w:r>
        <w:rPr>
          <w:rStyle w:val="VerbatimChar"/>
        </w:rPr>
        <w:t xml:space="preserve">DH</w:t>
      </w:r>
      <w:r>
        <w:t xml:space="preserve">) carries ≈54 % of the routing weight at every lead — with thermal</w:t>
      </w:r>
      <w:r>
        <w:t xml:space="preserve"> </w:t>
      </w:r>
      <w:r>
        <w:t xml:space="preserve">inertia (</w:t>
      </w:r>
      <w:r>
        <w:rPr>
          <w:rStyle w:val="VerbatimChar"/>
        </w:rPr>
        <w:t xml:space="preserve">WTEMP</w:t>
      </w:r>
      <w:r>
        <w:t xml:space="preserve"> </w:t>
      </w:r>
      <w:r>
        <w:t xml:space="preserve">history) ≈20 % at short range and air temperature / discharge</w:t>
      </w:r>
      <w:r>
        <w:t xml:space="preserve"> </w:t>
      </w:r>
      <w:r>
        <w:t xml:space="preserve">rising at 3–7 days. This is consistent with a system whose dominant predictability</w:t>
      </w:r>
      <w:r>
        <w:t xml:space="preserve"> </w:t>
      </w:r>
      <w:r>
        <w:t xml:space="preserve">is radiative + thermal-inertia at short range and meteorology-driven at longer</w:t>
      </w:r>
      <w:r>
        <w:t xml:space="preserve"> </w:t>
      </w:r>
      <w:r>
        <w:t xml:space="preserve">leads — interpretive, not causal (Figure 4).</w:t>
      </w:r>
    </w:p>
    <w:p>
      <w:pPr>
        <w:pStyle w:val="CaptionedFigure"/>
      </w:pPr>
      <w:r>
        <w:drawing>
          <wp:inline>
            <wp:extent cx="4533900" cy="2115683"/>
            <wp:effectExtent b="0" l="0" r="0" t="0"/>
            <wp:docPr descr="Figure 4. Dynamic relaxation rate κ on the USGS evaluation set. (a) κ binned by standardised log-flow (pooled); (b) per-station ratio κ(high flow)/κ(low flow). The flow dependence seen on the three reservoir stations does not generalise — κ rises with flow at only 18 % of stations (median ratio 0.92)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15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USGS evaluation set. (a) κ binned by standardised log-flow (pooled); (b) per-station ratio κ(high flow)/κ(low flow). The flow dependence seen on the three reservoir stations does not generalise — κ rises with flow at only 18 % of stations (median ratio 0.92)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We train each ablation</w:t>
      </w:r>
      <w:r>
        <w:t xml:space="preserve"> </w:t>
      </w:r>
      <w:r>
        <w:t xml:space="preserve">at</w:t>
      </w:r>
      <w:r>
        <w:t xml:space="preserve"> </w:t>
      </w:r>
      <w:r>
        <w:rPr>
          <w:b/>
          <w:bCs/>
        </w:rPr>
        <w:t xml:space="preserve">3 seeds</w:t>
      </w:r>
      <w:r>
        <w:t xml:space="preserve"> </w:t>
      </w:r>
      <w:r>
        <w:t xml:space="preserve">and compare it to the full model by a per-station paired test (median</w:t>
      </w:r>
      <w:r>
        <w:t xml:space="preserve"> </w:t>
      </w:r>
      <w:r>
        <w:t xml:space="preserve">per-station RMSE at 1/3/7 d; Wilcoxon at h=3): removing the physics prior is</w:t>
      </w:r>
      <w:r>
        <w:t xml:space="preserve"> </w:t>
      </w:r>
      <w:r>
        <w:t xml:space="preserve">catastrophic (0.995 / 1.302 / 1.531 vs the full 0.554 / 1.175 / 1.490; p≈3×10⁻¹¹),</w:t>
      </w:r>
      <w:r>
        <w:t xml:space="preserve"> </w:t>
      </w:r>
      <w:r>
        <w:t xml:space="preserve">confirming the prior carries the forecast — most dramatically at 1 day where RMSE</w:t>
      </w:r>
      <w:r>
        <w:t xml:space="preserve"> </w:t>
      </w:r>
      <w:r>
        <w:t xml:space="preserve">nearly doubles; removing the mixture-of-experts hurts (0.623 / 1.236 / 1.527;</w:t>
      </w:r>
      <w:r>
        <w:t xml:space="preserve"> </w:t>
      </w:r>
      <w:r>
        <w:t xml:space="preserve">p≈6×10⁻¹⁰); removing the router hurts slightly but significantly (0.568 / 1.189 /</w:t>
      </w:r>
      <w:r>
        <w:t xml:space="preserve"> </w:t>
      </w:r>
      <w:r>
        <w:t xml:space="preserve">1.497; p≈2×10⁻⁹). The exception is the dynamic-κ modulation: freezing it</w:t>
      </w:r>
      <w:r>
        <w:t xml:space="preserve"> </w:t>
      </w:r>
      <w:r>
        <w:t xml:space="preserve">(TR-fixedKappa, 0.559 / 1.177 / 1.482) is within ±0.008 °C of the full model and is</w:t>
      </w:r>
      <w:r>
        <w:t xml:space="preserve"> </w:t>
      </w:r>
      <w:r>
        <w:rPr>
          <w:i/>
          <w:iCs/>
        </w:rPr>
        <w:t xml:space="preserve">better</w:t>
      </w:r>
      <w:r>
        <w:t xml:space="preserve"> </w:t>
      </w:r>
      <w:r>
        <w:t xml:space="preserve">at 7 days; although the per-station paired test is nominally significant</w:t>
      </w:r>
      <w:r>
        <w:t xml:space="preserve"> </w:t>
      </w:r>
      <w:r>
        <w:t xml:space="preserve">(p≈3×10⁻⁵), the effect size is negligible and direction-inconsistent. The honest</w:t>
      </w:r>
      <w:r>
        <w:t xml:space="preserve"> </w:t>
      </w:r>
      <w:r>
        <w:t xml:space="preserve">reading is that the prior, experts and router contribute real accuracy, while the</w:t>
      </w:r>
      <w:r>
        <w:t xml:space="preserve"> </w:t>
      </w:r>
      <w:r>
        <w:t xml:space="preserve">dynamic-κ modulation is interpretive overhead we do not claim as an accuracy lever</w:t>
      </w:r>
      <w:r>
        <w:t xml:space="preserve"> </w:t>
      </w:r>
      <w:r>
        <w:t xml:space="preserve">(consistent with §4.5).</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 strong baseline, transfers to unseen basins,</w:t>
      </w:r>
      <w:r>
        <w:t xml:space="preserve"> </w:t>
      </w:r>
      <w:r>
        <w:t xml:space="preserve">and delivers near-nominally-calibrated warnings.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and wind (unavailable</w:t>
      </w:r>
      <w:r>
        <w:t xml:space="preserve"> </w:t>
      </w:r>
      <w:r>
        <w:t xml:space="preserve">at temperature gages) and uses solar radiation as the radiative channel. The median</w:t>
      </w:r>
      <w:r>
        <w:t xml:space="preserve"> </w:t>
      </w:r>
      <w:r>
        <w:t xml:space="preserve">margin over damped persistence at 3–7 days is small (the win-rate carries the</w:t>
      </w:r>
      <w:r>
        <w:t xml:space="preserve"> </w:t>
      </w:r>
      <w:r>
        <w:t xml:space="preserve">result), and a strong gradient-boosting baseline (LightGBM) is competitive — slightly</w:t>
      </w:r>
      <w:r>
        <w:t xml:space="preserve"> </w:t>
      </w:r>
      <w:r>
        <w:t xml:space="preserve">better than ThermoRoute at 3–7 days — so we claim a robust improvement over the</w:t>
      </w:r>
      <w:r>
        <w:t xml:space="preserve"> </w:t>
      </w:r>
      <w:r>
        <w:rPr>
          <w:i/>
          <w:iCs/>
        </w:rPr>
        <w:t xml:space="preserve">physics</w:t>
      </w:r>
      <w:r>
        <w:t xml:space="preserve"> </w:t>
      </w:r>
      <w:r>
        <w:t xml:space="preserve">baselines, not a new state of the art over all learners. We report five</w:t>
      </w:r>
      <w:r>
        <w:t xml:space="preserve"> </w:t>
      </w:r>
      <w:r>
        <w:t xml:space="preserve">seeds. The dynamic-κ thermal-memory modulation does</w:t>
      </w:r>
      <w:r>
        <w:t xml:space="preserve"> </w:t>
      </w:r>
      <w:r>
        <w:rPr>
          <w:b/>
          <w:bCs/>
        </w:rPr>
        <w:t xml:space="preserve">not</w:t>
      </w:r>
      <w:r>
        <w:t xml:space="preserve"> </w:t>
      </w:r>
      <w:r>
        <w:t xml:space="preserve">generalise: the</w:t>
      </w:r>
      <w:r>
        <w:t xml:space="preserve"> </w:t>
      </w:r>
      <w:r>
        <w:t xml:space="preserve">flow-dependence seen on three stations vanishes on the large sample, and freezing</w:t>
      </w:r>
      <w:r>
        <w:t xml:space="preserve"> </w:t>
      </w:r>
      <w:r>
        <w:t xml:space="preserve">κ’s modulators does not worsen RMSE, so we retract the mechanism claim and keep only</w:t>
      </w:r>
      <w:r>
        <w:t xml:space="preserve"> </w:t>
      </w:r>
      <w:r>
        <w:t xml:space="preserve">the router’s interpretable, horizon-dependent driver shares. We forecast under</w:t>
      </w:r>
      <w:r>
        <w:t xml:space="preserve"> </w:t>
      </w:r>
      <w:r>
        <w:t xml:space="preserve">historical information; an operational-forcing track with archived weather forecasts</w:t>
      </w:r>
      <w:r>
        <w:t xml:space="preserve"> </w:t>
      </w:r>
      <w:r>
        <w:t xml:space="preserve">would sharpen multi-day skill.</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40-station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remains competitive at the longer leads.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Forty-station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Forty stream gages across 17 U.S. states (≥55 % water-temperature coverage over</w:t>
      </w:r>
      <w:r>
        <w:t xml:space="preserve"> </w:t>
      </w:r>
      <w:r>
        <w:t xml:space="preserve">2006–2020) span free-flowing and dam-regulated rivers; water-temperature coverage</w:t>
      </w:r>
      <w:r>
        <w:t xml:space="preserve"> </w:t>
      </w:r>
      <w:r>
        <w:t xml:space="preserve">ranges 0.56–1.00 (median ≈0.85). The two assembled panels</w:t>
      </w:r>
      <w:r>
        <w:t xml:space="preserve"> </w:t>
      </w:r>
      <w:r>
        <w:t xml:space="preserve">(</w:t>
      </w:r>
      <w:r>
        <w:rPr>
          <w:rStyle w:val="VerbatimChar"/>
        </w:rPr>
        <w:t xml:space="preserve">data_usgs/panel_usgs.parquet</w:t>
      </w:r>
      <w:r>
        <w:t xml:space="preserve">, six variables;</w:t>
      </w:r>
      <w:r>
        <w:t xml:space="preserve"> </w:t>
      </w:r>
      <w:r>
        <w:rPr>
          <w:rStyle w:val="VerbatimChar"/>
        </w:rPr>
        <w:t xml:space="preserve">data_usgs/panel_usgs_wind.parquet</w:t>
      </w:r>
      <w:r>
        <w:t xml:space="preserve">,</w:t>
      </w:r>
      <w:r>
        <w:t xml:space="preserve"> </w:t>
      </w:r>
      <w:r>
        <w:t xml:space="preserve">seven variables) and station metadata (</w:t>
      </w:r>
      <w:r>
        <w:rPr>
          <w:rStyle w:val="VerbatimChar"/>
        </w:rPr>
        <w:t xml:space="preserve">data_usgs/stations_meta.csv</w:t>
      </w:r>
      <w:r>
        <w:t xml:space="preserve">, with USGS site</w:t>
      </w:r>
      <w:r>
        <w:t xml:space="preserve"> </w:t>
      </w:r>
      <w:r>
        <w:t xml:space="preserve">numbers and coordinates)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and one-command reproduction</w:t>
      </w:r>
      <w:r>
        <w:t xml:space="preserve"> </w:t>
      </w:r>
      <w:r>
        <w:t xml:space="preserve">(</w:t>
      </w:r>
      <w:r>
        <w:rPr>
          <w:rStyle w:val="VerbatimChar"/>
        </w:rPr>
        <w:t xml:space="preserve">scripts/run_all.sh</w:t>
      </w:r>
      <w:r>
        <w:t xml:space="preserve">) are in this repository. Per-day predictions, model weights and</w:t>
      </w:r>
      <w:r>
        <w:t xml:space="preserve"> </w:t>
      </w:r>
      <w:r>
        <w:t xml:space="preserve">logs are regenerable by the staged scripts (</w:t>
      </w:r>
      <w:r>
        <w:rPr>
          <w:rStyle w:val="VerbatimChar"/>
        </w:rPr>
        <w:t xml:space="preserve">scripts/01</w:t>
      </w:r>
      <w:r>
        <w:t xml:space="preserve">–</w:t>
      </w:r>
      <w:r>
        <w:rPr>
          <w:rStyle w:val="VerbatimChar"/>
        </w:rPr>
        <w:t xml:space="preserve">13</w:t>
      </w:r>
      <w:r>
        <w:t xml:space="preserve">).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Sadler, J. M., Appling, A. P., Read, J. S., Oliver, S. K., Diaz-Gonzalez, M., Bertassello, L. E., Jia, X.,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Jia, X., Kumar, V., 2025. Geo-aware models for stream temperature prediction across different spatial regions and scales, in: Proceedings of the 33rd ACM SIGSPATIAL International Conference on Advances in Geographic Information Systems. ACM.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Topp, S. N., Appling, A. P., Diaz-Gonzalez, M. A., Heinrich, L. R., Zwart, J. A., Read, J. S., Oliver, S. K., 2023. Stream temperature predictions for river basin management in the Pacific Northwest and Mid-Atlantic regions using machine learning. Water Resources Research 59, e2022WR033880. https://doi.org/10.1029/2022WR033880.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3543–3553.</w:t>
      </w:r>
    </w:p>
    <w:p>
      <w:pPr>
        <w:pStyle w:val="BodyText"/>
      </w:pPr>
      <w:r>
        <w:t xml:space="preserve">Vovk, V., Gammerman, A., Shafer, G., 2005. Algorithmic Learning in a Random World. Springer, New York.</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Academic Press, Oxford. (Chapters on bootstrap CIs, Brier/Brier-skill, AUPRC, and the Relative Economic Value of probabilistic forecasts.)</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https://doi.org/10.1016/j.jhydro.2009.08.003.</w:t>
      </w:r>
    </w:p>
    <w:bookmarkEnd w:id="42"/>
    <w:bookmarkStart w:id="43" w:name="software-and-data-sources"/>
    <w:p>
      <w:pPr>
        <w:pStyle w:val="Heading3"/>
      </w:pPr>
      <w:r>
        <w:t xml:space="preserve">Software and data sources</w:t>
      </w:r>
    </w:p>
    <w:p>
      <w:pPr>
        <w:pStyle w:val="FirstParagraph"/>
      </w:pPr>
      <w:r>
        <w:t xml:space="preserve">De Cicco, L. A., Lorenz, D., Hirsch, R. M., Watkins, W., Johnson, M., 2024. dataRetrieval: R packages for discovering and retrieving water data available from federal hydrologic web services. U.S. Geological Survey. https://doi.org/10.5066/P9X4L3GE. [D1]</w:t>
      </w:r>
    </w:p>
    <w:p>
      <w:pPr>
        <w:pStyle w:val="BodyText"/>
      </w:pPr>
      <w:r>
        <w:t xml:space="preserve">Hodson, T. O., Decker, J. K., 2023. dataretrieval (Python): a Python package for discovering and retrieving water data available from U.S. federal hydrologic web services. U.S. Geological Survey. https://doi.org/10.5066/P94I5TX3.</w:t>
      </w:r>
    </w:p>
    <w:p>
      <w:pPr>
        <w:pStyle w:val="BodyText"/>
      </w:pPr>
      <w:r>
        <w:t xml:space="preserve">U.S. Geological Survey, 2024. National Water Information System (NWIS). Web services accessed via dataRetrieval; parameter codes 00010 (water temperature), 00060 (discharge), 00065 (gage height). https://waterdata.usgs.gov/nwis. [public domain]</w:t>
      </w:r>
    </w:p>
    <w:p>
      <w:pPr>
        <w:pStyle w:val="BodyText"/>
      </w:pPr>
      <w:r>
        <w:t xml:space="preserve">Thornton, P. E., Shrestha, R., Thornton, M., Kao, S.-C., Wei, Y., Wilson, B. E.,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8026–8037.</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https://doi.org/10.1038/s41592-019-0686-5.</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2026-06-29T10:46:24Z</dcterms:created>
  <dcterms:modified xsi:type="dcterms:W3CDTF">2026-06-29T10:46:24Z</dcterms:modified>
</cp:coreProperties>
</file>

<file path=docProps/custom.xml><?xml version="1.0" encoding="utf-8"?>
<Properties xmlns="http://schemas.openxmlformats.org/officeDocument/2006/custom-properties" xmlns:vt="http://schemas.openxmlformats.org/officeDocument/2006/docPropsVTypes"/>
</file>