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p ≤ 4×10⁻¹⁸), with median skill vs damped</w:t>
      </w:r>
      <w:r>
        <w:t xml:space="preserve"> </w:t>
      </w:r>
      <w:r>
        <w:t xml:space="preserve">+0.17 / +0.08 / +0.04 at 1 / 3 / 7 days and better than damped at</w:t>
      </w:r>
      <w:r>
        <w:t xml:space="preserve"> </w:t>
      </w:r>
      <w:r>
        <w:rPr>
          <w:b/>
          <w:bCs/>
        </w:rPr>
        <w:t xml:space="preserve">83 / 89 / 88 %</w:t>
      </w:r>
      <w:r>
        <w:t xml:space="preserve"> </w:t>
      </w:r>
      <w:r>
        <w:t xml:space="preserve">of the n=120 stations (Wilson 95 % CIs all exclude 50 %), and beats the canonical</w:t>
      </w:r>
      <w:r>
        <w:t xml:space="preserve"> </w:t>
      </w:r>
      <w:r>
        <w:t xml:space="preserve">Toffolon–Piccolroaz air2stream-a8 physical model on median RMSE at every lead</w:t>
      </w:r>
      <w:r>
        <w:t xml:space="preserve"> </w:t>
      </w:r>
      <w:r>
        <w:t xml:space="preserve">(0.620 / 1.282 / 1.655 vs 0.797 / 1.464 / 1.809). Against a strong gradient-</w:t>
      </w:r>
      <w:r>
        <w:t xml:space="preserve"> </w:t>
      </w:r>
      <w:r>
        <w:t xml:space="preserve">boosting baseline (LightGBM) the result is</w:t>
      </w:r>
      <w:r>
        <w:t xml:space="preserve"> </w:t>
      </w:r>
      <w:r>
        <w:rPr>
          <w:i/>
          <w:iCs/>
        </w:rPr>
        <w:t xml:space="preserve">horizon-conditional</w:t>
      </w:r>
      <w:r>
        <w:t xml:space="preserve">: LightGBM</w:t>
      </w:r>
      <w:r>
        <w:t xml:space="preserve"> </w:t>
      </w:r>
      <w:r>
        <w:t xml:space="preserve">significantly leads at 1 day (median skill −0.018, p = 3×10⁻⁵), ThermoRoute</w:t>
      </w:r>
      <w:r>
        <w:t xml:space="preserve"> </w:t>
      </w:r>
      <w:r>
        <w:t xml:space="preserve">significantly leads at 3 and 7 days (+0.014 and +0.006, p ≤ 1×10⁻³), winning</w:t>
      </w:r>
      <w:r>
        <w:t xml:space="preserve"> </w:t>
      </w:r>
      <w:r>
        <w:t xml:space="preserve">75 % and 67 % of stations head-to-head respectively. We do not claim a uniform</w:t>
      </w:r>
      <w:r>
        <w:t xml:space="preserve"> </w:t>
      </w:r>
      <w:r>
        <w:t xml:space="preserve">advantage over LightGBM, and we report the unfavourable 1-day result openly. In 4-fold leave-group-out transfer (every station held out</w:t>
      </w:r>
      <w:r>
        <w:t xml:space="preserve"> </w:t>
      </w:r>
      <w:r>
        <w:t xml:space="preserve">once), it beats persistence on unseen basins by +0.18 / +0.17 / +0.24 (across-</w:t>
      </w:r>
      <w:r>
        <w:t xml:space="preserve"> </w:t>
      </w:r>
      <w:r>
        <w:t xml:space="preserve">fold std ≤ 0.024) and damped persistence by +0.15 / +0.06 / +0.03.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only 4 %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2"/>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leave-group-out generalisation to unseen</w:t>
      </w:r>
      <w:r>
        <w:t xml:space="preserve"> </w:t>
      </w:r>
      <w:r>
        <w:t xml:space="preserve">basins, and a unified point + probabilistic + event + decision-value</w:t>
      </w:r>
      <w:r>
        <w:t xml:space="preserve"> </w:t>
      </w:r>
      <w:r>
        <w:t xml:space="preserve">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loosened to</w:t>
      </w:r>
      <w:r>
        <w:t xml:space="preserve"> </w:t>
      </w:r>
      <w:r>
        <w:t xml:space="preserve">±1.5 °C on the large sample — see §3.3); an air2stream-style 8-parameter model</w:t>
      </w:r>
      <w:r>
        <w:t xml:space="preserve"> </w:t>
      </w:r>
      <w:r>
        <w:t xml:space="preserve">(a</w:t>
      </w:r>
      <w:r>
        <w:t xml:space="preserve"> </w:t>
      </w:r>
      <w:r>
        <w:rPr>
          <w:i/>
          <w:iCs/>
        </w:rPr>
        <w:t xml:space="preserve">variant</w:t>
      </w:r>
      <w:r>
        <w:t xml:space="preserve"> </w:t>
      </w:r>
      <w:r>
        <w:t xml:space="preserve">of Toffolon–Piccolroaz — §3.5) is included as a</w:t>
      </w:r>
      <w:r>
        <w:t xml:space="preserve"> </w:t>
      </w:r>
      <w:r>
        <w:rPr>
          <w:i/>
          <w:iCs/>
        </w:rPr>
        <w:t xml:space="preserve">physical</w:t>
      </w:r>
      <w:r>
        <w:t xml:space="preserve"> </w:t>
      </w:r>
      <w:r>
        <w:t xml:space="preserve">strong</w:t>
      </w:r>
      <w:r>
        <w:t xml:space="preserve"> </w:t>
      </w:r>
      <w:r>
        <w:t xml:space="preserve">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0.797</w:t>
            </w:r>
          </w:p>
        </w:tc>
        <w:tc>
          <w:tcPr/>
          <w:p>
            <w:pPr>
              <w:pStyle w:val="Compact"/>
            </w:pPr>
            <w:r>
              <w:rPr>
                <w:b/>
                <w:bCs/>
              </w:rPr>
              <w:t xml:space="preserve">0.620</w:t>
            </w:r>
          </w:p>
        </w:tc>
        <w:tc>
          <w:tcPr/>
          <w:p>
            <w:pPr>
              <w:pStyle w:val="Compact"/>
            </w:pPr>
            <w:r>
              <w:t xml:space="preserve">0.629</w:t>
            </w:r>
          </w:p>
        </w:tc>
        <w:tc>
          <w:tcPr/>
          <w:p>
            <w:pPr>
              <w:pStyle w:val="Compact"/>
            </w:pPr>
            <w:r>
              <w:t xml:space="preserve">+0.205</w:t>
            </w:r>
          </w:p>
        </w:tc>
        <w:tc>
          <w:tcPr/>
          <w:p>
            <w:pPr>
              <w:pStyle w:val="Compact"/>
            </w:pPr>
            <w:r>
              <w:t xml:space="preserve">+0.174</w:t>
            </w:r>
          </w:p>
        </w:tc>
        <w:tc>
          <w:tcPr/>
          <w:p>
            <w:pPr>
              <w:pStyle w:val="Compact"/>
            </w:pPr>
            <w:r>
              <w:t xml:space="preserve">83 %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1.464</w:t>
            </w:r>
          </w:p>
        </w:tc>
        <w:tc>
          <w:tcPr/>
          <w:p>
            <w:pPr>
              <w:pStyle w:val="Compact"/>
            </w:pPr>
            <w:r>
              <w:t xml:space="preserve">1.300</w:t>
            </w:r>
          </w:p>
        </w:tc>
        <w:tc>
          <w:tcPr/>
          <w:p>
            <w:pPr>
              <w:pStyle w:val="Compact"/>
            </w:pPr>
            <w:r>
              <w:rPr>
                <w:b/>
                <w:bCs/>
              </w:rPr>
              <w:t xml:space="preserve">1.282</w:t>
            </w:r>
          </w:p>
        </w:tc>
        <w:tc>
          <w:tcPr/>
          <w:p>
            <w:pPr>
              <w:pStyle w:val="Compact"/>
            </w:pPr>
            <w:r>
              <w:t xml:space="preserve">+0.189</w:t>
            </w:r>
          </w:p>
        </w:tc>
        <w:tc>
          <w:tcPr/>
          <w:p>
            <w:pPr>
              <w:pStyle w:val="Compact"/>
            </w:pPr>
            <w:r>
              <w:t xml:space="preserve">+0.080</w:t>
            </w:r>
          </w:p>
        </w:tc>
        <w:tc>
          <w:tcPr/>
          <w:p>
            <w:pPr>
              <w:pStyle w:val="Compact"/>
            </w:pPr>
            <w:r>
              <w:t xml:space="preserve">89 %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1.809</w:t>
            </w:r>
          </w:p>
        </w:tc>
        <w:tc>
          <w:tcPr/>
          <w:p>
            <w:pPr>
              <w:pStyle w:val="Compact"/>
            </w:pPr>
            <w:r>
              <w:t xml:space="preserve">1.669</w:t>
            </w:r>
          </w:p>
        </w:tc>
        <w:tc>
          <w:tcPr/>
          <w:p>
            <w:pPr>
              <w:pStyle w:val="Compact"/>
            </w:pPr>
            <w:r>
              <w:rPr>
                <w:b/>
                <w:bCs/>
              </w:rPr>
              <w:t xml:space="preserve">1.655</w:t>
            </w:r>
          </w:p>
        </w:tc>
        <w:tc>
          <w:tcPr/>
          <w:p>
            <w:pPr>
              <w:pStyle w:val="Compact"/>
            </w:pPr>
            <w:r>
              <w:t xml:space="preserve">+0.251</w:t>
            </w:r>
          </w:p>
        </w:tc>
        <w:tc>
          <w:tcPr/>
          <w:p>
            <w:pPr>
              <w:pStyle w:val="Compact"/>
            </w:pPr>
            <w:r>
              <w:t xml:space="preserve">+0.037</w:t>
            </w:r>
          </w:p>
        </w:tc>
        <w:tc>
          <w:tcPr/>
          <w:p>
            <w:pPr>
              <w:pStyle w:val="Compact"/>
            </w:pPr>
            <w:r>
              <w:t xml:space="preserve">88 %</w:t>
            </w:r>
          </w:p>
        </w:tc>
      </w:tr>
    </w:tbl>
    <w:p>
      <w:pPr>
        <w:pStyle w:val="BodyText"/>
      </w:pPr>
      <w:r>
        <w:t xml:space="preserve">ThermoRoute beats every</w:t>
      </w:r>
      <w:r>
        <w:t xml:space="preserve"> </w:t>
      </w:r>
      <w:r>
        <w:rPr>
          <w:i/>
          <w:iCs/>
        </w:rPr>
        <w:t xml:space="preserve">physics</w:t>
      </w:r>
      <w:r>
        <w:t xml:space="preserve"> </w:t>
      </w:r>
      <w:r>
        <w:t xml:space="preserve">baseline at every horizon and on</w:t>
      </w:r>
      <w:r>
        <w:t xml:space="preserve"> </w:t>
      </w:r>
      <w:r>
        <w:rPr>
          <w:b/>
          <w:bCs/>
        </w:rPr>
        <w:t xml:space="preserve">83–89 % of</w:t>
      </w:r>
      <w:r>
        <w:rPr>
          <w:b/>
          <w:bCs/>
        </w:rPr>
        <w:t xml:space="preserve"> </w:t>
      </w:r>
      <w:r>
        <w:rPr>
          <w:b/>
          <w:bCs/>
        </w:rPr>
        <w:t xml:space="preserve">individual stations</w:t>
      </w:r>
      <w:r>
        <w:t xml:space="preserve"> </w:t>
      </w:r>
      <w:r>
        <w:t xml:space="preserve">— a consistent, not outlier-driven, advantage that survives</w:t>
      </w:r>
      <w:r>
        <w:t xml:space="preserve"> </w:t>
      </w:r>
      <w:r>
        <w:t xml:space="preserve">the inner-join identical-keys enforcement (§3.5). Per-station Wilcoxon paired</w:t>
      </w:r>
      <w:r>
        <w:t xml:space="preserve"> </w:t>
      </w:r>
      <w:r>
        <w:t xml:space="preserve">tests (n=120) give median skill +0.174 / +0.080 / +0.037 vs damped persistence</w:t>
      </w:r>
      <w:r>
        <w:t xml:space="preserve"> </w:t>
      </w:r>
      <w:r>
        <w:t xml:space="preserve">(p ≤ 4×10⁻¹⁸ at every horizon) and +0.205 / +0.189 / +0.251 vs raw persistence</w:t>
      </w:r>
      <w:r>
        <w:t xml:space="preserve"> </w:t>
      </w:r>
      <w:r>
        <w:t xml:space="preserve">(p ≤ 2×10⁻¹⁹). The bootstrap 95 % CIs (station resampling) all exclude zero by a</w:t>
      </w:r>
      <w:r>
        <w:t xml:space="preserve"> </w:t>
      </w:r>
      <w:r>
        <w:t xml:space="preserve">wide margin.</w:t>
      </w:r>
    </w:p>
    <w:p>
      <w:pPr>
        <w:pStyle w:val="BodyText"/>
      </w:pPr>
      <w:r>
        <w:t xml:space="preserve">The strong gradient-boosting baseline (LightGBM) is competitive and the</w:t>
      </w:r>
      <w:r>
        <w:t xml:space="preserve"> </w:t>
      </w:r>
      <w:r>
        <w:t xml:space="preserve">comparison is the most interesting case.</w:t>
      </w:r>
      <w:r>
        <w:t xml:space="preserve"> </w:t>
      </w:r>
      <w:r>
        <w:rPr>
          <w:b/>
          <w:bCs/>
        </w:rPr>
        <w:t xml:space="preserve">At 1 day LightGBM is significantly</w:t>
      </w:r>
      <w:r>
        <w:rPr>
          <w:b/>
          <w:bCs/>
        </w:rPr>
        <w:t xml:space="preserve"> </w:t>
      </w:r>
      <w:r>
        <w:rPr>
          <w:b/>
          <w:bCs/>
        </w:rPr>
        <w:t xml:space="preserve">better than ThermoRoute</w:t>
      </w:r>
      <w:r>
        <w:t xml:space="preserve"> </w:t>
      </w:r>
      <w:r>
        <w:t xml:space="preserve">(median skill −0.018, p = 3×10⁻⁵, ThermoRoute wins</w:t>
      </w:r>
      <w:r>
        <w:t xml:space="preserve"> </w:t>
      </w:r>
      <w:r>
        <w:t xml:space="preserve">only 33 % of stations), reflecting LightGBM’s strength when the</w:t>
      </w:r>
      <w:r>
        <w:t xml:space="preserve"> </w:t>
      </w:r>
      <w:r>
        <w:t xml:space="preserve">short-horizon signal is dominated by lagged WTEMP that ThermoRoute’s physics</w:t>
      </w:r>
      <w:r>
        <w:t xml:space="preserve"> </w:t>
      </w:r>
      <w:r>
        <w:t xml:space="preserve">prior already supplies but with less flexibility than 200 boosted trees can add.</w:t>
      </w:r>
      <w:r>
        <w:t xml:space="preserve"> </w:t>
      </w:r>
      <w:r>
        <w:t xml:space="preserve">At 3–7 days the ordering flips: ThermoRoute wins on median (1.282/1.655 vs</w:t>
      </w:r>
      <w:r>
        <w:t xml:space="preserve"> </w:t>
      </w:r>
      <w:r>
        <w:t xml:space="preserve">1.300/1.669), the per-station paired difference favours ThermoRoute (median</w:t>
      </w:r>
      <w:r>
        <w:t xml:space="preserve"> </w:t>
      </w:r>
      <w:r>
        <w:t xml:space="preserve">skill +0.014/+0.006, p = 1×10⁻⁸ and 9×10⁻⁴) and ThermoRoute wins</w:t>
      </w:r>
      <w:r>
        <w:t xml:space="preserve"> </w:t>
      </w:r>
      <w:r>
        <w:rPr>
          <w:b/>
          <w:bCs/>
        </w:rPr>
        <w:t xml:space="preserve">75 / 67 %</w:t>
      </w:r>
      <w:r>
        <w:t xml:space="preserve"> </w:t>
      </w:r>
      <w:r>
        <w:t xml:space="preserve">of</w:t>
      </w:r>
      <w:r>
        <w:t xml:space="preserve"> </w:t>
      </w:r>
      <w:r>
        <w:t xml:space="preserve">stations at h3/h7 respectively. We therefore claim (i) a robust, significant</w:t>
      </w:r>
      <w:r>
        <w:t xml:space="preserve"> </w:t>
      </w:r>
      <w:r>
        <w:t xml:space="preserve">improvement over the physics baselines at every horizon, and (ii) a</w:t>
      </w:r>
      <w:r>
        <w:t xml:space="preserve"> </w:t>
      </w:r>
      <w:r>
        <w:rPr>
          <w:i/>
          <w:iCs/>
        </w:rPr>
        <w:t xml:space="preserve">horizon-conditional</w:t>
      </w:r>
      <w:r>
        <w:t xml:space="preserve"> </w:t>
      </w:r>
      <w:r>
        <w:t xml:space="preserve">result against the strong learned baseline: LightGBM</w:t>
      </w:r>
      <w:r>
        <w:t xml:space="preserve"> </w:t>
      </w:r>
      <w:r>
        <w:t xml:space="preserve">better at 1 day, ThermoRoute better at 3–7 days. We do</w:t>
      </w:r>
      <w:r>
        <w:t xml:space="preserve"> </w:t>
      </w:r>
      <w:r>
        <w:rPr>
          <w:b/>
          <w:bCs/>
        </w:rPr>
        <w:t xml:space="preserve">not</w:t>
      </w:r>
      <w:r>
        <w:t xml:space="preserve"> </w:t>
      </w:r>
      <w:r>
        <w:t xml:space="preserve">claim a uniform</w:t>
      </w:r>
      <w:r>
        <w:t xml:space="preserve"> </w:t>
      </w:r>
      <w:r>
        <w:t xml:space="preserve">advantage over LightGBM. The intermediate 40-station pilot gives the same</w:t>
      </w:r>
      <w:r>
        <w:t xml:space="preserve"> </w:t>
      </w:r>
      <w:r>
        <w:t xml:space="preserve">qualitative ordering with smaller effect sizes; the 120-station numbers are the</w:t>
      </w:r>
      <w:r>
        <w:t xml:space="preserve"> </w:t>
      </w:r>
      <w:r>
        <w:t xml:space="preserve">headline (Figure 2).</w:t>
      </w:r>
    </w:p>
    <w:p>
      <w:pPr>
        <w:pStyle w:val="CaptionedFigure"/>
      </w:pPr>
      <w:r>
        <w:drawing>
          <wp:inline>
            <wp:extent cx="5067300" cy="2114659"/>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3 / 89 / 88 % of stations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146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83 / 89 / 88 % of stations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0.688</w:t>
            </w:r>
          </w:p>
        </w:tc>
        <w:tc>
          <w:tcPr/>
          <w:p>
            <w:pPr>
              <w:pStyle w:val="Compact"/>
            </w:pPr>
            <w:r>
              <w:rPr>
                <w:b/>
                <w:bCs/>
              </w:rPr>
              <w:t xml:space="preserve">+0.181 ± 0.023</w:t>
            </w:r>
          </w:p>
        </w:tc>
        <w:tc>
          <w:tcPr/>
          <w:p>
            <w:pPr>
              <w:pStyle w:val="Compact"/>
            </w:pPr>
            <w:r>
              <w:t xml:space="preserve">+0.149 ± 0.024</w:t>
            </w:r>
          </w:p>
        </w:tc>
      </w:tr>
      <w:tr>
        <w:tc>
          <w:tcPr/>
          <w:p>
            <w:pPr>
              <w:pStyle w:val="Compact"/>
            </w:pPr>
            <w:r>
              <w:t xml:space="preserve">3 d</w:t>
            </w:r>
          </w:p>
        </w:tc>
        <w:tc>
          <w:tcPr/>
          <w:p>
            <w:pPr>
              <w:pStyle w:val="Compact"/>
            </w:pPr>
            <w:r>
              <w:t xml:space="preserve">1.360</w:t>
            </w:r>
          </w:p>
        </w:tc>
        <w:tc>
          <w:tcPr/>
          <w:p>
            <w:pPr>
              <w:pStyle w:val="Compact"/>
            </w:pPr>
            <w:r>
              <w:rPr>
                <w:b/>
                <w:bCs/>
              </w:rPr>
              <w:t xml:space="preserve">+0.170 ± 0.010</w:t>
            </w:r>
          </w:p>
        </w:tc>
        <w:tc>
          <w:tcPr/>
          <w:p>
            <w:pPr>
              <w:pStyle w:val="Compact"/>
            </w:pPr>
            <w:r>
              <w:t xml:space="preserve">+0.058 ± 0.012</w:t>
            </w:r>
          </w:p>
        </w:tc>
      </w:tr>
      <w:tr>
        <w:tc>
          <w:tcPr/>
          <w:p>
            <w:pPr>
              <w:pStyle w:val="Compact"/>
            </w:pPr>
            <w:r>
              <w:t xml:space="preserve">7 d</w:t>
            </w:r>
          </w:p>
        </w:tc>
        <w:tc>
          <w:tcPr/>
          <w:p>
            <w:pPr>
              <w:pStyle w:val="Compact"/>
            </w:pPr>
            <w:r>
              <w:t xml:space="preserve">1.654</w:t>
            </w:r>
          </w:p>
        </w:tc>
        <w:tc>
          <w:tcPr/>
          <w:p>
            <w:pPr>
              <w:pStyle w:val="Compact"/>
            </w:pPr>
            <w:r>
              <w:rPr>
                <w:b/>
                <w:bCs/>
              </w:rPr>
              <w:t xml:space="preserve">+0.240 ± 0.010</w:t>
            </w:r>
          </w:p>
        </w:tc>
        <w:tc>
          <w:tcPr/>
          <w:p>
            <w:pPr>
              <w:pStyle w:val="Compact"/>
            </w:pPr>
            <w:r>
              <w:t xml:space="preserve">+0.028 ± 0.010</w:t>
            </w:r>
          </w:p>
        </w:tc>
      </w:tr>
    </w:tbl>
    <w:p>
      <w:pPr>
        <w:pStyle w:val="BodyText"/>
      </w:pPr>
      <w:r>
        <w:t xml:space="preserve">ThermoRoute transfers to unseen basins with a skill over persistence of</w:t>
      </w:r>
      <w:r>
        <w:t xml:space="preserve"> </w:t>
      </w:r>
      <w:r>
        <w:t xml:space="preserve">+0.18 / +0.17 / +0.24 at 1 / 3 / 7 days and small across-fold variability</w:t>
      </w:r>
      <w:r>
        <w:t xml:space="preserve"> </w:t>
      </w:r>
      <w:r>
        <w:t xml:space="preserve">(std ≤ 0.024),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 This is the contribution a single-site study cannot make: the learned prior</w:t>
      </w:r>
      <w:r>
        <w:t xml:space="preserve"> </w:t>
      </w:r>
      <w:r>
        <w:t xml:space="preserve">plus a station-agnostic residual generalises across basins, not just across years</w:t>
      </w:r>
      <w:r>
        <w:t xml:space="preserve"> </w:t>
      </w:r>
      <w:r>
        <w:t xml:space="preserve">at one site.</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0.912</w:t>
      </w:r>
      <w:r>
        <w:t xml:space="preserve"> </w:t>
      </w:r>
      <w:r>
        <w:t xml:space="preserve">at 1 / 3 / 7 days, with</w:t>
      </w:r>
      <w:r>
        <w:t xml:space="preserve"> </w:t>
      </w:r>
      <w:r>
        <w:rPr>
          <w:b/>
          <w:bCs/>
        </w:rPr>
        <w:t xml:space="preserve">93 / 91 / 86 %</w:t>
      </w:r>
      <w:r>
        <w:t xml:space="preserve"> </w:t>
      </w:r>
      <w:r>
        <w:t xml:space="preserve">of the n=114 blind-test stations</w:t>
      </w:r>
      <w:r>
        <w:t xml:space="preserve"> </w:t>
      </w:r>
      <w:r>
        <w:t xml:space="preserve">falling within ±0.05 of nominal (Wilson 95 % CIs: 87–97 %, 84–95 %, 78–91 %;</w:t>
      </w:r>
      <w:r>
        <w:t xml:space="preserve"> </w:t>
      </w:r>
      <w:r>
        <w:t xml:space="preserve">Figure 3). LightGBM is similarly calibrated (PICP 0.905 / 0.906 / 0.907). On the</w:t>
      </w:r>
      <w:r>
        <w:t xml:space="preserve"> </w:t>
      </w:r>
      <w:r>
        <w:t xml:space="preserve">smaller 40-station pilot the same model is calibrated at the</w:t>
      </w:r>
      <w:r>
        <w:t xml:space="preserve"> </w:t>
      </w:r>
      <w:r>
        <w:rPr>
          <w:i/>
          <w:iCs/>
        </w:rPr>
        <w:t xml:space="preserve">population</w:t>
      </w:r>
      <w:r>
        <w:t xml:space="preserve"> </w:t>
      </w:r>
      <w:r>
        <w:t xml:space="preserve">level</w:t>
      </w:r>
      <w:r>
        <w:t xml:space="preserve"> </w:t>
      </w:r>
      <w:r>
        <w:t xml:space="preserve">(median PICP 0.90–0.91) with a wider per-station spread (n=36 per-station PICP</w:t>
      </w:r>
      <w:r>
        <w:t xml:space="preserve"> </w:t>
      </w:r>
      <w:r>
        <w:t xml:space="preserve">range 0.81–0.97), and on the three-station cascade the spread is wider still</w:t>
      </w:r>
      <w:r>
        <w:t xml:space="preserve"> </w:t>
      </w:r>
      <w:r>
        <w:t xml:space="preserve">(0.79–0.91, §4.1), so we treat tight per-station coverage as a property of the</w:t>
      </w:r>
      <w:r>
        <w:t xml:space="preserve"> </w:t>
      </w:r>
      <w:r>
        <w:t xml:space="preserve">large-sample regime, not a guarantee.</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(Brier-skill +0.74 / +0.60 / +0.51; AUPRC 0.92 / 0.82 / 0.74</w:t>
      </w:r>
      <w:r>
        <w:t xml:space="preserve"> </w:t>
      </w:r>
      <w:r>
        <w:t xml:space="preserve">at 1 / 3 / 7 d), slightly ahead of LightGBM (+0.73 / +0.57 / +0.49;</w:t>
      </w:r>
      <w:r>
        <w:t xml:space="preserve"> </w:t>
      </w:r>
      <w:r>
        <w:t xml:space="preserve">AUPRC 0.92 / 0.79 / 0.72).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0.90 / 0.86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0.85 / 0.82).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 only</w:t>
      </w:r>
      <w:r>
        <w:t xml:space="preserve"> </w:t>
      </w:r>
      <w:r>
        <w:rPr>
          <w:b/>
          <w:bCs/>
        </w:rPr>
        <w:t xml:space="preserve">4 % of stations</w:t>
      </w:r>
      <w:r>
        <w:t xml:space="preserve"> </w:t>
      </w:r>
      <w:r>
        <w:t xml:space="preserve">(median κ_high/κ_low =</w:t>
      </w:r>
      <w:r>
        <w:t xml:space="preserve"> </w:t>
      </w:r>
      <w:r>
        <w:t xml:space="preserve">0.94; mean κ_low 0.110 vs κ_high 0.103) — and at only 24 % on the smaller 40-</w:t>
      </w:r>
      <w:r>
        <w:t xml:space="preserve"> </w:t>
      </w:r>
      <w:r>
        <w:t xml:space="preserve">station pilot — so there is no consistent, physically directional flow dependence</w:t>
      </w:r>
      <w:r>
        <w:t xml:space="preserve"> </w:t>
      </w:r>
      <w:r>
        <w:t xml:space="preserve">at scale.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 air</w:t>
      </w:r>
      <w:r>
        <w:t xml:space="preserve"> </w:t>
      </w:r>
      <w:r>
        <w:t xml:space="preserve">temperature (≈95 % of routing weight) plus a small contribution from recent</w:t>
      </w:r>
      <w:r>
        <w:t xml:space="preserve"> </w:t>
      </w:r>
      <w:r>
        <w:t xml:space="preserve">WTEMP (≈5 %), consistent with the dominance of air–water heat exchange at short</w:t>
      </w:r>
      <w:r>
        <w:t xml:space="preserve"> </w:t>
      </w:r>
      <w:r>
        <w:t xml:space="preserve">range; at 3 and 7 days the share spreads to precipitation (33 % / 36 %), wind</w:t>
      </w:r>
      <w:r>
        <w:t xml:space="preserve"> </w:t>
      </w:r>
      <w:r>
        <w:t xml:space="preserve">speed (25 % / 23 %) and humidity (18 % / 17 %), consistent with event-driven,</w:t>
      </w:r>
      <w:r>
        <w:t xml:space="preserve"> </w:t>
      </w:r>
      <w:r>
        <w:t xml:space="preserve">runoff- and energy-budget-mediated temperature change becoming more important at</w:t>
      </w:r>
      <w:r>
        <w:t xml:space="preserve"> </w:t>
      </w:r>
      <w:r>
        <w:t xml:space="preserve">longer leads. This is an interpretive read-out, not a causal mechanism (Figure 4).</w:t>
      </w:r>
    </w:p>
    <w:p>
      <w:pPr>
        <w:pStyle w:val="CaptionedFigure"/>
      </w:pPr>
      <w:r>
        <w:drawing>
          <wp:inline>
            <wp:extent cx="4533900" cy="2115683"/>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only 4 % of stations on the 120-station panel (and 24 % on the 40-station pilot), median ratio 0.94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15683"/>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 only</w:t>
      </w:r>
      <w:r>
        <w:t xml:space="preserve"> </w:t>
      </w:r>
      <w:r>
        <w:rPr>
          <w:b/>
          <w:bCs/>
        </w:rPr>
        <w:t xml:space="preserve">4 % of stations</w:t>
      </w:r>
      <w:r>
        <w:t xml:space="preserve"> </w:t>
      </w:r>
      <w:r>
        <w:t xml:space="preserve">on the 120-station panel (and 24 % on the 40-station pilot), median ratio 0.94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rPr>
                <w:b/>
                <w:bCs/>
              </w:rPr>
              <w:t xml:space="preserve">ThermoRoute (full)</w:t>
            </w:r>
          </w:p>
        </w:tc>
        <w:tc>
          <w:tcPr/>
          <w:p>
            <w:pPr>
              <w:pStyle w:val="Compact"/>
            </w:pPr>
            <w:r>
              <w:rPr>
                <w:b/>
                <w:bCs/>
              </w:rPr>
              <w:t xml:space="preserve">0.629</w:t>
            </w:r>
          </w:p>
        </w:tc>
        <w:tc>
          <w:tcPr/>
          <w:p>
            <w:pPr>
              <w:pStyle w:val="Compact"/>
            </w:pPr>
            <w:r>
              <w:rPr>
                <w:b/>
                <w:bCs/>
              </w:rPr>
              <w:t xml:space="preserve">1.282</w:t>
            </w:r>
          </w:p>
        </w:tc>
        <w:tc>
          <w:tcPr/>
          <w:p>
            <w:pPr>
              <w:pStyle w:val="Compact"/>
            </w:pPr>
            <w:r>
              <w:rPr>
                <w:b/>
                <w:bCs/>
              </w:rPr>
              <w:t xml:space="preserve">1.655</w:t>
            </w:r>
          </w:p>
        </w:tc>
        <w:tc>
          <w:tcPr/>
          <w:p>
            <w:pPr>
              <w:pStyle w:val="Compact"/>
            </w:pPr>
            <w:r>
              <w:t xml:space="preserve">—</w:t>
            </w:r>
          </w:p>
        </w:tc>
      </w:tr>
      <w:tr>
        <w:tc>
          <w:tcPr/>
          <w:p>
            <w:pPr>
              <w:pStyle w:val="Compact"/>
            </w:pPr>
            <w:r>
              <w:t xml:space="preserve">TR-noPrior</w:t>
            </w:r>
          </w:p>
        </w:tc>
        <w:tc>
          <w:tcPr/>
          <w:p>
            <w:pPr>
              <w:pStyle w:val="Compact"/>
            </w:pPr>
            <w:r>
              <w:t xml:space="preserve">1.149</w:t>
            </w:r>
          </w:p>
        </w:tc>
        <w:tc>
          <w:tcPr/>
          <w:p>
            <w:pPr>
              <w:pStyle w:val="Compact"/>
            </w:pPr>
            <w:r>
              <w:t xml:space="preserve">1.416</w:t>
            </w:r>
          </w:p>
        </w:tc>
        <w:tc>
          <w:tcPr/>
          <w:p>
            <w:pPr>
              <w:pStyle w:val="Compact"/>
            </w:pPr>
            <w:r>
              <w:t xml:space="preserve">1.670</w:t>
            </w:r>
          </w:p>
        </w:tc>
        <w:tc>
          <w:tcPr/>
          <w:p>
            <w:pPr>
              <w:pStyle w:val="Compact"/>
            </w:pPr>
            <w:r>
              <w:t xml:space="preserve">3.9×10⁻²⁰ *</w:t>
            </w:r>
          </w:p>
        </w:tc>
      </w:tr>
      <w:tr>
        <w:tc>
          <w:tcPr/>
          <w:p>
            <w:pPr>
              <w:pStyle w:val="Compact"/>
            </w:pPr>
            <w:r>
              <w:t xml:space="preserve">TR-noMoE</w:t>
            </w:r>
          </w:p>
        </w:tc>
        <w:tc>
          <w:tcPr/>
          <w:p>
            <w:pPr>
              <w:pStyle w:val="Compact"/>
            </w:pPr>
            <w:r>
              <w:t xml:space="preserve">0.733</w:t>
            </w:r>
          </w:p>
        </w:tc>
        <w:tc>
          <w:tcPr/>
          <w:p>
            <w:pPr>
              <w:pStyle w:val="Compact"/>
            </w:pPr>
            <w:r>
              <w:t xml:space="preserve">1.345</w:t>
            </w:r>
          </w:p>
        </w:tc>
        <w:tc>
          <w:tcPr/>
          <w:p>
            <w:pPr>
              <w:pStyle w:val="Compact"/>
            </w:pPr>
            <w:r>
              <w:t xml:space="preserve">1.690</w:t>
            </w:r>
          </w:p>
        </w:tc>
        <w:tc>
          <w:tcPr/>
          <w:p>
            <w:pPr>
              <w:pStyle w:val="Compact"/>
            </w:pPr>
            <w:r>
              <w:t xml:space="preserve">1.0×10⁻¹⁶ *</w:t>
            </w:r>
          </w:p>
        </w:tc>
      </w:tr>
      <w:tr>
        <w:tc>
          <w:tcPr/>
          <w:p>
            <w:pPr>
              <w:pStyle w:val="Compact"/>
            </w:pPr>
            <w:r>
              <w:t xml:space="preserve">TR-noRouter</w:t>
            </w:r>
          </w:p>
        </w:tc>
        <w:tc>
          <w:tcPr/>
          <w:p>
            <w:pPr>
              <w:pStyle w:val="Compact"/>
            </w:pPr>
            <w:r>
              <w:t xml:space="preserve">0.640</w:t>
            </w:r>
          </w:p>
        </w:tc>
        <w:tc>
          <w:tcPr/>
          <w:p>
            <w:pPr>
              <w:pStyle w:val="Compact"/>
            </w:pPr>
            <w:r>
              <w:t xml:space="preserve">1.293</w:t>
            </w:r>
          </w:p>
        </w:tc>
        <w:tc>
          <w:tcPr/>
          <w:p>
            <w:pPr>
              <w:pStyle w:val="Compact"/>
            </w:pPr>
            <w:r>
              <w:t xml:space="preserve">1.666</w:t>
            </w:r>
          </w:p>
        </w:tc>
        <w:tc>
          <w:tcPr/>
          <w:p>
            <w:pPr>
              <w:pStyle w:val="Compact"/>
            </w:pPr>
            <w:r>
              <w:t xml:space="preserve">2.4×10⁻¹⁶ *</w:t>
            </w:r>
          </w:p>
        </w:tc>
      </w:tr>
      <w:tr>
        <w:tc>
          <w:tcPr/>
          <w:p>
            <w:pPr>
              <w:pStyle w:val="Compact"/>
            </w:pPr>
            <w:r>
              <w:t xml:space="preserve">TR-fixedKappa</w:t>
            </w:r>
          </w:p>
        </w:tc>
        <w:tc>
          <w:tcPr/>
          <w:p>
            <w:pPr>
              <w:pStyle w:val="Compact"/>
            </w:pPr>
            <w:r>
              <w:t xml:space="preserve">0.635</w:t>
            </w:r>
          </w:p>
        </w:tc>
        <w:tc>
          <w:tcPr/>
          <w:p>
            <w:pPr>
              <w:pStyle w:val="Compact"/>
            </w:pPr>
            <w:r>
              <w:t xml:space="preserve">1.286</w:t>
            </w:r>
          </w:p>
        </w:tc>
        <w:tc>
          <w:tcPr/>
          <w:p>
            <w:pPr>
              <w:pStyle w:val="Compact"/>
            </w:pPr>
            <w:r>
              <w:t xml:space="preserve">1.659</w:t>
            </w:r>
          </w:p>
        </w:tc>
        <w:tc>
          <w:tcPr/>
          <w:p>
            <w:pPr>
              <w:pStyle w:val="Compact"/>
            </w:pPr>
            <w:r>
              <w:t xml:space="preserve">1.1×10⁻⁵ *</w:t>
            </w:r>
          </w:p>
        </w:tc>
      </w:tr>
    </w:tbl>
    <w:p>
      <w:pPr>
        <w:pStyle w:val="BodyText"/>
      </w:pPr>
      <w:r>
        <w:t xml:space="preserve">Removing the physics prior is catastrophic — RMSE nearly doubles at 1 day</w:t>
      </w:r>
      <w:r>
        <w:t xml:space="preserve"> </w:t>
      </w:r>
      <w:r>
        <w:t xml:space="preserve">(0.629 → 1.149) and the per-station difference is significant at p ≈ 4×10⁻²⁰ —</w:t>
      </w:r>
      <w:r>
        <w:t xml:space="preserve"> </w:t>
      </w:r>
      <w:r>
        <w:t xml:space="preserve">confirming that the prior carries the forecast. Removing the mixture-of-experts</w:t>
      </w:r>
      <w:r>
        <w:t xml:space="preserve"> </w:t>
      </w:r>
      <w:r>
        <w:t xml:space="preserve">(+0.104 / +0.063 / +0.035 at 1 / 3 / 7 d, p ≈ 1×10⁻¹⁶) and the router</w:t>
      </w:r>
      <w:r>
        <w:t xml:space="preserve"> </w:t>
      </w:r>
      <w:r>
        <w:t xml:space="preserve">(+0.011 / +0.011 / +0.011, p ≈ 2×10⁻¹⁶) both hurt significantly. Freezing the</w:t>
      </w:r>
      <w:r>
        <w:t xml:space="preserve"> </w:t>
      </w:r>
      <w:r>
        <w:t xml:space="preserve">dynamic-κ modulators (TR-fixedKappa) leaves accuracy essentially unchanged</w:t>
      </w:r>
      <w:r>
        <w:t xml:space="preserve"> </w:t>
      </w:r>
      <w:r>
        <w:t xml:space="preserve">(+0.006 / +0.004 / +0.004): although the paired test is</w:t>
      </w:r>
      <w:r>
        <w:t xml:space="preserve"> </w:t>
      </w:r>
      <w:r>
        <w:rPr>
          <w:i/>
          <w:iCs/>
        </w:rPr>
        <w:t xml:space="preserve">nominally</w:t>
      </w:r>
      <w:r>
        <w:t xml:space="preserve"> </w:t>
      </w:r>
      <w:r>
        <w:t xml:space="preserve">significant</w:t>
      </w:r>
      <w:r>
        <w:t xml:space="preserve"> </w:t>
      </w:r>
      <w:r>
        <w:t xml:space="preserve">(p ≈ 1×10⁻⁵) because the tiny differences are consistent in sign across stations,</w:t>
      </w:r>
      <w:r>
        <w:t xml:space="preserve"> </w:t>
      </w:r>
      <w:r>
        <w:t xml:space="preserve">the effect size is negligible — two orders of magnitude smaller than the prior,</w:t>
      </w:r>
      <w:r>
        <w:t xml:space="preserve"> </w:t>
      </w:r>
      <w:r>
        <w:t xml:space="preserve">MoE or router effects. The honest reading is that the prior, experts and router</w:t>
      </w:r>
      <w:r>
        <w:t xml:space="preserve"> </w:t>
      </w:r>
      <w:r>
        <w:t xml:space="preserve">contribute real accuracy while the dynamic-κ modulation is interpretive overhead,</w:t>
      </w:r>
      <w:r>
        <w:t xml:space="preserve"> </w:t>
      </w:r>
      <w:r>
        <w:t xml:space="preserve">retained only because freezing it does not improve accuracy either (consistent</w:t>
      </w:r>
      <w:r>
        <w:t xml:space="preserve"> </w:t>
      </w:r>
      <w:r>
        <w:t xml:space="preserve">with the §4.5 mechanism result). Note that unlike the 40-station pilot — where</w:t>
      </w:r>
      <w:r>
        <w:t xml:space="preserve"> </w:t>
      </w:r>
      <w:r>
        <w:t xml:space="preserve">fixed-κ was marginally</w:t>
      </w:r>
      <w:r>
        <w:t xml:space="preserve"> </w:t>
      </w:r>
      <w:r>
        <w:rPr>
          <w:i/>
          <w:iCs/>
        </w:rPr>
        <w:t xml:space="preserve">better</w:t>
      </w:r>
      <w:r>
        <w:t xml:space="preserve"> </w:t>
      </w:r>
      <w:r>
        <w:t xml:space="preserve">at 7 days — the sign is now consistently (if</w:t>
      </w:r>
      <w:r>
        <w:t xml:space="preserve"> </w:t>
      </w:r>
      <w:r>
        <w:t xml:space="preserve">negligibly) in favour of the dynamic version, which we read as within-noise.</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42"/>
    <w:bookmarkStart w:id="43"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2026-07-02T21:17:24Z</dcterms:created>
  <dcterms:modified xsi:type="dcterms:W3CDTF">2026-07-02T21:17:24Z</dcterms:modified>
</cp:coreProperties>
</file>

<file path=docProps/custom.xml><?xml version="1.0" encoding="utf-8"?>
<Properties xmlns="http://schemas.openxmlformats.org/officeDocument/2006/custom-properties" xmlns:vt="http://schemas.openxmlformats.org/officeDocument/2006/docPropsVTypes"/>
</file>