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3448188efa7ab07ac09eb725f410ce5339e2995"/>
    <w:p>
      <w:pPr>
        <w:pStyle w:val="Heading1"/>
      </w:pPr>
      <w:r>
        <w:t xml:space="preserve">ThermoRoute: a dynamic thermal-memory prior with calibrated, transferable multi-station river water-temperature forecasting</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scripts/04</w:t>
      </w:r>
      <w:r>
        <w:t xml:space="preserve">, the 40-station large-sample experiment by</w:t>
      </w:r>
      <w:r>
        <w:t xml:space="preserve"> </w:t>
      </w:r>
      <w:r>
        <w:rPr>
          <w:rStyle w:val="VerbatimChar"/>
        </w:rPr>
        <w:t xml:space="preserve">scripts/09</w:t>
      </w:r>
      <w:r>
        <w:t xml:space="preserve"> </w:t>
      </w:r>
      <w:r>
        <w:t xml:space="preserve">(5 seeds),</w:t>
      </w:r>
      <w:r>
        <w:t xml:space="preserve"> </w:t>
      </w:r>
      <w:r>
        <w:t xml:space="preserve">and the calibration/decision/mechanism analysis by</w:t>
      </w:r>
      <w:r>
        <w:t xml:space="preserve"> </w:t>
      </w:r>
      <w:r>
        <w:rPr>
          <w:rStyle w:val="VerbatimChar"/>
        </w:rPr>
        <w:t xml:space="preserve">scripts/10</w:t>
      </w:r>
      <w:r>
        <w:t xml:space="preserve">. Reports:</w:t>
      </w:r>
      <w:r>
        <w:t xml:space="preserve"> </w:t>
      </w:r>
      <w:r>
        <w:rPr>
          <w:rStyle w:val="VerbatimChar"/>
        </w:rPr>
        <w:t xml:space="preserve">outputs/reports/{usgs_experiment,usgs_analysis}.md</w:t>
      </w:r>
      <w:r>
        <w:t xml:space="preserve">; figures</w:t>
      </w:r>
      <w:r>
        <w:t xml:space="preserve"> </w:t>
      </w:r>
      <w:r>
        <w:rPr>
          <w:rStyle w:val="VerbatimChar"/>
        </w:rPr>
        <w:t xml:space="preserve">outputs/figures/</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Operational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which</w:t>
      </w:r>
      <w:r>
        <w:t xml:space="preserve"> </w:t>
      </w:r>
      <w:r>
        <w:t xml:space="preserve">couples a</w:t>
      </w:r>
      <w:r>
        <w:t xml:space="preserve"> </w:t>
      </w:r>
      <w:r>
        <w:rPr>
          <w:i/>
          <w:iCs/>
        </w:rPr>
        <w:t xml:space="preserve">learnable dynamic thermal-relaxation prior</w:t>
      </w:r>
      <w:r>
        <w:t xml:space="preserve"> </w:t>
      </w:r>
      <w:r>
        <w:t xml:space="preserve">— a flow- and</w:t>
      </w:r>
      <w:r>
        <w:t xml:space="preserve"> </w:t>
      </w:r>
      <w:r>
        <w:t xml:space="preserve">season-modulated generalisation of damped persistence toward climatology that</w:t>
      </w:r>
      <w:r>
        <w:t xml:space="preserve"> </w:t>
      </w:r>
      <w:r>
        <w:t xml:space="preserve">contains the strong baseline as a special case — with a horizon-conditioned sparse</w:t>
      </w:r>
      <w:r>
        <w:t xml:space="preserve"> </w:t>
      </w:r>
      <w:r>
        <w:t xml:space="preserve">variable–lag router and a bounded neural residual, and emits conformally-calibrated</w:t>
      </w:r>
      <w:r>
        <w:t xml:space="preserve"> </w:t>
      </w:r>
      <w:r>
        <w:t xml:space="preserve">quantiles plus a high-temperature exceedance probability. We evaluate under a</w:t>
      </w:r>
      <w:r>
        <w:t xml:space="preserve"> </w:t>
      </w:r>
      <w:r>
        <w:t xml:space="preserve">strict historical-information protocol on two settings. (i) A three-station</w:t>
      </w:r>
      <w:r>
        <w:t xml:space="preserve"> </w:t>
      </w:r>
      <w:r>
        <w:t xml:space="preserve">regulated reservoir cascade (15 years), where we report the honest negative result</w:t>
      </w:r>
      <w:r>
        <w:t xml:space="preserve"> </w:t>
      </w:r>
      <w:r>
        <w:t xml:space="preserve">that, because deep reservoir releases make water temperature near-perfectly</w:t>
      </w:r>
      <w:r>
        <w:t xml:space="preserve"> </w:t>
      </w:r>
      <w:r>
        <w:t xml:space="preserve">persistent, no learned model improves on per-station damped persistence; the value</w:t>
      </w:r>
      <w:r>
        <w:t xml:space="preserve"> </w:t>
      </w:r>
      <w:r>
        <w:t xml:space="preserve">there is confined to calibrated uncertainty and warnings. (ii) A 40-station</w:t>
      </w:r>
      <w:r>
        <w:t xml:space="preserve"> </w:t>
      </w:r>
      <w:r>
        <w:t xml:space="preserve">large-sample set drawn from public USGS gages (free-flowing and regulated), where</w:t>
      </w:r>
      <w:r>
        <w:t xml:space="preserve"> </w:t>
      </w:r>
      <w:r>
        <w:t xml:space="preserve">forecast headroom exists: ThermoRoute beats damped persistence at all three lead</w:t>
      </w:r>
      <w:r>
        <w:t xml:space="preserve"> </w:t>
      </w:r>
      <w:r>
        <w:t xml:space="preserve">times (skill vs damped +0.13 / +0.06 / +0.03 at 1 / 3 / 7 days; better than damped</w:t>
      </w:r>
      <w:r>
        <w:t xml:space="preserve"> </w:t>
      </w:r>
      <w:r>
        <w:t xml:space="preserve">at 81 / 92 / 86 % of stations) and beats persistence by +0.16 / +0.18 / +0.25, and is</w:t>
      </w:r>
      <w:r>
        <w:t xml:space="preserve"> </w:t>
      </w:r>
      <w:r>
        <w:t xml:space="preserve">at least on par with a strong gradient-boosting baseline (per-station paired tests</w:t>
      </w:r>
      <w:r>
        <w:t xml:space="preserve"> </w:t>
      </w:r>
      <w:r>
        <w:t xml:space="preserve">favour ThermoRoute at 3–7 days, p&lt;0.01, and tie at 1 day). In 4-fold leave-group-out</w:t>
      </w:r>
      <w:r>
        <w:t xml:space="preserve"> </w:t>
      </w:r>
      <w:r>
        <w:t xml:space="preserve">(every station held out once) it transfers to unseen basins, beating persistence by</w:t>
      </w:r>
      <w:r>
        <w:t xml:space="preserve"> </w:t>
      </w:r>
      <w:r>
        <w:t xml:space="preserve">+0.13 / +0.14 / +0.23 (across-fold std ≈ 0.02) and damped persistence by</w:t>
      </w:r>
      <w:r>
        <w:t xml:space="preserve"> </w:t>
      </w:r>
      <w:r>
        <w:t xml:space="preserve">+0.09 / +0.02 / +0.01. After conformal calibration its 90 % intervals are near-nominal</w:t>
      </w:r>
      <w:r>
        <w:t xml:space="preserve"> </w:t>
      </w:r>
      <w:r>
        <w:t xml:space="preserve">(PICP ≈ 0.90). We deliberately report three negative results — no point-accuracy gain</w:t>
      </w:r>
      <w:r>
        <w:t xml:space="preserve"> </w:t>
      </w:r>
      <w:r>
        <w:t xml:space="preserve">on the near-deterministic cascade, a flow-dependent thermal memory that does not</w:t>
      </w:r>
      <w:r>
        <w:t xml:space="preserve"> </w:t>
      </w:r>
      <w:r>
        <w:t xml:space="preserve">generalise beyond it, and no robust cost–loss decision-value advantage over a</w:t>
      </w:r>
      <w:r>
        <w:t xml:space="preserve"> </w:t>
      </w:r>
      <w:r>
        <w:t xml:space="preserve">(strong) deterministic persistence warning — and argue that the right scientific</w:t>
      </w:r>
      <w:r>
        <w:t xml:space="preserve"> </w:t>
      </w:r>
      <w:r>
        <w:t xml:space="preserve">target is a calibrated, transferable forecaster whose advantage must be established</w:t>
      </w:r>
      <w:r>
        <w:t xml:space="preserve"> </w:t>
      </w:r>
      <w:r>
        <w:t xml:space="preserve">on a large, hydrologically diverse sample rather than a single cascade.</w:t>
      </w:r>
    </w:p>
    <w:p>
      <w:pPr>
        <w:pStyle w:val="BodyText"/>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 beats</w:t>
      </w:r>
      <w:r>
        <w:rPr>
          <w:b/>
          <w:bCs/>
        </w:rPr>
        <w:t xml:space="preserve"> </w:t>
      </w:r>
      <w:r>
        <w:rPr>
          <w:b/>
          <w:bCs/>
        </w:rPr>
        <w:t xml:space="preserve">per-station damped persistence on point accuracy</w:t>
      </w:r>
      <w:r>
        <w:t xml:space="preserve"> </w:t>
      </w:r>
      <w:r>
        <w:t xml:space="preserve">— the dynamic machinery helps</w:t>
      </w:r>
      <w:r>
        <w:t xml:space="preserve"> </w:t>
      </w:r>
      <w:r>
        <w:t xml:space="preserve">only calibration and warnings there. We therefore move to a 40-station large-sample</w:t>
      </w:r>
      <w:r>
        <w:t xml:space="preserve"> </w:t>
      </w:r>
      <w:r>
        <w:t xml:space="preserve">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1"/>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1"/>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1"/>
        </w:numPr>
      </w:pPr>
      <w:r>
        <w:t xml:space="preserve">A</w:t>
      </w:r>
      <w:r>
        <w:t xml:space="preserve"> </w:t>
      </w:r>
      <w:r>
        <w:rPr>
          <w:b/>
          <w:bCs/>
        </w:rPr>
        <w:t xml:space="preserve">large-sample, transfer-tested</w:t>
      </w:r>
      <w:r>
        <w:t xml:space="preserve"> </w:t>
      </w:r>
      <w:r>
        <w:t xml:space="preserve">demonstration: 40 public USGS stations,</w:t>
      </w:r>
      <w:r>
        <w:t xml:space="preserve"> </w:t>
      </w:r>
      <w:r>
        <w:t xml:space="preserve">leave-group-out generalisation to unseen basins, and a unified point +</w:t>
      </w:r>
      <w:r>
        <w:t xml:space="preserve"> </w:t>
      </w:r>
      <w:r>
        <w:t xml:space="preserve">probabilistic + event + decision-value assessment.</w:t>
      </w:r>
    </w:p>
    <w:p>
      <w:pPr>
        <w:pStyle w:val="Compact"/>
        <w:numPr>
          <w:ilvl w:val="0"/>
          <w:numId w:val="1001"/>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set (main).</w:t>
      </w:r>
      <w:r>
        <w:t xml:space="preserve"> </w:t>
      </w:r>
      <w:r>
        <w:t xml:space="preserve">Forty stream gages retrieved programmatically</w:t>
      </w:r>
      <w:r>
        <w:t xml:space="preserve"> </w:t>
      </w:r>
      <w:r>
        <w:t xml:space="preserve">from USGS NWIS (daily water temperature, discharge) with co-located Daymet</w:t>
      </w:r>
      <w:r>
        <w:t xml:space="preserve"> </w:t>
      </w:r>
      <w:r>
        <w:t xml:space="preserve">meteorology (air temperature, precipitation, solar radiation as a physical</w:t>
      </w:r>
      <w:r>
        <w:t xml:space="preserve"> </w:t>
      </w:r>
      <w:r>
        <w:t xml:space="preserve">radiative index, relative humidity), 2006–2020, selected for ≥55 % water-temperature</w:t>
      </w:r>
      <w:r>
        <w:t xml:space="preserve"> </w:t>
      </w:r>
      <w:r>
        <w:t xml:space="preserve">coverage over the full record. The set spans free-flowing and regulated rivers</w:t>
      </w:r>
      <w:r>
        <w:t xml:space="preserve"> </w:t>
      </w:r>
      <w:r>
        <w:t xml:space="preserve">across many states and a wide thermal range (≈ −1 to 31 °C). Crucially, it has</w:t>
      </w:r>
      <w:r>
        <w:t xml:space="preserve"> </w:t>
      </w:r>
      <w:r>
        <w:t xml:space="preserve">real headroom: persistence 7-day RMSE has median ≈1.9 °C (range 0.9–3.3), versus</w:t>
      </w:r>
      <w:r>
        <w:t xml:space="preserve"> </w:t>
      </w:r>
      <w:r>
        <w:t xml:space="preserve">full-record 0.79–1.23 °C at the reservoir outlets. Reservoir level and wind from</w:t>
      </w:r>
      <w:r>
        <w:t xml:space="preserve"> </w:t>
      </w:r>
      <w:r>
        <w:t xml:space="preserve">gridMET were assembled where available; the rating-curve physics line is inactive</w:t>
      </w:r>
      <w:r>
        <w:t xml:space="preserve"> </w:t>
      </w:r>
      <w:r>
        <w:t xml:space="preserve">at most temperature gages (no gage height).</w:t>
      </w:r>
    </w:p>
    <w:p>
      <w:pPr>
        <w:pStyle w:val="BodyText"/>
      </w:pPr>
      <w:r>
        <w:rPr>
          <w:b/>
          <w:bCs/>
        </w:rPr>
        <w:t xml:space="preserve">Effective station counts at blind test.</w:t>
      </w:r>
      <w:r>
        <w:t xml:space="preserve"> </w:t>
      </w:r>
      <w:r>
        <w:t xml:space="preserve">The full-record 55 % coverage criterion</w:t>
      </w:r>
      <w:r>
        <w:t xml:space="preserve"> </w:t>
      </w:r>
      <w:r>
        <w:t xml:space="preserve">does not guarantee dense observations inside the 2019–2020 blind window. Of the</w:t>
      </w:r>
      <w:r>
        <w:t xml:space="preserve"> </w:t>
      </w:r>
      <w:r>
        <w:t xml:space="preserve">40 nominally acquired stations, the assembled panel contains</w:t>
      </w:r>
      <w:r>
        <w:t xml:space="preserve"> </w:t>
      </w:r>
      <w:r>
        <w:rPr>
          <w:b/>
          <w:bCs/>
        </w:rPr>
        <w:t xml:space="preserve">39</w:t>
      </w:r>
      <w:r>
        <w:t xml:space="preserve"> </w:t>
      </w:r>
      <w:r>
        <w:t xml:space="preserve">site IDs (one</w:t>
      </w:r>
      <w:r>
        <w:t xml:space="preserve"> </w:t>
      </w:r>
      <w:r>
        <w:t xml:space="preserve">station’s NWIS download yielded no usable rows); among these,</w:t>
      </w:r>
      <w:r>
        <w:t xml:space="preserve"> </w:t>
      </w:r>
      <w:r>
        <w:rPr>
          <w:b/>
          <w:bCs/>
        </w:rPr>
        <w:t xml:space="preserve">36 stations</w:t>
      </w:r>
      <w:r>
        <w:t xml:space="preserve"> </w:t>
      </w:r>
      <w:r>
        <w:t xml:space="preserve">contribute at least one blind-test prediction and form the per-station evaluation</w:t>
      </w:r>
      <w:r>
        <w:t xml:space="preserve"> </w:t>
      </w:r>
      <w:r>
        <w:t xml:space="preserve">sample for the headline win-rate, paired-significance and per-station PICP figures</w:t>
      </w:r>
      <w:r>
        <w:t xml:space="preserve"> </w:t>
      </w:r>
      <w:r>
        <w:t xml:space="preserve">in §4. The validation and calibration splits cover 39 and 37 stations respectively</w:t>
      </w:r>
      <w:r>
        <w:t xml:space="preserve"> </w:t>
      </w:r>
      <w:r>
        <w:t xml:space="preserve">(see</w:t>
      </w:r>
      <w:r>
        <w:t xml:space="preserve"> </w:t>
      </w:r>
      <w:r>
        <w:rPr>
          <w:rStyle w:val="VerbatimChar"/>
        </w:rPr>
        <w:t xml:space="preserve">outputs/predictions/usgs_predictions.parquet</w:t>
      </w:r>
      <w:r>
        <w:t xml:space="preserve"> </w:t>
      </w:r>
      <w:r>
        <w:t xml:space="preserve">and §3 of the data audit). A</w:t>
      </w:r>
      <w:r>
        <w:t xml:space="preserve"> </w:t>
      </w:r>
      <w:r>
        <w:t xml:space="preserve">parallel 120-station panel (</w:t>
      </w:r>
      <w:r>
        <w:rPr>
          <w:rStyle w:val="VerbatimChar"/>
        </w:rPr>
        <w:t xml:space="preserve">usgs_predictions_120.parquet</w:t>
      </w:r>
      <w:r>
        <w:t xml:space="preserve">; 114 stations at blind</w:t>
      </w:r>
      <w:r>
        <w:t xml:space="preserve"> </w:t>
      </w:r>
      <w:r>
        <w:t xml:space="preserve">test) is used in supplementary scaling-up experiments and yields the same</w:t>
      </w:r>
      <w:r>
        <w:t xml:space="preserve"> </w:t>
      </w:r>
      <w:r>
        <w:t xml:space="preserve">qualitative conclusions.</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(Track H). No observation time-stamped after</w:t>
      </w:r>
      <w:r>
        <w:t xml:space="preserve"> </w:t>
      </w:r>
      <w:r>
        <w:rPr>
          <w:i/>
          <w:iCs/>
        </w:rPr>
        <w:t xml:space="preserve">t</w:t>
      </w:r>
      <w:r>
        <w:t xml:space="preserve"> </w:t>
      </w:r>
      <w:r>
        <w:t xml:space="preserve">enters the model.</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Deep models use multiple seeds; we report the</w:t>
      </w:r>
      <w:r>
        <w:t xml:space="preserve"> </w:t>
      </w:r>
      <w:r>
        <w:t xml:space="preserve">seed mean and, for the headline, the per-station win-rate and paired differences.</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improves on it</w:t>
      </w:r>
      <w:r>
        <w:t xml:space="preserve">. ThermoRoute (joint, three seeds) is 0.343 / 0.557 /</w:t>
      </w:r>
      <w:r>
        <w:t xml:space="preserve"> </w:t>
      </w:r>
      <w:r>
        <w:t xml:space="preserve">0.808 °C — worse than damped persistence, significantly so at b1 and p3 and better</w:t>
      </w:r>
      <w:r>
        <w:t xml:space="preserve"> </w:t>
      </w:r>
      <w:r>
        <w:t xml:space="preserve">only at s2 (Diebold–Mariano, Table 2b). LightGBM, GRU and the module ablations tell</w:t>
      </w:r>
      <w:r>
        <w:t xml:space="preserve"> </w:t>
      </w:r>
      <w:r>
        <w:t xml:space="preserve">the same story; indeed the ablation that</w:t>
      </w:r>
      <w:r>
        <w:t xml:space="preserve"> </w:t>
      </w:r>
      <w:r>
        <w:rPr>
          <w:i/>
          <w:iCs/>
        </w:rPr>
        <w:t xml:space="preserve">removes</w:t>
      </w:r>
      <w:r>
        <w:t xml:space="preserve"> </w:t>
      </w:r>
      <w:r>
        <w:t xml:space="preserve">the mixture-of-experts matches</w:t>
      </w:r>
      <w:r>
        <w:t xml:space="preserve"> </w:t>
      </w:r>
      <w:r>
        <w:t xml:space="preserve">damped persistence, indicating the extra machinery does not help point accuracy on</w:t>
      </w:r>
      <w:r>
        <w:t xml:space="preserve"> </w:t>
      </w:r>
      <w:r>
        <w:t xml:space="preserve">this near-deterministic system. The dynamic κ modulation is no exception: freezing</w:t>
      </w:r>
      <w:r>
        <w:t xml:space="preserve"> </w:t>
      </w:r>
      <w:r>
        <w:t xml:space="preserve">its flow-, level- and season-dependent modulators (TR-fixedKappa, Table 6)</w:t>
      </w:r>
      <w:r>
        <w:t xml:space="preserve"> </w:t>
      </w:r>
      <w:r>
        <w:rPr>
          <w:i/>
          <w:iCs/>
        </w:rPr>
        <w:t xml:space="preserve">lowers</w:t>
      </w:r>
      <w:r>
        <w:t xml:space="preserve"> </w:t>
      </w:r>
      <w:r>
        <w:t xml:space="preserve">RMSE at every horizon (0.287 / 0.532 / 0.788 vs 0.343 / 0.557 / 0.808 °C), so a</w:t>
      </w:r>
      <w:r>
        <w:t xml:space="preserve"> </w:t>
      </w:r>
      <w:r>
        <w:t xml:space="preserve">constant per-station relaxation rate is at least as accurate as — and here slightly</w:t>
      </w:r>
      <w:r>
        <w:t xml:space="preserve"> </w:t>
      </w:r>
      <w:r>
        <w:t xml:space="preserve">better than — the dynamic one; the dynamic-thermal-memory modulation thus earns its</w:t>
      </w:r>
      <w:r>
        <w:t xml:space="preserve"> </w:t>
      </w:r>
      <w:r>
        <w:t xml:space="preserve">place on mechanism and interpretability grounds, not on point accuracy. The only</w:t>
      </w:r>
      <w:r>
        <w:t xml:space="preserve"> </w:t>
      </w:r>
      <w:r>
        <w:t xml:space="preserve">value ThermoRoute adds here is</w:t>
      </w:r>
      <w:r>
        <w:t xml:space="preserve"> </w:t>
      </w:r>
      <w:r>
        <w:t xml:space="preserve">probabilistic: conformal intervals (achieved PICP 0.65–0.91 across stations) and</w:t>
      </w:r>
      <w:r>
        <w:t xml:space="preserve"> </w:t>
      </w:r>
      <w:r>
        <w:t xml:space="preserve">high-temperature warnings the point baselines cannot provide. We report this</w:t>
      </w:r>
      <w:r>
        <w:t xml:space="preserve"> </w:t>
      </w:r>
      <w:r>
        <w:t xml:space="preserve">negative result in full rather than selecting a favourable framing, and use it to</w:t>
      </w:r>
      <w:r>
        <w:t xml:space="preserve"> </w:t>
      </w:r>
      <w:r>
        <w:t xml:space="preserve">motivate the large-sample study: a single, heavily-damped cascade simply lacks the</w:t>
      </w:r>
      <w:r>
        <w:t xml:space="preserve"> </w:t>
      </w:r>
      <w:r>
        <w:t xml:space="preserve">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36 blind-test stations of the 40-station USGS panel (see §2 for the</w:t>
      </w:r>
      <w:r>
        <w:t xml:space="preserve"> </w:t>
      </w:r>
      <w:r>
        <w:t xml:space="preserve">effective-N disclosure), with real forecast headroom, the picture inverts.</w:t>
      </w:r>
      <w:r>
        <w:t xml:space="preserve"> </w:t>
      </w:r>
      <w:r>
        <w:t xml:space="preserve">Median over stations of per-station RMSE (identical samples; ThermoRoute = 5-seed</w:t>
      </w:r>
      <w:r>
        <w:t xml:space="preserve"> </w:t>
      </w:r>
      <w:r>
        <w:t xml:space="preserve">mean):</w:t>
      </w:r>
    </w:p>
    <w:p>
      <w:pPr>
        <w:pStyle w:val="BodyText"/>
      </w:pPr>
      <w:r>
        <w:t xml:space="preserve">Median over stations of per-station RMSE (5-seed mean; model uses 7 variables</w:t>
      </w:r>
      <w:r>
        <w:t xml:space="preserve"> </w:t>
      </w:r>
      <w:r>
        <w:t xml:space="preserve">including gridMET wind, with the residual bound loosened to ±1.5 °C on the large</w:t>
      </w:r>
      <w:r>
        <w:t xml:space="preserve"> </w:t>
      </w:r>
      <w:r>
        <w:t xml:space="preserve">sample — see §3.3):</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0.671</w:t>
            </w:r>
          </w:p>
        </w:tc>
        <w:tc>
          <w:tcPr/>
          <w:p>
            <w:pPr>
              <w:pStyle w:val="Compact"/>
            </w:pPr>
            <w:r>
              <w:t xml:space="preserve">0.645</w:t>
            </w:r>
          </w:p>
        </w:tc>
        <w:tc>
          <w:tcPr/>
          <w:p>
            <w:pPr>
              <w:pStyle w:val="Compact"/>
            </w:pPr>
            <w:r>
              <w:t xml:space="preserve">0.560</w:t>
            </w:r>
          </w:p>
        </w:tc>
        <w:tc>
          <w:tcPr/>
          <w:p>
            <w:pPr>
              <w:pStyle w:val="Compact"/>
            </w:pPr>
            <w:r>
              <w:rPr>
                <w:b/>
                <w:bCs/>
              </w:rPr>
              <w:t xml:space="preserve">0.554</w:t>
            </w:r>
          </w:p>
        </w:tc>
        <w:tc>
          <w:tcPr/>
          <w:p>
            <w:pPr>
              <w:pStyle w:val="Compact"/>
            </w:pPr>
            <w:r>
              <w:t xml:space="preserve">+0.163</w:t>
            </w:r>
          </w:p>
        </w:tc>
        <w:tc>
          <w:tcPr/>
          <w:p>
            <w:pPr>
              <w:pStyle w:val="Compact"/>
            </w:pPr>
            <w:r>
              <w:t xml:space="preserve">+0.127</w:t>
            </w:r>
          </w:p>
        </w:tc>
        <w:tc>
          <w:tcPr/>
          <w:p>
            <w:pPr>
              <w:pStyle w:val="Compact"/>
            </w:pPr>
            <w:r>
              <w:t xml:space="preserve">81 %</w:t>
            </w:r>
          </w:p>
        </w:tc>
      </w:tr>
      <w:tr>
        <w:tc>
          <w:tcPr/>
          <w:p>
            <w:pPr>
              <w:pStyle w:val="Compact"/>
            </w:pPr>
            <w:r>
              <w:t xml:space="preserve">3 d</w:t>
            </w:r>
          </w:p>
        </w:tc>
        <w:tc>
          <w:tcPr/>
          <w:p>
            <w:pPr>
              <w:pStyle w:val="Compact"/>
            </w:pPr>
            <w:r>
              <w:t xml:space="preserve">1.420</w:t>
            </w:r>
          </w:p>
        </w:tc>
        <w:tc>
          <w:tcPr/>
          <w:p>
            <w:pPr>
              <w:pStyle w:val="Compact"/>
            </w:pPr>
            <w:r>
              <w:t xml:space="preserve">1.258</w:t>
            </w:r>
          </w:p>
        </w:tc>
        <w:tc>
          <w:tcPr/>
          <w:p>
            <w:pPr>
              <w:pStyle w:val="Compact"/>
            </w:pPr>
            <w:r>
              <w:rPr>
                <w:b/>
                <w:bCs/>
              </w:rPr>
              <w:t xml:space="preserve">1.153</w:t>
            </w:r>
          </w:p>
        </w:tc>
        <w:tc>
          <w:tcPr/>
          <w:p>
            <w:pPr>
              <w:pStyle w:val="Compact"/>
            </w:pPr>
            <w:r>
              <w:t xml:space="preserve">1.175</w:t>
            </w:r>
          </w:p>
        </w:tc>
        <w:tc>
          <w:tcPr/>
          <w:p>
            <w:pPr>
              <w:pStyle w:val="Compact"/>
            </w:pPr>
            <w:r>
              <w:t xml:space="preserve">+0.180</w:t>
            </w:r>
          </w:p>
        </w:tc>
        <w:tc>
          <w:tcPr/>
          <w:p>
            <w:pPr>
              <w:pStyle w:val="Compact"/>
            </w:pPr>
            <w:r>
              <w:t xml:space="preserve">+0.057</w:t>
            </w:r>
          </w:p>
        </w:tc>
        <w:tc>
          <w:tcPr/>
          <w:p>
            <w:pPr>
              <w:pStyle w:val="Compact"/>
            </w:pPr>
            <w:r>
              <w:t xml:space="preserve">92 %</w:t>
            </w:r>
          </w:p>
        </w:tc>
      </w:tr>
      <w:tr>
        <w:tc>
          <w:tcPr/>
          <w:p>
            <w:pPr>
              <w:pStyle w:val="Compact"/>
            </w:pPr>
            <w:r>
              <w:t xml:space="preserve">7 d</w:t>
            </w:r>
          </w:p>
        </w:tc>
        <w:tc>
          <w:tcPr/>
          <w:p>
            <w:pPr>
              <w:pStyle w:val="Compact"/>
            </w:pPr>
            <w:r>
              <w:t xml:space="preserve">1.952</w:t>
            </w:r>
          </w:p>
        </w:tc>
        <w:tc>
          <w:tcPr/>
          <w:p>
            <w:pPr>
              <w:pStyle w:val="Compact"/>
            </w:pPr>
            <w:r>
              <w:t xml:space="preserve">1.525</w:t>
            </w:r>
          </w:p>
        </w:tc>
        <w:tc>
          <w:tcPr/>
          <w:p>
            <w:pPr>
              <w:pStyle w:val="Compact"/>
            </w:pPr>
            <w:r>
              <w:rPr>
                <w:b/>
                <w:bCs/>
              </w:rPr>
              <w:t xml:space="preserve">1.458</w:t>
            </w:r>
          </w:p>
        </w:tc>
        <w:tc>
          <w:tcPr/>
          <w:p>
            <w:pPr>
              <w:pStyle w:val="Compact"/>
            </w:pPr>
            <w:r>
              <w:t xml:space="preserve">1.490</w:t>
            </w:r>
          </w:p>
        </w:tc>
        <w:tc>
          <w:tcPr/>
          <w:p>
            <w:pPr>
              <w:pStyle w:val="Compact"/>
            </w:pPr>
            <w:r>
              <w:t xml:space="preserve">+0.253</w:t>
            </w:r>
          </w:p>
        </w:tc>
        <w:tc>
          <w:tcPr/>
          <w:p>
            <w:pPr>
              <w:pStyle w:val="Compact"/>
            </w:pPr>
            <w:r>
              <w:t xml:space="preserve">+0.034</w:t>
            </w:r>
          </w:p>
        </w:tc>
        <w:tc>
          <w:tcPr/>
          <w:p>
            <w:pPr>
              <w:pStyle w:val="Compact"/>
            </w:pPr>
            <w:r>
              <w:t xml:space="preserve">86 %</w:t>
            </w:r>
          </w:p>
        </w:tc>
      </w:tr>
    </w:tbl>
    <w:p>
      <w:pPr>
        <w:pStyle w:val="BodyText"/>
      </w:pPr>
      <w:r>
        <w:t xml:space="preserve">Treating each blind-test station (n=36, §2) as the sample unit (the level at which we claim</w:t>
      </w:r>
      <w:r>
        <w:t xml:space="preserve"> </w:t>
      </w:r>
      <w:r>
        <w:t xml:space="preserve">generality), per-station paired tests (Wilcoxon signed-rank; station-bootstrap 95 %</w:t>
      </w:r>
      <w:r>
        <w:t xml:space="preserve"> </w:t>
      </w:r>
      <w:r>
        <w:t xml:space="preserve">CI on median skill; Table C) show ThermoRoute</w:t>
      </w:r>
      <w:r>
        <w:t xml:space="preserve"> </w:t>
      </w:r>
      <w:r>
        <w:rPr>
          <w:b/>
          <w:bCs/>
        </w:rPr>
        <w:t xml:space="preserve">significantly</w:t>
      </w:r>
      <w:r>
        <w:t xml:space="preserve"> </w:t>
      </w:r>
      <w:r>
        <w:t xml:space="preserve">beats persistence</w:t>
      </w:r>
      <w:r>
        <w:t xml:space="preserve"> </w:t>
      </w:r>
      <w:r>
        <w:t xml:space="preserve">(median skill +0.16 / +0.18 / +0.25, p≈10⁻¹⁰) and damped persistence (+0.13 / +0.06 /</w:t>
      </w:r>
      <w:r>
        <w:t xml:space="preserve"> </w:t>
      </w:r>
      <w:r>
        <w:t xml:space="preserve">+0.03; 81 / 92 / 86 % of stations; p&lt;10⁻⁶) at every horizon, with bootstrap CIs that</w:t>
      </w:r>
      <w:r>
        <w:t xml:space="preserve"> </w:t>
      </w:r>
      <w:r>
        <w:t xml:space="preserve">exclude zero.</w:t>
      </w:r>
    </w:p>
    <w:p>
      <w:pPr>
        <w:pStyle w:val="BodyText"/>
      </w:pPr>
      <w:r>
        <w:t xml:space="preserve">The comparison with a strong gradient-boosting baseline (LightGBM) is the</w:t>
      </w:r>
      <w:r>
        <w:t xml:space="preserve"> </w:t>
      </w:r>
      <w:r>
        <w:t xml:space="preserve">interesting case, and we report it carefully because the aggregation matters.</w:t>
      </w:r>
      <w:r>
        <w:t xml:space="preserve"> </w:t>
      </w:r>
      <w:r>
        <w:t xml:space="preserve">LightGBM has a marginally lower</w:t>
      </w:r>
      <w:r>
        <w:t xml:space="preserve"> </w:t>
      </w:r>
      <w:r>
        <w:rPr>
          <w:i/>
          <w:iCs/>
        </w:rPr>
        <w:t xml:space="preserve">median</w:t>
      </w:r>
      <w:r>
        <w:t xml:space="preserve"> </w:t>
      </w:r>
      <w:r>
        <w:t xml:space="preserve">RMSE at 3–7 days (1.153 / 1.458 vs 1.175 /</w:t>
      </w:r>
      <w:r>
        <w:t xml:space="preserve"> </w:t>
      </w:r>
      <w:r>
        <w:t xml:space="preserve">1.490) — driven by a handful of stations where it is much better. But at the station</w:t>
      </w:r>
      <w:r>
        <w:t xml:space="preserve"> </w:t>
      </w:r>
      <w:r>
        <w:t xml:space="preserve">level ThermoRoute</w:t>
      </w:r>
      <w:r>
        <w:t xml:space="preserve"> </w:t>
      </w:r>
      <w:r>
        <w:rPr>
          <w:b/>
          <w:bCs/>
        </w:rPr>
        <w:t xml:space="preserve">wins the head-to-head at 69 % of stations at both 3 and 7 days,</w:t>
      </w:r>
      <w:r>
        <w:rPr>
          <w:b/>
          <w:bCs/>
        </w:rPr>
        <w:t xml:space="preserve"> </w:t>
      </w:r>
      <w:r>
        <w:rPr>
          <w:b/>
          <w:bCs/>
        </w:rPr>
        <w:t xml:space="preserve">and the per-station paired difference is significant</w:t>
      </w:r>
      <w:r>
        <w:t xml:space="preserve"> </w:t>
      </w:r>
      <w:r>
        <w:t xml:space="preserve">(median skill +0.014 / +0.015,</w:t>
      </w:r>
      <w:r>
        <w:t xml:space="preserve"> </w:t>
      </w:r>
      <w:r>
        <w:t xml:space="preserve">p = 1×10⁻³ / 7×10⁻³); at 1 day the two are statistically tied (47 %, p = 0.75). So at</w:t>
      </w:r>
      <w:r>
        <w:t xml:space="preserve"> </w:t>
      </w:r>
      <w:r>
        <w:t xml:space="preserve">a</w:t>
      </w:r>
      <w:r>
        <w:t xml:space="preserve"> </w:t>
      </w:r>
      <w:r>
        <w:rPr>
          <w:i/>
          <w:iCs/>
        </w:rPr>
        <w:t xml:space="preserve">typical</w:t>
      </w:r>
      <w:r>
        <w:t xml:space="preserve"> </w:t>
      </w:r>
      <w:r>
        <w:t xml:space="preserve">station ThermoRoute is at least as accurate as LightGBM and significantly</w:t>
      </w:r>
      <w:r>
        <w:t xml:space="preserve"> </w:t>
      </w:r>
      <w:r>
        <w:t xml:space="preserve">better at the longer leads, while LightGBM retains a small edge in the</w:t>
      </w:r>
      <w:r>
        <w:t xml:space="preserve"> </w:t>
      </w:r>
      <w:r>
        <w:t xml:space="preserve">station-averaged median. We therefore claim a robust improvement over the physics</w:t>
      </w:r>
      <w:r>
        <w:t xml:space="preserve"> </w:t>
      </w:r>
      <w:r>
        <w:t xml:space="preserve">baselines and at-least-parity with a strong learned baseline, and we disclose both</w:t>
      </w:r>
      <w:r>
        <w:t xml:space="preserve"> </w:t>
      </w:r>
      <w:r>
        <w:t xml:space="preserve">aggregations rather than choosing the flattering one (Figure 2).</w:t>
      </w:r>
    </w:p>
    <w:p>
      <w:pPr>
        <w:pStyle w:val="CaptionedFigure"/>
      </w:pPr>
      <w:r>
        <w:drawing>
          <wp:inline>
            <wp:extent cx="5067300" cy="2157582"/>
            <wp:effectExtent b="0" l="0" r="0" t="0"/>
            <wp:docPr descr="Figure 2. Per-station blind-test RMSE on the 36 USGS blind-test stations (of the 40-station nominal panel): ThermoRoute versus damped persistence at 1, 3 and 7 days. Each point is one station; points below the diagonal (blue) are stations where ThermoRoute is more accurate. ThermoRoute wins 81–92 % of station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5758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36 USGS blind-test stations (of the 40-station nominal panel): ThermoRoute versus damped persistence at 1, 3 and 7 days. Each point is one station; points below the diagonal (blue) are stations where ThermoRoute is more accurate. ThermoRoute wins 81–92 % of stations.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w:t>
      </w:r>
      <w:r>
        <w:t xml:space="preserve"> </w:t>
      </w:r>
      <w:r>
        <w:t xml:space="preserve">so every one of the available stations is held out</w:t>
      </w:r>
      <w:r>
        <w:t xml:space="preserve"> </w:t>
      </w:r>
      <w:r>
        <w:t xml:space="preserve">exactly once: each fold trains a station-agnostic model on the other 30 stations and</w:t>
      </w:r>
      <w:r>
        <w:t xml:space="preserve"> </w:t>
      </w:r>
      <w:r>
        <w:t xml:space="preserve">forecasts the held-out 10. Averaged over folds, ThermoRoute beats persistence on the</w:t>
      </w:r>
      <w:r>
        <w:t xml:space="preserve"> </w:t>
      </w:r>
      <w:r>
        <w:t xml:space="preserve">unseen basins by</w:t>
      </w:r>
      <w:r>
        <w:t xml:space="preserve"> </w:t>
      </w:r>
      <w:r>
        <w:rPr>
          <w:b/>
          <w:bCs/>
        </w:rPr>
        <w:t xml:space="preserve">+0.13 / +0.14 / +0.23</w:t>
      </w:r>
      <w:r>
        <w:t xml:space="preserve"> </w:t>
      </w:r>
      <w:r>
        <w:t xml:space="preserve">skill at 1 / 3 / 7 days, with small</w:t>
      </w:r>
      <w:r>
        <w:t xml:space="preserve"> </w:t>
      </w:r>
      <w:r>
        <w:t xml:space="preserve">across-fold variability (std ≈ 0.02; per-fold h7 skill 0.22–0.25), and it also beats</w:t>
      </w:r>
      <w:r>
        <w:t xml:space="preserve"> </w:t>
      </w:r>
      <w:r>
        <w:rPr>
          <w:i/>
          <w:iCs/>
        </w:rPr>
        <w:t xml:space="preserve">damped</w:t>
      </w:r>
      <w:r>
        <w:t xml:space="preserve"> </w:t>
      </w:r>
      <w:r>
        <w:t xml:space="preserve">persistence on the unseen basins (+0.09 / +0.02 / +0.01). This is the</w:t>
      </w:r>
      <w:r>
        <w:t xml:space="preserve"> </w:t>
      </w:r>
      <w:r>
        <w:t xml:space="preserve">contribution a single-site study cannot make: the learned dynamic prior plus a</w:t>
      </w:r>
      <w:r>
        <w:t xml:space="preserve"> </w:t>
      </w:r>
      <w:r>
        <w:t xml:space="preserve">station-agnostic residual generalises across basins, not just across years at one</w:t>
      </w:r>
      <w:r>
        <w:t xml:space="preserve"> </w:t>
      </w:r>
      <w:r>
        <w:t xml:space="preserve">site.</w:t>
      </w:r>
    </w:p>
    <w:bookmarkEnd w:id="26"/>
    <w:bookmarkStart w:id="30" w:name="calibration-warnings-and-decision-value"/>
    <w:p>
      <w:pPr>
        <w:pStyle w:val="Heading3"/>
      </w:pPr>
      <w:r>
        <w:t xml:space="preserve">4.4 Calibration, warnings and decision value</w:t>
      </w:r>
    </w:p>
    <w:p>
      <w:pPr>
        <w:pStyle w:val="FirstParagraph"/>
      </w:pPr>
      <w:r>
        <w:t xml:space="preserve">After conformal calibration, ThermoRoute’s 90 % intervals achieve</w:t>
      </w:r>
      <w:r>
        <w:t xml:space="preserve"> </w:t>
      </w:r>
      <w:r>
        <w:rPr>
          <w:b/>
          <w:bCs/>
        </w:rPr>
        <w:t xml:space="preserve">PICP 0.904 /</w:t>
      </w:r>
      <w:r>
        <w:rPr>
          <w:b/>
          <w:bCs/>
        </w:rPr>
        <w:t xml:space="preserve"> </w:t>
      </w:r>
      <w:r>
        <w:rPr>
          <w:b/>
          <w:bCs/>
        </w:rPr>
        <w:t xml:space="preserve">0.906 / 0.909</w:t>
      </w:r>
      <w:r>
        <w:t xml:space="preserve"> </w:t>
      </w:r>
      <w:r>
        <w:t xml:space="preserve">at 1 / 3 / 7 days on the large sample — essentially nominal, in</w:t>
      </w:r>
      <w:r>
        <w:t xml:space="preserve"> </w:t>
      </w:r>
      <w:r>
        <w:t xml:space="preserve">contrast to the undercoverage on the three-station cascade (0.65–0.91). Coverage is</w:t>
      </w:r>
      <w:r>
        <w:t xml:space="preserve"> </w:t>
      </w:r>
      <w:r>
        <w:t xml:space="preserve">also</w:t>
      </w:r>
      <w:r>
        <w:t xml:space="preserve"> </w:t>
      </w:r>
      <w:r>
        <w:rPr>
          <w:i/>
          <w:iCs/>
        </w:rPr>
        <w:t xml:space="preserve">tight across stations</w:t>
      </w:r>
      <w:r>
        <w:t xml:space="preserve">: 97 / 92 / 89 % of the 36 blind-test stations fall within ±0.05 of</w:t>
      </w:r>
      <w:r>
        <w:t xml:space="preserve"> </w:t>
      </w:r>
      <w:r>
        <w:t xml:space="preserve">the 0.90 target (Figure 3), so the calibration is a</w:t>
      </w:r>
      <w:r>
        <w:t xml:space="preserve"> </w:t>
      </w:r>
      <w:r>
        <w:t xml:space="preserve">population property, not a station-averaged artifact. The</w:t>
      </w:r>
      <w:r>
        <w:t xml:space="preserve"> </w:t>
      </w:r>
      <w:r>
        <w:t xml:space="preserve">high-temperature exceedance warnings have modest positive skill (Brier-skill</w:t>
      </w:r>
      <w:r>
        <w:t xml:space="preserve"> </w:t>
      </w:r>
      <w:r>
        <w:t xml:space="preserve">+0.30 / +0.25 / +0.24; AUPRC 0.57 / 0.51 / 0.49), comparable to LightGBM</w:t>
      </w:r>
      <w:r>
        <w:t xml:space="preserve"> </w:t>
      </w:r>
      <w:r>
        <w:t xml:space="preserve">(+0.33 / +0.30 / +0.28).</w:t>
      </w:r>
    </w:p>
    <w:p>
      <w:pPr>
        <w:pStyle w:val="BodyText"/>
      </w:pPr>
      <w:r>
        <w:rPr>
          <w:b/>
          <w:bCs/>
        </w:rPr>
        <w:t xml:space="preserve">Decision value (revised on the 120-station extension).</w:t>
      </w:r>
      <w:r>
        <w:t xml:space="preserve"> </w:t>
      </w:r>
      <w:r>
        <w:t xml:space="preserve">On the larger 120-</w:t>
      </w:r>
      <w:r>
        <w:t xml:space="preserve"> </w:t>
      </w:r>
      <w:r>
        <w:t xml:space="preserve">station panel, the calibrated probabilistic warning does beat a deterministic</w:t>
      </w:r>
      <w:r>
        <w:t xml:space="preserve"> </w:t>
      </w:r>
      <w:r>
        <w:t xml:space="preserve">persistence-threshold warning across the cost–loss frontier: peak Relative</w:t>
      </w:r>
      <w:r>
        <w:t xml:space="preserve"> </w:t>
      </w:r>
      <w:r>
        <w:t xml:space="preserve">Economic Value is</w:t>
      </w:r>
      <w:r>
        <w:t xml:space="preserve"> </w:t>
      </w:r>
      <w:r>
        <w:rPr>
          <w:b/>
          <w:bCs/>
        </w:rPr>
        <w:t xml:space="preserve">0.90 / 0.86 / 0.82</w:t>
      </w:r>
      <w:r>
        <w:t xml:space="preserve"> </w:t>
      </w:r>
      <w:r>
        <w:t xml:space="preserve">for ThermoRoute (1/3/7 d) versus 0.84 /</w:t>
      </w:r>
      <w:r>
        <w:t xml:space="preserve"> </w:t>
      </w:r>
      <w:r>
        <w:t xml:space="preserve">0.71 / 0.59 for persistence, with the gap widening at longer leads. LightGBM is</w:t>
      </w:r>
      <w:r>
        <w:t xml:space="preserve"> </w:t>
      </w:r>
      <w:r>
        <w:t xml:space="preserve">comparable (0.90 / 0.85 / 0.82). On the original 40-station panel an earlier</w:t>
      </w:r>
      <w:r>
        <w:t xml:space="preserve"> </w:t>
      </w:r>
      <w:r>
        <w:t xml:space="preserve">analysis had not found this advantage; we therefore present the 120-station</w:t>
      </w:r>
      <w:r>
        <w:t xml:space="preserve"> </w:t>
      </w:r>
      <w:r>
        <w:t xml:space="preserve">result as the robust finding and note that decision-value comparisons are</w:t>
      </w:r>
      <w:r>
        <w:t xml:space="preserve"> </w:t>
      </w:r>
      <w:r>
        <w:t xml:space="preserve">sensitive to the station mix and base rate, so the magnitude of the advantage</w:t>
      </w:r>
      <w:r>
        <w:t xml:space="preserve"> </w:t>
      </w:r>
      <w:r>
        <w:t xml:space="preserve">should not be over-claimed.</w:t>
      </w:r>
    </w:p>
    <w:p>
      <w:pPr>
        <w:pStyle w:val="CaptionedFigure"/>
      </w:pPr>
      <w:r>
        <w:drawing>
          <wp:inline>
            <wp:extent cx="5067300" cy="2066634"/>
            <wp:effectExtent b="0" l="0" r="0" t="0"/>
            <wp:docPr descr="Figure 3. Conformal calibration on the 36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the 36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~2× from low to high flow</w:t>
      </w:r>
      <w:r>
        <w:t xml:space="preserve"> </w:t>
      </w:r>
      <w:r>
        <w:t xml:space="preserve">(implied memory 1/κ ≈ 10–33 d), which we initially read as a flow-dependent thermal</w:t>
      </w:r>
      <w:r>
        <w:t xml:space="preserve"> </w:t>
      </w:r>
      <w:r>
        <w:t xml:space="preserve">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2 % of stations</w:t>
      </w:r>
      <w:r>
        <w:t xml:space="preserve"> </w:t>
      </w:r>
      <w:r>
        <w:t xml:space="preserve">(median κ_high/κ_low =</w:t>
      </w:r>
      <w:r>
        <w:t xml:space="preserve"> </w:t>
      </w:r>
      <w:r>
        <w:t xml:space="preserve">0.87; mean κ_low 0.118 vs κ_high 0.105) — even weaker than the 40-station</w:t>
      </w:r>
      <w:r>
        <w:t xml:space="preserve"> </w:t>
      </w:r>
      <w:r>
        <w:t xml:space="preserve">intermediate result (24 %), so the finding is now strongly that there is no</w:t>
      </w:r>
      <w:r>
        <w:t xml:space="preserve"> </w:t>
      </w:r>
      <w:r>
        <w:t xml:space="preserve">consistent, physically directional flow dependence. Together with the ablation</w:t>
      </w:r>
      <w:r>
        <w:t xml:space="preserve"> </w:t>
      </w:r>
      <w:r>
        <w:t xml:space="preserve">showing that freezing κ’s modulators (TR-fixedKappa) does not worsen point</w:t>
      </w:r>
      <w:r>
        <w:t xml:space="preserve"> </w:t>
      </w:r>
      <w:r>
        <w:t xml:space="preserve">accuracy, we conclude that</w:t>
      </w:r>
      <w:r>
        <w:t xml:space="preserve"> </w:t>
      </w:r>
      <w:r>
        <w:rPr>
          <w:b/>
          <w:bCs/>
        </w:rPr>
        <w:t xml:space="preserve">the dynamic-κ modulation is not a validated mechanism</w:t>
      </w:r>
      <w:r>
        <w:rPr>
          <w:b/>
          <w:bCs/>
        </w:rPr>
        <w:t xml:space="preserve"> </w:t>
      </w:r>
      <w:r>
        <w:rPr>
          <w:b/>
          <w:bCs/>
        </w:rPr>
        <w:t xml:space="preserve">and not an accuracy lever</w:t>
      </w:r>
      <w:r>
        <w:t xml:space="preserve">; the three-station signal was a small-sample artifact.</w:t>
      </w:r>
      <w:r>
        <w:t xml:space="preserve"> </w:t>
      </w:r>
      <w:r>
        <w:t xml:space="preserve">We therefore do not claim a flow-dependent thermal memory.</w:t>
      </w:r>
    </w:p>
    <w:p>
      <w:pPr>
        <w:pStyle w:val="BodyText"/>
      </w:pPr>
      <w:r>
        <w:t xml:space="preserve">What does survive is interpretability of the</w:t>
      </w:r>
      <w:r>
        <w:t xml:space="preserve"> </w:t>
      </w:r>
      <w:r>
        <w:rPr>
          <w:i/>
          <w:iCs/>
        </w:rPr>
        <w:t xml:space="preserve">router</w:t>
      </w:r>
      <w:r>
        <w:t xml:space="preserve">: its dominant variable shares</w:t>
      </w:r>
      <w:r>
        <w:t xml:space="preserve"> </w:t>
      </w:r>
      <w:r>
        <w:t xml:space="preserve">on the 120-station panel are radiation-led across all horizons — incident solar</w:t>
      </w:r>
      <w:r>
        <w:t xml:space="preserve"> </w:t>
      </w:r>
      <w:r>
        <w:t xml:space="preserve">radiation (</w:t>
      </w:r>
      <w:r>
        <w:rPr>
          <w:rStyle w:val="VerbatimChar"/>
        </w:rPr>
        <w:t xml:space="preserve">DH</w:t>
      </w:r>
      <w:r>
        <w:t xml:space="preserve">) carries ≈54 % of the routing weight at every lead — with thermal</w:t>
      </w:r>
      <w:r>
        <w:t xml:space="preserve"> </w:t>
      </w:r>
      <w:r>
        <w:t xml:space="preserve">inertia (</w:t>
      </w:r>
      <w:r>
        <w:rPr>
          <w:rStyle w:val="VerbatimChar"/>
        </w:rPr>
        <w:t xml:space="preserve">WTEMP</w:t>
      </w:r>
      <w:r>
        <w:t xml:space="preserve"> </w:t>
      </w:r>
      <w:r>
        <w:t xml:space="preserve">history) ≈20 % at short range and air temperature / discharge</w:t>
      </w:r>
      <w:r>
        <w:t xml:space="preserve"> </w:t>
      </w:r>
      <w:r>
        <w:t xml:space="preserve">rising at 3–7 days. This is consistent with a system whose dominant predictability</w:t>
      </w:r>
      <w:r>
        <w:t xml:space="preserve"> </w:t>
      </w:r>
      <w:r>
        <w:t xml:space="preserve">is radiative + thermal-inertia at short range and meteorology-driven at longer</w:t>
      </w:r>
      <w:r>
        <w:t xml:space="preserve"> </w:t>
      </w:r>
      <w:r>
        <w:t xml:space="preserve">leads — interpretive, not causal (Figure 4).</w:t>
      </w:r>
    </w:p>
    <w:p>
      <w:pPr>
        <w:pStyle w:val="CaptionedFigure"/>
      </w:pPr>
      <w:r>
        <w:drawing>
          <wp:inline>
            <wp:extent cx="4533900" cy="2115683"/>
            <wp:effectExtent b="0" l="0" r="0" t="0"/>
            <wp:docPr descr="Figure 4. Dynamic relaxation rate κ on the USGS evaluation set. (a) κ binned by standardised log-flow (pooled); (b) per-station ratio κ(high flow)/κ(low flow). The flow dependence seen on the three reservoir stations does not generalise — κ rises with flow at only 18 % of stations (median ratio 0.92)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USGS evaluation set. (a) κ binned by standardised log-flow (pooled); (b) per-station ratio κ(high flow)/κ(low flow). The flow dependence seen on the three reservoir stations does not generalise — κ rises with flow at only 18 % of stations (median ratio 0.92)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We train each ablation</w:t>
      </w:r>
      <w:r>
        <w:t xml:space="preserve"> </w:t>
      </w:r>
      <w:r>
        <w:t xml:space="preserve">at</w:t>
      </w:r>
      <w:r>
        <w:t xml:space="preserve"> </w:t>
      </w:r>
      <w:r>
        <w:rPr>
          <w:b/>
          <w:bCs/>
        </w:rPr>
        <w:t xml:space="preserve">3 seeds</w:t>
      </w:r>
      <w:r>
        <w:t xml:space="preserve"> </w:t>
      </w:r>
      <w:r>
        <w:t xml:space="preserve">and compare it to the full model by a per-station paired test (median</w:t>
      </w:r>
      <w:r>
        <w:t xml:space="preserve"> </w:t>
      </w:r>
      <w:r>
        <w:t xml:space="preserve">per-station RMSE at 1/3/7 d; Wilcoxon at h=3): removing the physics prior is</w:t>
      </w:r>
      <w:r>
        <w:t xml:space="preserve"> </w:t>
      </w:r>
      <w:r>
        <w:t xml:space="preserve">catastrophic (0.995 / 1.302 / 1.531 vs the full 0.554 / 1.175 / 1.490; p≈3×10⁻¹¹),</w:t>
      </w:r>
      <w:r>
        <w:t xml:space="preserve"> </w:t>
      </w:r>
      <w:r>
        <w:t xml:space="preserve">confirming the prior carries the forecast — most dramatically at 1 day where RMSE</w:t>
      </w:r>
      <w:r>
        <w:t xml:space="preserve"> </w:t>
      </w:r>
      <w:r>
        <w:t xml:space="preserve">nearly doubles; removing the mixture-of-experts hurts (0.623 / 1.236 / 1.527;</w:t>
      </w:r>
      <w:r>
        <w:t xml:space="preserve"> </w:t>
      </w:r>
      <w:r>
        <w:t xml:space="preserve">p≈6×10⁻¹⁰); removing the router hurts slightly but significantly (0.568 / 1.189 /</w:t>
      </w:r>
      <w:r>
        <w:t xml:space="preserve"> </w:t>
      </w:r>
      <w:r>
        <w:t xml:space="preserve">1.497; p≈2×10⁻⁹). The exception is the dynamic-κ modulation: freezing it</w:t>
      </w:r>
      <w:r>
        <w:t xml:space="preserve"> </w:t>
      </w:r>
      <w:r>
        <w:t xml:space="preserve">(TR-fixedKappa, 0.559 / 1.177 / 1.482) is within ±0.008 °C of the full model and is</w:t>
      </w:r>
      <w:r>
        <w:t xml:space="preserve"> </w:t>
      </w:r>
      <w:r>
        <w:rPr>
          <w:i/>
          <w:iCs/>
        </w:rPr>
        <w:t xml:space="preserve">better</w:t>
      </w:r>
      <w:r>
        <w:t xml:space="preserve"> </w:t>
      </w:r>
      <w:r>
        <w:t xml:space="preserve">at 7 days; although the per-station paired test is nominally significant</w:t>
      </w:r>
      <w:r>
        <w:t xml:space="preserve"> </w:t>
      </w:r>
      <w:r>
        <w:t xml:space="preserve">(p≈3×10⁻⁵), the effect size is negligible and direction-inconsistent. The honest</w:t>
      </w:r>
      <w:r>
        <w:t xml:space="preserve"> </w:t>
      </w:r>
      <w:r>
        <w:t xml:space="preserve">reading is that the prior, experts and router contribute real accuracy, while the</w:t>
      </w:r>
      <w:r>
        <w:t xml:space="preserve"> </w:t>
      </w:r>
      <w:r>
        <w:t xml:space="preserve">dynamic-κ modulation is interpretive overhead we do not claim as an accuracy lever</w:t>
      </w:r>
      <w:r>
        <w:t xml:space="preserve"> </w:t>
      </w:r>
      <w:r>
        <w:t xml:space="preserve">(consistent with §4.5).</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and wind (unavailable</w:t>
      </w:r>
      <w:r>
        <w:t xml:space="preserve"> </w:t>
      </w:r>
      <w:r>
        <w:t xml:space="preserve">at temperature gages) and uses solar radiation as the radiative channel.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40-station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Forty-station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Forty stream gages across 17 U.S. states (≥55 % water-temperature coverage over</w:t>
      </w:r>
      <w:r>
        <w:t xml:space="preserve"> </w:t>
      </w:r>
      <w:r>
        <w:t xml:space="preserve">2006–2020) span free-flowing and dam-regulated rivers; water-temperature coverage</w:t>
      </w:r>
      <w:r>
        <w:t xml:space="preserve"> </w:t>
      </w:r>
      <w:r>
        <w:t xml:space="preserve">ranges 0.56–1.00 (median ≈0.85). The two assembled panels</w:t>
      </w:r>
      <w:r>
        <w:t xml:space="preserve"> </w:t>
      </w:r>
      <w:r>
        <w:t xml:space="preserve">(</w:t>
      </w:r>
      <w:r>
        <w:rPr>
          <w:rStyle w:val="VerbatimChar"/>
        </w:rPr>
        <w:t xml:space="preserve">data_usgs/panel_usgs.parquet</w:t>
      </w:r>
      <w:r>
        <w:t xml:space="preserve">, six variables;</w:t>
      </w:r>
      <w:r>
        <w:t xml:space="preserve"> </w:t>
      </w:r>
      <w:r>
        <w:rPr>
          <w:rStyle w:val="VerbatimChar"/>
        </w:rPr>
        <w:t xml:space="preserve">data_usgs/panel_usgs_wind.parquet</w:t>
      </w:r>
      <w:r>
        <w:t xml:space="preserve">,</w:t>
      </w:r>
      <w:r>
        <w:t xml:space="preserve"> </w:t>
      </w:r>
      <w:r>
        <w:t xml:space="preserve">seven variables) and station metadata (</w:t>
      </w:r>
      <w:r>
        <w:rPr>
          <w:rStyle w:val="VerbatimChar"/>
        </w:rPr>
        <w:t xml:space="preserve">data_usgs/stations_meta.csv</w:t>
      </w:r>
      <w:r>
        <w:t xml:space="preserve">, with USGS site</w:t>
      </w:r>
      <w:r>
        <w:t xml:space="preserve"> </w:t>
      </w:r>
      <w:r>
        <w:t xml:space="preserve">numbers and coordinates)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and one-command reproduction</w:t>
      </w:r>
      <w:r>
        <w:t xml:space="preserve"> </w:t>
      </w:r>
      <w:r>
        <w:t xml:space="preserve">(</w:t>
      </w:r>
      <w:r>
        <w:rPr>
          <w:rStyle w:val="VerbatimChar"/>
        </w:rPr>
        <w:t xml:space="preserve">scripts/run_all.sh</w:t>
      </w:r>
      <w:r>
        <w:t xml:space="preserve">) are in this repository. Per-day predictions, model weights and</w:t>
      </w:r>
      <w:r>
        <w:t xml:space="preserve"> </w:t>
      </w:r>
      <w:r>
        <w:t xml:space="preserve">logs are regenerable by the staged scripts (</w:t>
      </w:r>
      <w:r>
        <w:rPr>
          <w:rStyle w:val="VerbatimChar"/>
        </w:rPr>
        <w:t xml:space="preserve">scripts/01</w:t>
      </w:r>
      <w:r>
        <w:t xml:space="preserve">–</w:t>
      </w:r>
      <w:r>
        <w:rPr>
          <w:rStyle w:val="VerbatimChar"/>
        </w:rPr>
        <w:t xml:space="preserve">13</w:t>
      </w:r>
      <w:r>
        <w:t xml:space="preserve">).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Sadler, J. M., Appling, A. P., Read, J. S., Oliver, S. K., Diaz-Gonzalez, M., Bertassello, L. E., Jia, X.,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Jia, X., Kumar, V., 2025. Geo-aware models for stream temperature prediction across different spatial regions and scales, in: Proceedings of the 33rd ACM SIGSPATIAL International Conference on Advances in Geographic Information Systems. ACM.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Topp, S. N., Appling, A. P., Diaz-Gonzalez, M. A., Heinrich, L. R., Zwart, J. A., Read, J. S., Oliver, S. K., 2023. Stream temperature predictions for river basin management in the Pacific Northwest and Mid-Atlantic regions using machine learning. Water Resources Research 59, e2022WR033880. https://doi.org/10.1029/2022WR033880.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3543–3553.</w:t>
      </w:r>
    </w:p>
    <w:p>
      <w:pPr>
        <w:pStyle w:val="BodyText"/>
      </w:pPr>
      <w:r>
        <w:t xml:space="preserve">Vovk, V., Gammerman, A., Shafer, G., 2005. Algorithmic Learning in a Random World. Springer, New York.</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Academic Press, Oxford. (Chapters on bootstrap CIs, Brier/Brier-skill, AUPRC, and the Relative Economic Value of probabilistic forecasts.)</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https://doi.org/10.1016/j.jhydro.2009.08.003.</w:t>
      </w:r>
    </w:p>
    <w:bookmarkEnd w:id="42"/>
    <w:bookmarkStart w:id="43" w:name="software-and-data-sources"/>
    <w:p>
      <w:pPr>
        <w:pStyle w:val="Heading3"/>
      </w:pPr>
      <w:r>
        <w:t xml:space="preserve">Software and data sources</w:t>
      </w:r>
    </w:p>
    <w:p>
      <w:pPr>
        <w:pStyle w:val="FirstParagraph"/>
      </w:pPr>
      <w:r>
        <w:t xml:space="preserve">De Cicco, L. A., Lorenz, D., Hirsch, R. M., Watkins, W., Johnson, M., 2024. dataRetrieval: R packages for discovering and retrieving water data available from federal hydrologic web services. U.S. Geological Survey. https://doi.org/10.5066/P9X4L3GE. [D1]</w:t>
      </w:r>
    </w:p>
    <w:p>
      <w:pPr>
        <w:pStyle w:val="BodyText"/>
      </w:pPr>
      <w:r>
        <w:t xml:space="preserve">Hodson, T. O., Decker, J. K., 2023. dataretrieval (Python): a Python package for discovering and retrieving water data available from U.S. federal hydrologic web services. U.S. Geological Survey. https://doi.org/10.5066/P94I5TX3.</w:t>
      </w:r>
    </w:p>
    <w:p>
      <w:pPr>
        <w:pStyle w:val="BodyText"/>
      </w:pPr>
      <w:r>
        <w:t xml:space="preserve">U.S. Geological Survey, 2024. National Water Information System (NWIS). Web services accessed via dataRetrieval; parameter codes 00010 (water temperature), 00060 (discharge), 00065 (gage height). https://waterdata.usgs.gov/nwis. [public domain]</w:t>
      </w:r>
    </w:p>
    <w:p>
      <w:pPr>
        <w:pStyle w:val="BodyText"/>
      </w:pPr>
      <w:r>
        <w:t xml:space="preserve">Thornton, P. E., Shrestha, R., Thornton, M., Kao, S.-C., Wei, Y., Wilson, B. E.,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8026–8037.</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https://doi.org/10.1038/s41592-019-0686-5.</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2026-06-29T10:43:09Z</dcterms:created>
  <dcterms:modified xsi:type="dcterms:W3CDTF">2026-06-29T10:43:09Z</dcterms:modified>
</cp:coreProperties>
</file>

<file path=docProps/custom.xml><?xml version="1.0" encoding="utf-8"?>
<Properties xmlns="http://schemas.openxmlformats.org/officeDocument/2006/custom-properties" xmlns:vt="http://schemas.openxmlformats.org/officeDocument/2006/docPropsVTypes"/>
</file>