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0" w:line="240" w:lineRule="auto"/>
      </w:pPr>
    </w:p>
    <w:p>
      <w:pPr>
        <w:pStyle w:val="Title"/>
        <w:spacing w:after="80"/>
        <w:jc w:val="left"/>
      </w:pPr>
      <w:r>
        <w:rPr>
          <w:rFonts w:ascii="Calibri" w:hAnsi="Calibri" w:eastAsia="Calibri" w:cs="Calibri"/>
          <w:b/>
          <w:color w:val="000000"/>
          <w:sz w:val="46"/>
        </w:rPr>
        <w:t>DRAFT COVER LETTER</w:t>
      </w:r>
    </w:p>
    <w:p>
      <w:pPr>
        <w:pStyle w:val="Subtitle"/>
        <w:spacing w:after="280"/>
        <w:jc w:val="left"/>
      </w:pPr>
      <w:r>
        <w:rPr>
          <w:rFonts w:ascii="Calibri" w:hAnsi="Calibri" w:eastAsia="Calibri" w:cs="Calibri"/>
          <w:b w:val="0"/>
        </w:rPr>
        <w:t>NOT READY FOR SUBMISSION - PRE-OPEN / INCOMPLETE</w:t>
      </w:r>
    </w:p>
    <w:p>
      <w:pPr>
        <w:pStyle w:val="PreOpenMetadata"/>
      </w:pPr>
      <w:r>
        <w:rPr>
          <w:rFonts w:ascii="Calibri" w:hAnsi="Calibri" w:eastAsia="Calibri" w:cs="Calibri"/>
          <w:b/>
          <w:color w:val="000000"/>
          <w:sz w:val="21"/>
        </w:rPr>
        <w:t xml:space="preserve">Status: </w:t>
      </w:r>
      <w:r>
        <w:rPr>
          <w:rFonts w:ascii="Calibri" w:hAnsi="Calibri" w:eastAsia="Calibri" w:cs="Calibri"/>
          <w:color w:val="000000"/>
          <w:sz w:val="21"/>
        </w:rPr>
        <w:t>Internal preparation draft; do not send to a journal</w:t>
      </w:r>
    </w:p>
    <w:p>
      <w:pPr>
        <w:pStyle w:val="PreOpenMetadata"/>
      </w:pPr>
      <w:r>
        <w:rPr>
          <w:rFonts w:ascii="Calibri" w:hAnsi="Calibri" w:eastAsia="Calibri" w:cs="Calibri"/>
          <w:b/>
          <w:color w:val="000000"/>
          <w:sz w:val="21"/>
        </w:rPr>
        <w:t xml:space="preserve">Manuscript: </w:t>
      </w:r>
      <w:r>
        <w:rPr>
          <w:rFonts w:ascii="Calibri" w:hAnsi="Calibri" w:eastAsia="Calibri" w:cs="Calibri"/>
          <w:color w:val="000000"/>
          <w:sz w:val="21"/>
        </w:rPr>
        <w:t>ThermoRoute retrospective daily river-temperature hindcasting</w:t>
      </w:r>
    </w:p>
    <w:p>
      <w:pPr>
        <w:pStyle w:val="PreOpenMetadata"/>
      </w:pPr>
      <w:r>
        <w:rPr>
          <w:rFonts w:ascii="Calibri" w:hAnsi="Calibri" w:eastAsia="Calibri" w:cs="Calibri"/>
          <w:b/>
          <w:color w:val="000000"/>
          <w:sz w:val="21"/>
        </w:rPr>
        <w:t xml:space="preserve">Date: </w:t>
      </w:r>
      <w:r>
        <w:rPr>
          <w:rFonts w:ascii="Calibri" w:hAnsi="Calibri" w:eastAsia="Calibri" w:cs="Calibri"/>
          <w:color w:val="000000"/>
          <w:sz w:val="21"/>
        </w:rPr>
        <w:t>22 July 2026</w:t>
      </w:r>
    </w:p>
    <w:p>
      <w:pPr>
        <w:spacing w:before="140" w:after="200" w:line="240" w:lineRule="auto"/>
        <w:pBdr>
          <w:bottom w:val="single" w:sz="14" w:space="4" w:color="1F4D78"/>
        </w:pBdr>
      </w:pPr>
    </w:p>
    <w:p>
      <w:pPr>
        <w:pStyle w:val="PreOpenCallout"/>
        <w:shd w:fill="F4F6F9"/>
        <w:pBdr>
          <w:left w:val="single" w:sz="20" w:space="8" w:color="2E74B5"/>
        </w:pBdr>
        <w:keepLines/>
      </w:pPr>
      <w:r>
        <w:rPr>
          <w:rFonts w:ascii="Calibri" w:hAnsi="Calibri" w:eastAsia="Calibri" w:cs="Calibri"/>
          <w:b w:val="0"/>
        </w:rPr>
        <w:t>Byte-frozen pre-opening snapshot: this file is not a live status page and is intentionally not rewritten by the one-time Route-A result renderer.</w:t>
      </w:r>
    </w:p>
    <w:p>
      <w:pPr>
        <w:keepLines/>
      </w:pPr>
      <w:r>
        <w:rPr>
          <w:rFonts w:ascii="Calibri" w:hAnsi="Calibri" w:eastAsia="Calibri" w:cs="Calibri"/>
          <w:b w:val="0"/>
        </w:rPr>
        <w:t>[Date]</w:t>
      </w:r>
    </w:p>
    <w:p>
      <w:pPr>
        <w:keepLines/>
      </w:pPr>
      <w:r>
        <w:rPr>
          <w:rFonts w:ascii="Calibri" w:hAnsi="Calibri" w:eastAsia="Calibri" w:cs="Calibri"/>
          <w:b w:val="0"/>
        </w:rPr>
        <w:t>Dear Editor,</w:t>
      </w:r>
    </w:p>
    <w:p>
      <w:pPr>
        <w:keepLines/>
      </w:pPr>
      <w:r>
        <w:rPr>
          <w:rFonts w:ascii="Calibri" w:hAnsi="Calibri" w:eastAsia="Calibri" w:cs="Calibri"/>
          <w:b w:val="0"/>
        </w:rPr>
        <w:t>We are preparing a manuscript entitled “ThermoRoute: a bounded-deviation, physics-inspired framework for retrospective daily river-temperature hindcasting.” The submission package is not yet complete, and this draft should not be sent to a journal.</w:t>
      </w:r>
    </w:p>
    <w:p>
      <w:pPr>
        <w:keepLines/>
      </w:pPr>
      <w:r>
        <w:rPr>
          <w:rFonts w:ascii="Calibri" w:hAnsi="Calibri" w:eastAsia="Calibri" w:cs="Calibri"/>
          <w:b w:val="0"/>
        </w:rPr>
        <w:t>The planned study evaluates daily water-temperature hindcasts at 1-, 3-, and 7-day horizons on a stable 120-site USGS development panel. The method combines a damped-persistence anchor, a learned relaxation proposal, a sparse variable/lag router, a causal temporal convolutional encoder, a regime mixture, bounded residuals, a separate MSE point head, three pinball-trained quantile heads, and a split-conformal 90% interval. The evaluation design emphasizes common target keys, station-balanced effects, clustered spatial inference, frozen model/input chronology, raw qualifier provenance, and receipt-derived statements. The H2 comparison is limited to the frozen four-candidate, five-seed LightGBM procedure; historical tuning budgets were not equalized. The Stage 09 controls are single-seed functionality/intervention diagnostics rather than evidence of causal mechanisms, component necessity, or cross-seed stability.</w:t>
      </w:r>
    </w:p>
    <w:p>
      <w:pPr>
        <w:keepLines/>
      </w:pPr>
      <w:r>
        <w:rPr>
          <w:rFonts w:ascii="Calibri" w:hAnsi="Calibri" w:eastAsia="Calibri" w:cs="Calibri"/>
          <w:b w:val="0"/>
        </w:rPr>
        <w:t>An outcome-free inference-scope amendment makes all directional wording conditional on a claim-blocking gate requiring at least 30 reportable clusters. The frozen cohort contains at most 15 HUC2 groups, so this requirement cannot pass regardless of the target-period outcomes. The five comparisons will still be reported, but only as fixed-cohort descriptive effects; their HUC2 bootstrap intervals, exact sign-flip p-values, and Holm values are assumption-conditional sensitivities and cannot support superiority, non-inferiority, equivalence, parity, or a U.S.-river superpopulation claim.</w:t>
      </w:r>
    </w:p>
    <w:p>
      <w:pPr>
        <w:keepLines/>
      </w:pPr>
      <w:r>
        <w:rPr>
          <w:rFonts w:ascii="Calibri" w:hAnsi="Calibri" w:eastAsia="Calibri" w:cs="Calibri"/>
          <w:b w:val="0"/>
        </w:rPr>
        <w:t>The outcome-free 2018–2020 predictor-product bridge has passed. At present, the canonical development rerun, model-suite freeze, later covariate freeze, one-time authorization, and target-period scoring have not finished. We have therefore removed all legacy performance numbers from the manuscript. A future submission will include every predeclared formal comparison, including negative, conflicting, or non-estimable outcomes, only after the fixed evidence chain passes.</w:t>
      </w:r>
    </w:p>
    <w:p>
      <w:pPr>
        <w:keepLines/>
      </w:pPr>
      <w:r>
        <w:rPr>
          <w:rFonts w:ascii="Calibri" w:hAnsi="Calibri" w:eastAsia="Calibri" w:cs="Calibri"/>
          <w:b w:val="0"/>
        </w:rPr>
        <w:t>The intended contribution is twofold: a constrained hindcasting architecture and an auditable evaluation/release workflow. The manuscript will explicitly delimit the availability-enriched sample, retrospective finalized covariates, coarse HUC2 dependence groups, daily-mean target, point-scale meteorology, missing development request provenance, numerical comparison margin, calibration-row-weighted Platt fitting versus station-balanced target metrics, observable-outcome conditioning, the descriptive-only temporal-coverage sensitivities, the unofficial status of the Air2stream-style reference, and the local honest-owner Git seal.</w:t>
      </w:r>
    </w:p>
    <w:p>
      <w:pPr>
        <w:keepLines/>
      </w:pPr>
      <w:r>
        <w:rPr>
          <w:rFonts w:ascii="Calibri" w:hAnsi="Calibri" w:eastAsia="Calibri" w:cs="Calibri"/>
          <w:b w:val="0"/>
        </w:rPr>
        <w:t>Before submission we must also replace all author, affiliation, ORCID, e-mail, funding, competing-interest, repository, DOI, and data-license placeholders with verified information.</w:t>
      </w:r>
    </w:p>
    <w:p>
      <w:pPr>
        <w:keepLines/>
      </w:pPr>
      <w:r>
        <w:rPr>
          <w:rFonts w:ascii="Calibri" w:hAnsi="Calibri" w:eastAsia="Calibri" w:cs="Calibri"/>
          <w:b w:val="0"/>
        </w:rPr>
        <w:t>Sincerely,</w:t>
      </w:r>
    </w:p>
    <w:p>
      <w:pPr>
        <w:keepLines/>
      </w:pPr>
      <w:r>
        <w:rPr>
          <w:rFonts w:ascii="Calibri" w:hAnsi="Calibri" w:eastAsia="Calibri" w:cs="Calibri"/>
          <w:b w:val="0"/>
        </w:rPr>
        <w:t>[Corresponding author — name and verified contact details required]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 w:cs="Calibri"/>
        <w:color w:val="5F6B78"/>
        <w:sz w:val="18"/>
      </w:rPr>
      <w:t xml:space="preserve">PRE-OPEN / INCOMPLETE  •  Page </w:t>
    </w:r>
    <w:r>
      <w:rPr>
        <w:rFonts w:ascii="Calibri" w:hAnsi="Calibri" w:eastAsia="Calibri" w:cs="Calibri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spacing w:before="0" w:after="0" w:line="240" w:lineRule="auto"/>
      <w:jc w:val="left"/>
    </w:pPr>
    <w:r>
      <w:rPr>
        <w:rFonts w:ascii="Calibri" w:hAnsi="Calibri" w:eastAsia="Calibri" w:cs="Calibri"/>
        <w:b/>
        <w:color w:val="5F6B78"/>
        <w:sz w:val="17"/>
      </w:rPr>
      <w:t>THERMOROUTE | COVER LETTER</w:t>
    </w:r>
    <w:r>
      <w:rPr>
        <w:rFonts w:ascii="Calibri" w:hAnsi="Calibri" w:eastAsia="Calibri" w:cs="Calibri"/>
        <w:sz w:val="17"/>
      </w:rPr>
      <w:tab/>
    </w:r>
    <w:r>
      <w:rPr>
        <w:rFonts w:ascii="Calibri" w:hAnsi="Calibri" w:eastAsia="Calibri" w:cs="Calibri"/>
        <w:b/>
        <w:color w:val="5F6B78"/>
        <w:sz w:val="17"/>
      </w:rPr>
      <w:t>NOT FOR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40" w:lineRule="auto"/>
      <w:jc w:val="center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OpenKicker">
    <w:name w:val="PreOpen Kicker"/>
    <w:pPr>
      <w:spacing w:before="0" w:after="360" w:line="240" w:lineRule="auto"/>
      <w:jc w:val="center"/>
    </w:pPr>
    <w:rPr>
      <w:rFonts w:ascii="Calibri" w:hAnsi="Calibri"/>
      <w:b/>
      <w:color w:val="8A6814"/>
      <w:sz w:val="20"/>
    </w:rPr>
  </w:style>
  <w:style w:type="paragraph" w:customStyle="1" w:styleId="PreOpenCallout">
    <w:name w:val="PreOpen Callout"/>
    <w:pPr>
      <w:spacing w:before="120" w:after="200" w:line="276" w:lineRule="auto"/>
      <w:ind w:left="202" w:right="144"/>
      <w:jc w:val="left"/>
    </w:pPr>
    <w:rPr>
      <w:rFonts w:ascii="Calibri" w:hAnsi="Calibri"/>
      <w:color w:val="0B2545"/>
      <w:sz w:val="21"/>
    </w:rPr>
  </w:style>
  <w:style w:type="paragraph" w:customStyle="1" w:styleId="PreOpenMetadata">
    <w:name w:val="PreOpen Metadata"/>
    <w:pPr>
      <w:spacing w:before="0" w:after="60" w:line="264" w:lineRule="auto"/>
    </w:pPr>
    <w:rPr>
      <w:rFonts w:ascii="Calibri" w:hAnsi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ThermoRoute draft cover letter</dc:title>
  <dc:subject>PRE-OPEN / INCOMPLETE - not ready for submission</dc:subject>
  <dc:creator>python-docx</dc:creator>
  <cp:keywords/>
  <dc:description>Generated from canonical PRE-OPEN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