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0" w:line="240" w:lineRule="auto"/>
      </w:pPr>
    </w:p>
    <w:p>
      <w:pPr>
        <w:pStyle w:val="Title"/>
        <w:spacing w:after="80"/>
        <w:jc w:val="left"/>
      </w:pPr>
      <w:r>
        <w:rPr>
          <w:rFonts w:ascii="Calibri" w:hAnsi="Calibri" w:eastAsia="Calibri" w:cs="Calibri"/>
          <w:b/>
          <w:color w:val="000000"/>
          <w:sz w:val="46"/>
        </w:rPr>
        <w:t>THERMOROUTE HIGHLIGHTS</w:t>
      </w:r>
    </w:p>
    <w:p>
      <w:pPr>
        <w:pStyle w:val="Subtitle"/>
        <w:spacing w:after="280"/>
        <w:jc w:val="left"/>
      </w:pPr>
      <w:r>
        <w:rPr>
          <w:rFonts w:ascii="Calibri" w:hAnsi="Calibri" w:eastAsia="Calibri" w:cs="Calibri"/>
          <w:b w:val="0"/>
        </w:rPr>
        <w:t>PRE-OPEN / INCOMPLETE - DESIGN HIGHLIGHTS ONLY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Evidence state: </w:t>
      </w:r>
      <w:r>
        <w:rPr>
          <w:rFonts w:ascii="Calibri" w:hAnsi="Calibri" w:eastAsia="Calibri" w:cs="Calibri"/>
          <w:color w:val="000000"/>
          <w:sz w:val="21"/>
        </w:rPr>
        <w:t>Canonical computation and target-period evaluation incomplete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Use: </w:t>
      </w:r>
      <w:r>
        <w:rPr>
          <w:rFonts w:ascii="Calibri" w:hAnsi="Calibri" w:eastAsia="Calibri" w:cs="Calibri"/>
          <w:color w:val="000000"/>
          <w:sz w:val="21"/>
        </w:rPr>
        <w:t>Internal review; not a performance summary</w:t>
      </w:r>
    </w:p>
    <w:p>
      <w:pPr>
        <w:spacing w:before="140" w:after="200" w:line="240" w:lineRule="auto"/>
        <w:pBdr>
          <w:bottom w:val="single" w:sz="14" w:space="4" w:color="1F4D78"/>
        </w:pBdr>
      </w:pPr>
    </w:p>
    <w:p>
      <w:pPr>
        <w:pStyle w:val="PreOpenCallout"/>
        <w:shd w:fill="F4F6F9"/>
        <w:pBdr>
          <w:left w:val="single" w:sz="20" w:space="8" w:color="2E74B5"/>
        </w:pBdr>
        <w:keepLines/>
      </w:pPr>
      <w:r>
        <w:rPr>
          <w:rFonts w:ascii="Calibri" w:hAnsi="Calibri" w:eastAsia="Calibri" w:cs="Calibri"/>
          <w:b w:val="0"/>
        </w:rPr>
        <w:t>Draft status: the canonical computation and one-time target-period evaluation remain incomplete. These are design highlights, not performance findings. This byte-frozen pre-opening status snapshot is not a live project-status page and is not rewritten after the one-time opening.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Is designed to hindcast daily river water temperature at 1-, 3-, and 7-day horizons.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Anchors a learned temporal model to damped persistence with a bounded residual.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Uses a stable 120-site USGS development panel covering 2006–2020.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Separates training, validation, calibration, and exploratory development years.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The frozen protocol specifies six primary model types and seven one-factor controls.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Stage 09 controls are single-seed functionality diagnostics, not causal ablations.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Uses station-balanced RMSE effects on identical model-pair target keys.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Computes exact whole-HUC2 sign-flip and Holm sensitivities for five frozen comparisons.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A minimum-30-cluster gate cannot pass with 15 HUC2 groups, so Route A is descriptive only.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Restricts H2 to the frozen four-candidate, five-seed LightGBM procedure.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Audits observable-key temporal coverage with eight fixed descriptive sensitivities.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The opening design will archive raw target requests, identifiers, qualifiers, and conflicts.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Requires a model-freeze commit before candidate metadata and later covariates.</w:t>
      </w:r>
    </w:p>
    <w:p>
      <w:pPr>
        <w:numPr>
          <w:ilvl w:val="0"/>
          <w:numId w:val="12"/>
        </w:numPr>
        <w:spacing w:before="0" w:after="80" w:line="300" w:lineRule="auto"/>
        <w:jc w:val="left"/>
        <w:keepLines/>
      </w:pPr>
      <w:r>
        <w:rPr>
          <w:rFonts w:ascii="Calibri" w:hAnsi="Calibri" w:eastAsia="Calibri" w:cs="Calibri"/>
          <w:b w:val="0"/>
        </w:rPr>
        <w:t>Generates formal statements only from a fully verified one-time receipt.</w:t>
      </w:r>
    </w:p>
    <w:p>
      <w:pPr>
        <w:sectPr>
          <w:type w:val="continuous"/>
          <w:pgSz w:w="12240" w:h="15840"/>
          <w:pgMar w:top="1440" w:right="1440" w:bottom="1440" w:left="1440" w:header="708" w:footer="708" w:gutter="0"/>
          <w:cols w:space="360" w:num="2"/>
          <w:docGrid w:linePitch="360"/>
        </w:sectPr>
      </w:pPr>
    </w:p>
    <w:p>
      <w:pPr>
        <w:pStyle w:val="Heading1"/>
        <w:keepNext/>
        <w:keepLines/>
      </w:pPr>
      <w:r>
        <w:rPr>
          <w:rFonts w:ascii="Calibri" w:hAnsi="Calibri" w:eastAsia="Calibri" w:cs="Calibri"/>
          <w:b w:val="0"/>
        </w:rPr>
        <w:t>Current status</w:t>
      </w:r>
    </w:p>
    <w:p>
      <w:pPr>
        <w:keepLines/>
      </w:pPr>
      <w:r>
        <w:rPr>
          <w:rFonts w:ascii="Calibri" w:hAnsi="Calibri" w:eastAsia="Calibri" w:cs="Calibri"/>
          <w:b w:val="0"/>
        </w:rPr>
        <w:t>The legacy headline numbers have been withdrawn because they belong to a different station mapping and do not have the lineage sidecars required by the current code. The 2018–2020 predictor-product bridge has passed. The outstanding work is to rerun the canonical development chain, freeze and replay all model bundles, acquire the remaining outcome-free metadata and historical covariates in the required order, pass authorization, execute the fixed opening, receipt-bind the coverage audit, and regenerate the manuscript and release evidence.</w:t>
      </w:r>
    </w:p>
    <w:p>
      <w:pPr>
        <w:pStyle w:val="Heading1"/>
        <w:keepNext/>
        <w:keepLines/>
      </w:pPr>
      <w:r>
        <w:rPr>
          <w:rFonts w:ascii="Calibri" w:hAnsi="Calibri" w:eastAsia="Calibri" w:cs="Calibri"/>
          <w:b w:val="0"/>
        </w:rPr>
        <w:t>Scope</w:t>
      </w:r>
    </w:p>
    <w:p>
      <w:pPr>
        <w:keepLines/>
      </w:pPr>
      <w:r>
        <w:rPr>
          <w:rFonts w:ascii="Calibri" w:hAnsi="Calibri" w:eastAsia="Calibri" w:cs="Calibri"/>
          <w:b w:val="0"/>
        </w:rPr>
        <w:t>The architecture is physics-inspired but remains a statistical predictor. Its event threshold and numerical comparison margin are methodological quantities. The external-site analysis uses local observation history and remains exploratory. Coverage sensitivities condition on observed issue/target WTEMP and do not establish missing-at-random, all-calendar, year-stability, or season-stability claims. The current Git seal is repository-internal and has no independent timestamp or custodian. The five comparison rows describe the fixed availability-enriched cohort; clustered p-values and intervals are assumption-conditional sensitivities and cannot establish superiority, non-inferiority, equivalence, parity, or national generalization.</w:t>
      </w:r>
    </w:p>
    <w:sectPr w:rsidR="00FC693F" w:rsidRPr="0006063C" w:rsidSect="00034616">
      <w:type w:val="continuous"/>
      <w:pgSz w:w="12240" w:h="15840"/>
      <w:pgMar w:top="1440" w:right="1440" w:bottom="1440" w:left="1440" w:header="708" w:footer="708" w:gutter="0"/>
      <w:cols w:space="36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color w:val="5F6B78"/>
        <w:sz w:val="18"/>
      </w:rPr>
      <w:t xml:space="preserve">PRE-OPEN / INCOMPLETE  •  Page </w:t>
    </w:r>
    <w:r>
      <w:rPr>
        <w:rFonts w:ascii="Calibri" w:hAnsi="Calibri" w:eastAsia="Calibri" w:cs="Calibri"/>
        <w:color w:val="5F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spacing w:before="0" w:after="0" w:line="240" w:lineRule="auto"/>
      <w:jc w:val="left"/>
    </w:pPr>
    <w:r>
      <w:rPr>
        <w:rFonts w:ascii="Calibri" w:hAnsi="Calibri" w:eastAsia="Calibri" w:cs="Calibri"/>
        <w:b/>
        <w:color w:val="5F6B78"/>
        <w:sz w:val="17"/>
      </w:rPr>
      <w:t>THERMOROUTE | HIGHLIGHTS</w:t>
    </w:r>
    <w:r>
      <w:rPr>
        <w:rFonts w:ascii="Calibri" w:hAnsi="Calibri" w:eastAsia="Calibri" w:cs="Calibri"/>
        <w:sz w:val="17"/>
      </w:rPr>
      <w:tab/>
    </w:r>
    <w:r>
      <w:rPr>
        <w:rFonts w:ascii="Calibri" w:hAnsi="Calibri" w:eastAsia="Calibri" w:cs="Calibri"/>
        <w:b/>
        <w:color w:val="5F6B78"/>
        <w:sz w:val="17"/>
      </w:rPr>
      <w:t>DESIGN HIGHLIGHTS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before="0" w:after="80" w:line="300" w:lineRule="auto"/>
      </w:pPr>
    </w:lvl>
  </w:abstractNum>
  <w:num w:numId="11">
    <w:abstractNumId w:val="10"/>
  </w:num>
  <w:num w:numId="1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  <w:jc w:val="left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  <w:jc w:val="center"/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OpenKicker">
    <w:name w:val="PreOpen Kicker"/>
    <w:pPr>
      <w:spacing w:before="0" w:after="360" w:line="240" w:lineRule="auto"/>
      <w:jc w:val="center"/>
    </w:pPr>
    <w:rPr>
      <w:rFonts w:ascii="Calibri" w:hAnsi="Calibri"/>
      <w:b/>
      <w:color w:val="8A6814"/>
      <w:sz w:val="20"/>
    </w:rPr>
  </w:style>
  <w:style w:type="paragraph" w:customStyle="1" w:styleId="PreOpenCallout">
    <w:name w:val="PreOpen Callout"/>
    <w:pPr>
      <w:spacing w:before="120" w:after="200" w:line="276" w:lineRule="auto"/>
      <w:ind w:left="202" w:right="144"/>
      <w:jc w:val="left"/>
    </w:pPr>
    <w:rPr>
      <w:rFonts w:ascii="Calibri" w:hAnsi="Calibri"/>
      <w:color w:val="0B2545"/>
      <w:sz w:val="21"/>
    </w:rPr>
  </w:style>
  <w:style w:type="paragraph" w:customStyle="1" w:styleId="PreOpenMetadata">
    <w:name w:val="PreOpen Metadata"/>
    <w:pPr>
      <w:spacing w:before="0" w:after="60" w:line="264" w:lineRule="auto"/>
    </w:pPr>
    <w:rPr>
      <w:rFonts w:ascii="Calibri" w:hAnsi="Calibri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 PRE-OPEN highlights</dc:title>
  <dc:subject>PRE-OPEN / INCOMPLETE design highlights</dc:subject>
  <dc:creator>python-docx</dc:creator>
  <cp:keywords/>
  <dc:description>Generated from canonical PRE-OPEN Markdown; design highlights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