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FirstParagraph"/>
      </w:pPr>
      <w:r>
        <w:rPr>
          <w:i/>
          <w:iCs/>
        </w:rPr>
        <w:t xml:space="preserve">(Journal of Hydrology format: ≤85 characters each, including spaces.)</w:t>
      </w:r>
    </w:p>
    <w:p>
      <w:pPr>
        <w:pStyle w:val="Compact"/>
        <w:numPr>
          <w:ilvl w:val="0"/>
          <w:numId w:val="1001"/>
        </w:numPr>
      </w:pPr>
      <w:r>
        <w:t xml:space="preserve">A dynamic thermal-relaxation prior makes damped persistence a special case</w:t>
      </w:r>
    </w:p>
    <w:p>
      <w:pPr>
        <w:pStyle w:val="Compact"/>
        <w:numPr>
          <w:ilvl w:val="0"/>
          <w:numId w:val="1001"/>
        </w:numPr>
      </w:pPr>
      <w:r>
        <w:t xml:space="preserve">On 40 USGS stations it significantly beats persistence and damped persistence</w:t>
      </w:r>
    </w:p>
    <w:p>
      <w:pPr>
        <w:pStyle w:val="Compact"/>
        <w:numPr>
          <w:ilvl w:val="0"/>
          <w:numId w:val="1001"/>
        </w:numPr>
      </w:pPr>
      <w:r>
        <w:t xml:space="preserve">Transfers to unseen basins in 4-fold leave-group-out (skill +0.13 to +0.23)</w:t>
      </w:r>
    </w:p>
    <w:p>
      <w:pPr>
        <w:pStyle w:val="Compact"/>
        <w:numPr>
          <w:ilvl w:val="0"/>
          <w:numId w:val="1001"/>
        </w:numPr>
      </w:pPr>
      <w:r>
        <w:t xml:space="preserve">Conformal forecast intervals are near-nominal at 89–97% of stations</w:t>
      </w:r>
    </w:p>
    <w:p>
      <w:pPr>
        <w:pStyle w:val="Compact"/>
        <w:numPr>
          <w:ilvl w:val="0"/>
          <w:numId w:val="1001"/>
        </w:numPr>
      </w:pPr>
      <w:r>
        <w:t xml:space="preserve">Three negative results reported in full, including no gain on a damped cascade</w:t>
      </w:r>
    </w:p>
    <w:p>
      <w:r>
        <w:pict>
          <v:rect style="width:0;height:1.5pt" o:hralign="center" o:hrstd="t" o:hr="t"/>
        </w:pict>
      </w:r>
    </w:p>
    <w:bookmarkEnd w:id="9"/>
    <w:bookmarkStart w:id="10" w:name="one-page-summary"/>
    <w:p>
      <w:pPr>
        <w:pStyle w:val="Heading1"/>
      </w:pPr>
      <w:r>
        <w:t xml:space="preserve">One-page summary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Daily river water temperature is so autocorrelated that</w:t>
      </w:r>
      <w:r>
        <w:t xml:space="preserve"> </w:t>
      </w:r>
      <w:r>
        <w:rPr>
          <w:i/>
          <w:iCs/>
        </w:rPr>
        <w:t xml:space="preserve">persistence</w:t>
      </w:r>
      <w:r>
        <w:t xml:space="preserve"> </w:t>
      </w:r>
      <w:r>
        <w:t xml:space="preserve">is a punishing baseline, and many machine-learning studies inflate their skill by</w:t>
      </w:r>
      <w:r>
        <w:t xml:space="preserve"> </w:t>
      </w:r>
      <w:r>
        <w:t xml:space="preserve">using covariates unavailable at forecast time. We ask whether a physics-guided</w:t>
      </w:r>
      <w:r>
        <w:t xml:space="preserve"> </w:t>
      </w:r>
      <w:r>
        <w:t xml:space="preserve">learner can do better honestly — and we insist the answer be demonstrated on a</w:t>
      </w:r>
      <w:r>
        <w:t xml:space="preserve"> </w:t>
      </w:r>
      <w:r>
        <w:t xml:space="preserve">large, diverse sample, not one site.</w:t>
      </w:r>
    </w:p>
    <w:p>
      <w:pPr>
        <w:pStyle w:val="BodyText"/>
      </w:pPr>
      <w:r>
        <w:rPr>
          <w:b/>
          <w:bCs/>
        </w:rPr>
        <w:t xml:space="preserve">Method — ThermoRoute.</w:t>
      </w:r>
      <w:r>
        <w:t xml:space="preserve"> </w:t>
      </w:r>
      <w:r>
        <w:t xml:space="preserve">A learnable</w:t>
      </w:r>
      <w:r>
        <w:t xml:space="preserve"> </w:t>
      </w:r>
      <w:r>
        <w:rPr>
          <w:i/>
          <w:iCs/>
        </w:rPr>
        <w:t xml:space="preserve">dynamic thermal-relaxation prior</w:t>
      </w:r>
      <w:r>
        <w:t xml:space="preserve"> </w:t>
      </w:r>
      <w:r>
        <w:t xml:space="preserve">relaxes</w:t>
      </w:r>
      <w:r>
        <w:t xml:space="preserve"> </w:t>
      </w:r>
      <w:r>
        <w:t xml:space="preserve">the temperature anomaly toward a horizon-shifted seasonal climatology at a flow- and</w:t>
      </w:r>
      <w:r>
        <w:t xml:space="preserve"> </w:t>
      </w:r>
      <w:r>
        <w:t xml:space="preserve">season-modulated rate; with the modulation switched off it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damped</w:t>
      </w:r>
      <w:r>
        <w:t xml:space="preserve"> </w:t>
      </w:r>
      <w:r>
        <w:t xml:space="preserve">persistence, so the strong baseline is contained as a special case and any gain is</w:t>
      </w:r>
      <w:r>
        <w:t xml:space="preserve"> </w:t>
      </w:r>
      <w:r>
        <w:t xml:space="preserve">attributable to the learned part. A horizon-conditioned sparse variable–lag router,</w:t>
      </w:r>
      <w:r>
        <w:t xml:space="preserve"> </w:t>
      </w:r>
      <w:r>
        <w:t xml:space="preserve">a causal temporal encoder and a regime mixture-of-experts produce a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neural residual (it cannot override the prior). Outputs are conformally-calibrated</w:t>
      </w:r>
      <w:r>
        <w:t xml:space="preserve"> </w:t>
      </w:r>
      <w:r>
        <w:t xml:space="preserve">quantiles plus a high-temperature exceedance probability. We forecast under a strict</w:t>
      </w:r>
      <w:r>
        <w:t xml:space="preserve"> </w:t>
      </w:r>
      <w:r>
        <w:t xml:space="preserve">historical-information protocol (no future observed weather) with a one-shot</w:t>
      </w:r>
      <w:r>
        <w:t xml:space="preserve"> </w:t>
      </w:r>
      <w:r>
        <w:t xml:space="preserve">2019–2020 blind test.</w:t>
      </w:r>
    </w:p>
    <w:p>
      <w:pPr>
        <w:pStyle w:val="BodyText"/>
      </w:pPr>
      <w:r>
        <w:rPr>
          <w:b/>
          <w:bCs/>
        </w:rPr>
        <w:t xml:space="preserve">Evidence (40 public USGS stations + Daymet/gridMET forcing).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Beats the physics baselines</w:t>
            </w:r>
          </w:p>
        </w:tc>
        <w:tc>
          <w:tcPr/>
          <w:p>
            <w:pPr>
              <w:pStyle w:val="Compact"/>
            </w:pPr>
            <w:r>
              <w:t xml:space="preserve">RMSE 0.554 / 1.175 / 1.490 °C at 1 / 3 / 7 d; significantly better than persistence and damped persistence (Wilcoxon p ≤ 10⁻⁶; wins 81–92 % of stations)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parity with a strong learner</w:t>
            </w:r>
          </w:p>
        </w:tc>
        <w:tc>
          <w:tcPr/>
          <w:p>
            <w:pPr>
              <w:pStyle w:val="Compact"/>
            </w:pPr>
            <w:r>
              <w:t xml:space="preserve">Significantly beats LightGBM at the station level at 3–7 days; ties at 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Transfers across basins</w:t>
            </w:r>
          </w:p>
        </w:tc>
        <w:tc>
          <w:tcPr/>
          <w:p>
            <w:pPr>
              <w:pStyle w:val="Compact"/>
            </w:pPr>
            <w:r>
              <w:t xml:space="preserve">4-fold leave-group-out: +0.13 / +0.14 / +0.23 skill vs persistence (std ≈ 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PICP ≈ 0.90; 89–97 % of stations within ±0.05 of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matter</w:t>
            </w:r>
          </w:p>
        </w:tc>
        <w:tc>
          <w:tcPr/>
          <w:p>
            <w:pPr>
              <w:pStyle w:val="Compact"/>
            </w:pPr>
            <w:r>
              <w:t xml:space="preserve">Removing the prior / experts / router significantly hurts (p ≤ 2×10⁻⁹)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Honesty.</w:t>
      </w:r>
      <w:r>
        <w:t xml:space="preserve"> </w:t>
      </w:r>
      <w:r>
        <w:t xml:space="preserve">We report three negative results in full: no point-accuracy gain on a</w:t>
      </w:r>
      <w:r>
        <w:t xml:space="preserve"> </w:t>
      </w:r>
      <w:r>
        <w:t xml:space="preserve">near-deterministic three-station reservoir cascade; the flow-dependent thermal memory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generalise beyond it; and no robust cost–loss decision-value advantage</w:t>
      </w:r>
      <w:r>
        <w:t xml:space="preserve"> </w:t>
      </w:r>
      <w:r>
        <w:t xml:space="preserve">over a (strong) deterministic persistence warning. The take-home is methodological as</w:t>
      </w:r>
      <w:r>
        <w:t xml:space="preserve"> </w:t>
      </w:r>
      <w:r>
        <w:t xml:space="preserve">much as technical: a physics-guided forecaster’s advantage exists only where the</w:t>
      </w:r>
      <w:r>
        <w:t xml:space="preserve"> </w:t>
      </w:r>
      <w:r>
        <w:t xml:space="preserve">system has forecast headroom, and establishing it requires a large, transfer-tested</w:t>
      </w:r>
      <w:r>
        <w:t xml:space="preserve"> </w:t>
      </w:r>
      <w:r>
        <w:t xml:space="preserve">sample — not a single cascade.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code, the fixed evaluation protocol, the assembled datasets,</w:t>
      </w:r>
      <w:r>
        <w:t xml:space="preserve"> </w:t>
      </w:r>
      <w:r>
        <w:t xml:space="preserve">13 leakage/metric unit tests, and one-command reproduction are provided; every</w:t>
      </w:r>
      <w:r>
        <w:t xml:space="preserve"> </w:t>
      </w:r>
      <w:r>
        <w:t xml:space="preserve">headline claim was checked by an adversarial internal review against the result</w:t>
      </w:r>
      <w:r>
        <w:t xml:space="preserve"> </w:t>
      </w:r>
      <w:r>
        <w:t xml:space="preserve">tables.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2026-06-28T09:20:24Z</dcterms:created>
  <dcterms:modified xsi:type="dcterms:W3CDTF">2026-06-28T09:20:24Z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