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scripts/04</w:t>
      </w:r>
      <w:r>
        <w:t xml:space="preserve">, the 40-station large-sample experiment by</w:t>
      </w:r>
      <w:r>
        <w:t xml:space="preserve"> </w:t>
      </w:r>
      <w:r>
        <w:rPr>
          <w:rStyle w:val="VerbatimChar"/>
        </w:rPr>
        <w:t xml:space="preserve">scripts/09</w:t>
      </w:r>
      <w:r>
        <w:t xml:space="preserve"> </w:t>
      </w:r>
      <w:r>
        <w:t xml:space="preserve">(5 seeds),</w:t>
      </w:r>
      <w:r>
        <w:t xml:space="preserve"> </w:t>
      </w:r>
      <w:r>
        <w:t xml:space="preserve">and the calibration/decision/mechanism analysis by</w:t>
      </w:r>
      <w:r>
        <w:t xml:space="preserve"> </w:t>
      </w:r>
      <w:r>
        <w:rPr>
          <w:rStyle w:val="VerbatimChar"/>
        </w:rPr>
        <w:t xml:space="preserve">scripts/10</w:t>
      </w:r>
      <w:r>
        <w:t xml:space="preserve">. Reports:</w:t>
      </w:r>
      <w:r>
        <w:t xml:space="preserve"> </w:t>
      </w:r>
      <w:r>
        <w:rPr>
          <w:rStyle w:val="VerbatimChar"/>
        </w:rPr>
        <w:t xml:space="preserve">outputs/reports/{usgs_experiment,usgs_analysis}.md</w:t>
      </w:r>
      <w:r>
        <w:t xml:space="preserve">; figures</w:t>
      </w:r>
      <w:r>
        <w:t xml:space="preserve"> </w:t>
      </w:r>
      <w:r>
        <w:rPr>
          <w:rStyle w:val="VerbatimChar"/>
        </w:rPr>
        <w:t xml:space="preserve">outputs/figures/</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damped persistence at all three lead times</w:t>
      </w:r>
      <w:r>
        <w:t xml:space="preserve"> </w:t>
      </w:r>
      <w:r>
        <w:t xml:space="preserve">(skill vs damped +0.18 / +0.08 / +0.04 at 1 / 3 / 7 days; better than damped at</w:t>
      </w:r>
      <w:r>
        <w:t xml:space="preserve"> </w:t>
      </w:r>
      <w:r>
        <w:rPr>
          <w:b/>
          <w:bCs/>
        </w:rPr>
        <w:t xml:space="preserve">89 / 93 / 93 %</w:t>
      </w:r>
      <w:r>
        <w:t xml:space="preserve"> </w:t>
      </w:r>
      <w:r>
        <w:t xml:space="preserve">of n=114 blind-test stations, Wilson 95 % CIs all &gt; 80 %),</w:t>
      </w:r>
      <w:r>
        <w:t xml:space="preserve"> </w:t>
      </w:r>
      <w:r>
        <w:t xml:space="preserve">beats the canonical Toffolon–Piccolroaz air2stream-a8 physical model at 89 / 92 /</w:t>
      </w:r>
      <w:r>
        <w:t xml:space="preserve"> </w:t>
      </w:r>
      <w:r>
        <w:t xml:space="preserve">83 % of stations (median RMSE wins at 7-day), and matches a strong gradient-</w:t>
      </w:r>
      <w:r>
        <w:t xml:space="preserve"> </w:t>
      </w:r>
      <w:r>
        <w:t xml:space="preserve">boosting baseline. In leave-group-out transfer to basins it never trained on, it</w:t>
      </w:r>
      <w:r>
        <w:t xml:space="preserve"> </w:t>
      </w:r>
      <w:r>
        <w:t xml:space="preserve">beats persistence by +0.16 / +0.16 / +0.24 (one-shot 90→30 split, single</w:t>
      </w:r>
      <w:r>
        <w:t xml:space="preserve"> </w:t>
      </w:r>
      <w:r>
        <w:t xml:space="preserve">realisation) and by +0.13 / +0.14 / +0.23 across folds (4-fold every-station-</w:t>
      </w:r>
      <w:r>
        <w:t xml:space="preserve"> </w:t>
      </w:r>
      <w:r>
        <w:t xml:space="preserve">held-out, std ≈ 0.02).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only 2 %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 beats</w:t>
      </w:r>
      <w:r>
        <w:rPr>
          <w:b/>
          <w:bCs/>
        </w:rPr>
        <w:t xml:space="preserve"> </w:t>
      </w:r>
      <w:r>
        <w:rPr>
          <w:b/>
          <w:bCs/>
        </w:rPr>
        <w:t xml:space="preserve">per-station damped persistence on point accuracy</w:t>
      </w:r>
      <w:r>
        <w:t xml:space="preserve"> </w:t>
      </w:r>
      <w:r>
        <w:t xml:space="preserve">— the dynamic machinery helps</w:t>
      </w:r>
      <w:r>
        <w:t xml:space="preserve"> </w:t>
      </w:r>
      <w:r>
        <w:t xml:space="preserve">only calibration and warnings there. We therefore move to a 40-station large-sample</w:t>
      </w:r>
      <w:r>
        <w:t xml:space="preserve"> </w:t>
      </w:r>
      <w:r>
        <w:t xml:space="preserve">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2"/>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40 public USGS stations,</w:t>
      </w:r>
      <w:r>
        <w:t xml:space="preserve"> </w:t>
      </w:r>
      <w:r>
        <w:t xml:space="preserve">leave-group-out generalisation to unseen basins, and a unified point +</w:t>
      </w:r>
      <w:r>
        <w:t xml:space="preserve"> </w:t>
      </w:r>
      <w:r>
        <w:t xml:space="preserve">probabilistic + event +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13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Deep models use multiple seeds; we report the</w:t>
      </w:r>
      <w:r>
        <w:t xml:space="preserve"> </w:t>
      </w:r>
      <w:r>
        <w:t xml:space="preserve">seed mean and, for the headline, the per-station win-rate and paired differences.</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improves on it</w:t>
      </w:r>
      <w:r>
        <w:t xml:space="preserve">. ThermoRoute (joint, three seeds) is 0.343 / 0.557 /</w:t>
      </w:r>
      <w:r>
        <w:t xml:space="preserve"> </w:t>
      </w:r>
      <w:r>
        <w:t xml:space="preserve">0.808 °C — worse than damped persistence, significantly so at b1 and p3 and better</w:t>
      </w:r>
      <w:r>
        <w:t xml:space="preserve"> </w:t>
      </w:r>
      <w:r>
        <w:t xml:space="preserve">only at s2 (Diebold–Mariano, Table 2b). LightGBM, GRU and the module ablations tell</w:t>
      </w:r>
      <w:r>
        <w:t xml:space="preserve"> </w:t>
      </w:r>
      <w:r>
        <w:t xml:space="preserve">the same story; indeed the ablation that</w:t>
      </w:r>
      <w:r>
        <w:t xml:space="preserve"> </w:t>
      </w:r>
      <w:r>
        <w:rPr>
          <w:i/>
          <w:iCs/>
        </w:rPr>
        <w:t xml:space="preserve">removes</w:t>
      </w:r>
      <w:r>
        <w:t xml:space="preserve"> </w:t>
      </w:r>
      <w:r>
        <w:t xml:space="preserve">the mixture-of-experts matches</w:t>
      </w:r>
      <w:r>
        <w:t xml:space="preserve"> </w:t>
      </w:r>
      <w:r>
        <w:t xml:space="preserve">damped persistence, indicating the extra machinery does not help point accuracy on</w:t>
      </w:r>
      <w:r>
        <w:t xml:space="preserve"> </w:t>
      </w:r>
      <w:r>
        <w:t xml:space="preserve">this near-deterministic system. The dynamic κ modulation is no exception: freezing</w:t>
      </w:r>
      <w:r>
        <w:t xml:space="preserve"> </w:t>
      </w:r>
      <w:r>
        <w:t xml:space="preserve">its flow-, level- and season-dependent modulators (TR-fixedKappa, Table 6)</w:t>
      </w:r>
      <w:r>
        <w:t xml:space="preserve"> </w:t>
      </w:r>
      <w:r>
        <w:rPr>
          <w:i/>
          <w:iCs/>
        </w:rPr>
        <w:t xml:space="preserve">lowers</w:t>
      </w:r>
      <w:r>
        <w:t xml:space="preserve"> </w:t>
      </w:r>
      <w:r>
        <w:t xml:space="preserve">RMSE at every horizon (0.287 / 0.532 / 0.788 vs 0.343 / 0.557 / 0.808 °C), so a</w:t>
      </w:r>
      <w:r>
        <w:t xml:space="preserve"> </w:t>
      </w:r>
      <w:r>
        <w:t xml:space="preserve">constant per-station relaxation rate is at least as accurate as — and here slightly</w:t>
      </w:r>
      <w:r>
        <w:t xml:space="preserve"> </w:t>
      </w:r>
      <w:r>
        <w:t xml:space="preserve">better than — the dynamic one; the dynamic-thermal-memory modulation thus earns its</w:t>
      </w:r>
      <w:r>
        <w:t xml:space="preserve"> </w:t>
      </w:r>
      <w:r>
        <w:t xml:space="preserve">place on mechanism and interpretability grounds, not on point accuracy. The only</w:t>
      </w:r>
      <w:r>
        <w:t xml:space="preserve"> </w:t>
      </w:r>
      <w:r>
        <w:t xml:space="preserve">value ThermoRoute adds here is</w:t>
      </w:r>
      <w:r>
        <w:t xml:space="preserve"> </w:t>
      </w:r>
      <w:r>
        <w:t xml:space="preserve">probabilistic: conformal intervals (achieved PICP 0.65–0.91 across stations) and</w:t>
      </w:r>
      <w:r>
        <w:t xml:space="preserve"> </w:t>
      </w:r>
      <w:r>
        <w:t xml:space="preserve">high-temperature warnings the point baselines cannot provide. We report this</w:t>
      </w:r>
      <w:r>
        <w:t xml:space="preserve"> </w:t>
      </w:r>
      <w:r>
        <w:t xml:space="preserve">negative result in full rather than selecting a favourable framing, and use it to</w:t>
      </w:r>
      <w:r>
        <w:t xml:space="preserve"> </w:t>
      </w:r>
      <w:r>
        <w:t xml:space="preserve">motivate the large-sample study: a single, heavily-damped cascade simply lacks the</w:t>
      </w:r>
      <w:r>
        <w:t xml:space="preserve"> </w:t>
      </w:r>
      <w:r>
        <w:t xml:space="preserve">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(5-seed mean; model uses 7 variables</w:t>
      </w:r>
      <w:r>
        <w:t xml:space="preserve"> </w:t>
      </w:r>
      <w:r>
        <w:t xml:space="preserve">including gridMET wind, with the residual bound loosened to ±1.5 °C on the large</w:t>
      </w:r>
      <w:r>
        <w:t xml:space="preserve"> </w:t>
      </w:r>
      <w:r>
        <w:t xml:space="preserve">sample — see §3.3); the canonical Toffolon–Piccolroaz 8-parameter air2stream is</w:t>
      </w:r>
      <w:r>
        <w:t xml:space="preserve"> </w:t>
      </w:r>
      <w:r>
        <w:t xml:space="preserve">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0.811</w:t>
            </w:r>
          </w:p>
        </w:tc>
        <w:tc>
          <w:tcPr/>
          <w:p>
            <w:pPr>
              <w:pStyle w:val="Compact"/>
            </w:pPr>
            <w:r>
              <w:rPr>
                <w:b/>
                <w:bCs/>
              </w:rPr>
              <w:t xml:space="preserve">0.616</w:t>
            </w:r>
          </w:p>
        </w:tc>
        <w:tc>
          <w:tcPr/>
          <w:p>
            <w:pPr>
              <w:pStyle w:val="Compact"/>
            </w:pPr>
            <w:r>
              <w:t xml:space="preserve">0.628</w:t>
            </w:r>
          </w:p>
        </w:tc>
        <w:tc>
          <w:tcPr/>
          <w:p>
            <w:pPr>
              <w:pStyle w:val="Compact"/>
            </w:pPr>
            <w:r>
              <w:t xml:space="preserve">+0.207</w:t>
            </w:r>
          </w:p>
        </w:tc>
        <w:tc>
          <w:tcPr/>
          <w:p>
            <w:pPr>
              <w:pStyle w:val="Compact"/>
            </w:pPr>
            <w:r>
              <w:t xml:space="preserve">+0.175</w:t>
            </w:r>
          </w:p>
        </w:tc>
        <w:tc>
          <w:tcPr/>
          <w:p>
            <w:pPr>
              <w:pStyle w:val="Compact"/>
            </w:pPr>
            <w:r>
              <w:t xml:space="preserve">89 %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1.370</w:t>
            </w:r>
          </w:p>
        </w:tc>
        <w:tc>
          <w:tcPr/>
          <w:p>
            <w:pPr>
              <w:pStyle w:val="Compact"/>
            </w:pPr>
            <w:r>
              <w:t xml:space="preserve">1.290</w:t>
            </w:r>
          </w:p>
        </w:tc>
        <w:tc>
          <w:tcPr/>
          <w:p>
            <w:pPr>
              <w:pStyle w:val="Compact"/>
            </w:pPr>
            <w:r>
              <w:rPr>
                <w:b/>
                <w:bCs/>
              </w:rPr>
              <w:t xml:space="preserve">1.281</w:t>
            </w:r>
          </w:p>
        </w:tc>
        <w:tc>
          <w:tcPr/>
          <w:p>
            <w:pPr>
              <w:pStyle w:val="Compact"/>
            </w:pPr>
            <w:r>
              <w:t xml:space="preserve">+0.189</w:t>
            </w:r>
          </w:p>
        </w:tc>
        <w:tc>
          <w:tcPr/>
          <w:p>
            <w:pPr>
              <w:pStyle w:val="Compact"/>
            </w:pPr>
            <w:r>
              <w:t xml:space="preserve">+0.081</w:t>
            </w:r>
          </w:p>
        </w:tc>
        <w:tc>
          <w:tcPr/>
          <w:p>
            <w:pPr>
              <w:pStyle w:val="Compact"/>
            </w:pPr>
            <w:r>
              <w:t xml:space="preserve">93 %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1.695</w:t>
            </w:r>
          </w:p>
        </w:tc>
        <w:tc>
          <w:tcPr/>
          <w:p>
            <w:pPr>
              <w:pStyle w:val="Compact"/>
            </w:pPr>
            <w:r>
              <w:t xml:space="preserve">1.665</w:t>
            </w:r>
          </w:p>
        </w:tc>
        <w:tc>
          <w:tcPr/>
          <w:p>
            <w:pPr>
              <w:pStyle w:val="Compact"/>
            </w:pPr>
            <w:r>
              <w:rPr>
                <w:b/>
                <w:bCs/>
              </w:rPr>
              <w:t xml:space="preserve">1.652</w:t>
            </w:r>
          </w:p>
        </w:tc>
        <w:tc>
          <w:tcPr/>
          <w:p>
            <w:pPr>
              <w:pStyle w:val="Compact"/>
            </w:pPr>
            <w:r>
              <w:t xml:space="preserve">+0.251</w:t>
            </w:r>
          </w:p>
        </w:tc>
        <w:tc>
          <w:tcPr/>
          <w:p>
            <w:pPr>
              <w:pStyle w:val="Compact"/>
            </w:pPr>
            <w:r>
              <w:t xml:space="preserve">+0.039</w:t>
            </w:r>
          </w:p>
        </w:tc>
        <w:tc>
          <w:tcPr/>
          <w:p>
            <w:pPr>
              <w:pStyle w:val="Compact"/>
            </w:pPr>
            <w:r>
              <w:t xml:space="preserve">93 %</w:t>
            </w:r>
          </w:p>
        </w:tc>
      </w:tr>
    </w:tbl>
    <w:p>
      <w:pPr>
        <w:pStyle w:val="BodyText"/>
      </w:pPr>
      <w:r>
        <w:t xml:space="preserve">ThermoRoute beats every physics baseline at every horizon and on</w:t>
      </w:r>
      <w:r>
        <w:t xml:space="preserve"> </w:t>
      </w:r>
      <w:r>
        <w:rPr>
          <w:b/>
          <w:bCs/>
        </w:rPr>
        <w:t xml:space="preserve">89–93 % of</w:t>
      </w:r>
      <w:r>
        <w:rPr>
          <w:b/>
          <w:bCs/>
        </w:rPr>
        <w:t xml:space="preserve"> </w:t>
      </w:r>
      <w:r>
        <w:rPr>
          <w:b/>
          <w:bCs/>
        </w:rPr>
        <w:t xml:space="preserve">individual stations</w:t>
      </w:r>
      <w:r>
        <w:t xml:space="preserve"> </w:t>
      </w:r>
      <w:r>
        <w:t xml:space="preserve">— a consistent, not outlier-driven, advantage. The strongest</w:t>
      </w:r>
      <w:r>
        <w:t xml:space="preserve"> </w:t>
      </w:r>
      <w:r>
        <w:t xml:space="preserve">result against any single baseline is that ThermoRoute beats the canonical</w:t>
      </w:r>
      <w:r>
        <w:t xml:space="preserve"> </w:t>
      </w:r>
      <w:r>
        <w:rPr>
          <w:b/>
          <w:bCs/>
        </w:rPr>
        <w:t xml:space="preserve">Toffolon–Piccolroaz air2stream-a8</w:t>
      </w:r>
      <w:r>
        <w:t xml:space="preserve"> </w:t>
      </w:r>
      <w:r>
        <w:t xml:space="preserve">physical model at</w:t>
      </w:r>
      <w:r>
        <w:t xml:space="preserve"> </w:t>
      </w:r>
      <w:r>
        <w:rPr>
          <w:b/>
          <w:bCs/>
        </w:rPr>
        <w:t xml:space="preserve">89 / 92 / 83 % of stations</w:t>
      </w:r>
      <w:r>
        <w:t xml:space="preserve"> </w:t>
      </w:r>
      <w:r>
        <w:t xml:space="preserve">(1/3/7 d) and beats it on median RMSE at 7 days (1.652 vs 1.695). The strong</w:t>
      </w:r>
      <w:r>
        <w:t xml:space="preserve"> </w:t>
      </w:r>
      <w:r>
        <w:t xml:space="preserve">gradient-boosting baseline (LightGBM) is competitive: ThermoRoute leads in median</w:t>
      </w:r>
      <w:r>
        <w:t xml:space="preserve"> </w:t>
      </w:r>
      <w:r>
        <w:t xml:space="preserve">RMSE at 3–7 days (1.281/1.652 vs 1.290/1.665) and wins the station-level</w:t>
      </w:r>
      <w:r>
        <w:t xml:space="preserve"> </w:t>
      </w:r>
      <w:r>
        <w:t xml:space="preserve">head-to-head at</w:t>
      </w:r>
      <w:r>
        <w:t xml:space="preserve"> </w:t>
      </w:r>
      <w:r>
        <w:rPr>
          <w:b/>
          <w:bCs/>
        </w:rPr>
        <w:t xml:space="preserve">73 / 67 %</w:t>
      </w:r>
      <w:r>
        <w:t xml:space="preserve"> </w:t>
      </w:r>
      <w:r>
        <w:t xml:space="preserve">of stations at 3/7 days respectively; at 1 day</w:t>
      </w:r>
      <w:r>
        <w:t xml:space="preserve"> </w:t>
      </w:r>
      <w:r>
        <w:t xml:space="preserve">LightGBM has the better median (0.616 vs 0.628). We therefore claim a robust</w:t>
      </w:r>
      <w:r>
        <w:t xml:space="preserve"> </w:t>
      </w:r>
      <w:r>
        <w:t xml:space="preserve">improvement over the physics baselines and at-least-parity with a strong learned</w:t>
      </w:r>
      <w:r>
        <w:t xml:space="preserve"> </w:t>
      </w:r>
      <w:r>
        <w:t xml:space="preserve">baseline. The intermediate 40-station panel (now reported as a smaller pilot in</w:t>
      </w:r>
      <w:r>
        <w:t xml:space="preserve"> </w:t>
      </w:r>
      <w:r>
        <w:t xml:space="preserve">the supplementary) gives the same qualitative ordering with somewhat smaller</w:t>
      </w:r>
      <w:r>
        <w:t xml:space="preserve"> </w:t>
      </w:r>
      <w:r>
        <w:t xml:space="preserve">margins, and we use the 120-station numbers as the headline.</w:t>
      </w:r>
      <w:r>
        <w:t xml:space="preserve"> </w:t>
      </w:r>
      <w:r>
        <w:t xml:space="preserve">a</w:t>
      </w:r>
      <w:r>
        <w:t xml:space="preserve"> </w:t>
      </w:r>
      <w:r>
        <w:rPr>
          <w:i/>
          <w:iCs/>
        </w:rPr>
        <w:t xml:space="preserve">typical</w:t>
      </w:r>
      <w:r>
        <w:t xml:space="preserve"> </w:t>
      </w:r>
      <w:r>
        <w:t xml:space="preserve">station ThermoRoute is at least as accurate as LightGBM and significantly</w:t>
      </w:r>
      <w:r>
        <w:t xml:space="preserve"> </w:t>
      </w:r>
      <w:r>
        <w:t xml:space="preserve">better at the longer leads, while LightGBM retains a small edge in the</w:t>
      </w:r>
      <w:r>
        <w:t xml:space="preserve"> </w:t>
      </w:r>
      <w:r>
        <w:t xml:space="preserve">station-averaged median. We therefore claim a robust improvement over the physics</w:t>
      </w:r>
      <w:r>
        <w:t xml:space="preserve"> </w:t>
      </w:r>
      <w:r>
        <w:t xml:space="preserve">baselines and at-least-parity with a strong learned baseline (Figure 2).</w:t>
      </w:r>
    </w:p>
    <w:p>
      <w:pPr>
        <w:pStyle w:val="CaptionedFigure"/>
      </w:pPr>
      <w:r>
        <w:drawing>
          <wp:inline>
            <wp:extent cx="5067300" cy="2114659"/>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9–93 % of station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146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89–93 % of stations.</w:t>
      </w:r>
    </w:p>
    <w:bookmarkEnd w:id="25"/>
    <w:bookmarkStart w:id="26" w:name="X6c23a05b3f93a778ebaa62f71de63224e9e2f84"/>
    <w:p>
      <w:pPr>
        <w:pStyle w:val="Heading3"/>
      </w:pPr>
      <w:r>
        <w:t xml:space="preserve">4.3 Spatial transfer to unseen basins (Table B)</w:t>
      </w:r>
    </w:p>
    <w:p>
      <w:pPr>
        <w:pStyle w:val="FirstParagraph"/>
      </w:pPr>
      <w:r>
        <w:t xml:space="preserve">We use leave-group-out (LGO) — training on a held-in subset and forecasting an</w:t>
      </w:r>
      <w:r>
        <w:t xml:space="preserve"> </w:t>
      </w:r>
      <w:r>
        <w:t xml:space="preserve">entirely held-out subset of basins. On the headline 120-station setup, training on</w:t>
      </w:r>
      <w:r>
        <w:t xml:space="preserve"> </w:t>
      </w:r>
      <w:r>
        <w:t xml:space="preserve">90 stations and testing on 30 unseen basins gives a</w:t>
      </w:r>
      <w:r>
        <w:t xml:space="preserve"> </w:t>
      </w:r>
      <w:r>
        <w:rPr>
          <w:b/>
          <w:bCs/>
        </w:rPr>
        <w:t xml:space="preserve">single-realisation</w:t>
      </w:r>
      <w:r>
        <w:t xml:space="preserve"> </w:t>
      </w:r>
      <w:r>
        <w:t xml:space="preserve">transfer skill vs persistence of</w:t>
      </w:r>
      <w:r>
        <w:t xml:space="preserve"> </w:t>
      </w:r>
      <w:r>
        <w:rPr>
          <w:b/>
          <w:bCs/>
        </w:rPr>
        <w:t xml:space="preserve">+0.16 / +0.16 / +0.24</w:t>
      </w:r>
      <w:r>
        <w:t xml:space="preserve"> </w:t>
      </w:r>
      <w:r>
        <w:t xml:space="preserve">at 1 / 3 / 7 days</w:t>
      </w:r>
      <w:r>
        <w:t xml:space="preserve"> </w:t>
      </w:r>
      <w:r>
        <w:t xml:space="preserve">(RMSE 0.656 / 1.285 / 1.553 vs persistence 0.780 / 1.528 / 2.058). A single</w:t>
      </w:r>
      <w:r>
        <w:t xml:space="preserve"> </w:t>
      </w:r>
      <w:r>
        <w:t xml:space="preserve">random 75/25 split does not give an across-fold uncertainty estimate; for that</w:t>
      </w:r>
      <w:r>
        <w:t xml:space="preserve"> </w:t>
      </w:r>
      <w:r>
        <w:t xml:space="preserve">we point to the 4-fold LGO on the 40-station pilot — every available station</w:t>
      </w:r>
      <w:r>
        <w:t xml:space="preserve"> </w:t>
      </w:r>
      <w:r>
        <w:t xml:space="preserve">held out exactly once — which gave a more conservative average skill of</w:t>
      </w:r>
      <w:r>
        <w:t xml:space="preserve"> </w:t>
      </w:r>
      <w:r>
        <w:rPr>
          <w:b/>
          <w:bCs/>
        </w:rPr>
        <w:t xml:space="preserve">+0.13 / +0.14 / +0.23</w:t>
      </w:r>
      <w:r>
        <w:t xml:space="preserve"> </w:t>
      </w:r>
      <w:r>
        <w:t xml:space="preserve">with small across-fold variability (std ≈ 0.02;</w:t>
      </w:r>
      <w:r>
        <w:t xml:space="preserve"> </w:t>
      </w:r>
      <w:r>
        <w:t xml:space="preserve">per-fold h7 skill 0.22–0.25), and also beats</w:t>
      </w:r>
      <w:r>
        <w:t xml:space="preserve"> </w:t>
      </w:r>
      <w:r>
        <w:rPr>
          <w:i/>
          <w:iCs/>
        </w:rPr>
        <w:t xml:space="preserve">damped</w:t>
      </w:r>
      <w:r>
        <w:t xml:space="preserve"> </w:t>
      </w:r>
      <w:r>
        <w:t xml:space="preserve">persistence on the unseen</w:t>
      </w:r>
      <w:r>
        <w:t xml:space="preserve"> </w:t>
      </w:r>
      <w:r>
        <w:t xml:space="preserve">basins (+0.09 / +0.02 / +0.01). The combination — large-sample one-shot for</w:t>
      </w:r>
      <w:r>
        <w:t xml:space="preserve"> </w:t>
      </w:r>
      <w:r>
        <w:t xml:space="preserve">effect size, small-sample multi-fold for variance — is the most informative</w:t>
      </w:r>
      <w:r>
        <w:t xml:space="preserve"> </w:t>
      </w:r>
      <w:r>
        <w:t xml:space="preserve">report under the available compute; a full 4-fold LGO on the 120-station panel</w:t>
      </w:r>
      <w:r>
        <w:t xml:space="preserve"> </w:t>
      </w:r>
      <w:r>
        <w:t xml:space="preserve">is queued as a robustness check (§S3). This is the contribution a single-site</w:t>
      </w:r>
      <w:r>
        <w:t xml:space="preserve"> </w:t>
      </w:r>
      <w:r>
        <w:t xml:space="preserve">study cannot make: the learned prior plus a station-agnostic residual</w:t>
      </w:r>
      <w:r>
        <w:t xml:space="preserve"> </w:t>
      </w:r>
      <w:r>
        <w:t xml:space="preserve">generalises across basins, not just across years at one site.</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0.906 / 0.909</w:t>
      </w:r>
      <w:r>
        <w:t xml:space="preserve"> </w:t>
      </w:r>
      <w:r>
        <w:t xml:space="preserve">at 1 / 3 / 7 days, with</w:t>
      </w:r>
      <w:r>
        <w:t xml:space="preserve"> </w:t>
      </w:r>
      <w:r>
        <w:rPr>
          <w:b/>
          <w:bCs/>
        </w:rPr>
        <w:t xml:space="preserve">97 / 92 / 89 %</w:t>
      </w:r>
      <w:r>
        <w:t xml:space="preserve"> </w:t>
      </w:r>
      <w:r>
        <w:t xml:space="preserve">of the n=114 blind-test stations</w:t>
      </w:r>
      <w:r>
        <w:t xml:space="preserve"> </w:t>
      </w:r>
      <w:r>
        <w:t xml:space="preserve">falling within ±0.05 of nominal (Wilson 95 % CIs: 92–99 %, 86–96 %, 82–93 %;</w:t>
      </w:r>
      <w:r>
        <w:t xml:space="preserve"> </w:t>
      </w:r>
      <w:r>
        <w:t xml:space="preserve">Figure 3). On the smaller 40-station pilot the same model is calibrated at the</w:t>
      </w:r>
      <w:r>
        <w:t xml:space="preserve"> </w:t>
      </w:r>
      <w:r>
        <w:rPr>
          <w:i/>
          <w:iCs/>
        </w:rPr>
        <w:t xml:space="preserve">population</w:t>
      </w:r>
      <w:r>
        <w:t xml:space="preserve"> </w:t>
      </w:r>
      <w:r>
        <w:t xml:space="preserve">level (mean PICP ≈ 0.90) but</w:t>
      </w:r>
      <w:r>
        <w:t xml:space="preserve"> </w:t>
      </w:r>
      <w:r>
        <w:rPr>
          <w:i/>
          <w:iCs/>
        </w:rPr>
        <w:t xml:space="preserve">across-station</w:t>
      </w:r>
      <w:r>
        <w:t xml:space="preserve"> </w:t>
      </w:r>
      <w:r>
        <w:t xml:space="preserve">tightness is worse</w:t>
      </w:r>
      <w:r>
        <w:t xml:space="preserve"> </w:t>
      </w:r>
      <w:r>
        <w:t xml:space="preserve">(n=36 PICP range 0.65–0.91), so we treat tight per-station coverage as a</w:t>
      </w:r>
      <w:r>
        <w:t xml:space="preserve"> </w:t>
      </w:r>
      <w:r>
        <w:t xml:space="preserve">property of the large-sample regime, not a guarantee.</w:t>
      </w:r>
    </w:p>
    <w:p>
      <w:pPr>
        <w:pStyle w:val="BodyText"/>
      </w:pPr>
      <w:r>
        <w:rPr>
          <w:b/>
          <w:bCs/>
        </w:rPr>
        <w:t xml:space="preserve">High-temperature exceedance warnings</w:t>
      </w:r>
      <w:r>
        <w:t xml:space="preserve"> </w:t>
      </w:r>
      <w:r>
        <w:t xml:space="preserve">have modest positive skill (Brier-skill</w:t>
      </w:r>
      <w:r>
        <w:t xml:space="preserve"> </w:t>
      </w:r>
      <w:r>
        <w:t xml:space="preserve">+0.30 / +0.25 / +0.24; AUPRC 0.57 / 0.51 / 0.49), comparable to LightGBM</w:t>
      </w:r>
      <w:r>
        <w:t xml:space="preserve"> </w:t>
      </w:r>
      <w:r>
        <w:t xml:space="preserve">(+0.33 / +0.30 / +0.28).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0.90 / 0.86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0.85 / 0.82).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~2× from low to high flow</w:t>
      </w:r>
      <w:r>
        <w:t xml:space="preserve"> </w:t>
      </w:r>
      <w:r>
        <w:t xml:space="preserve">(implied memory 1/κ ≈ 10–33 d), which we initially read as a flow-dependent thermal</w:t>
      </w:r>
      <w:r>
        <w:t xml:space="preserve"> </w:t>
      </w:r>
      <w:r>
        <w:t xml:space="preserve">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2 % of stations</w:t>
      </w:r>
      <w:r>
        <w:t xml:space="preserve"> </w:t>
      </w:r>
      <w:r>
        <w:t xml:space="preserve">(median κ_high/κ_low =</w:t>
      </w:r>
      <w:r>
        <w:t xml:space="preserve"> </w:t>
      </w:r>
      <w:r>
        <w:t xml:space="preserve">0.87; mean κ_low 0.118 vs κ_high 0.105) — even weaker than the 40-station</w:t>
      </w:r>
      <w:r>
        <w:t xml:space="preserve"> </w:t>
      </w:r>
      <w:r>
        <w:t xml:space="preserve">intermediate result (24 %), so the finding is now strongly that there is no</w:t>
      </w:r>
      <w:r>
        <w:t xml:space="preserve"> </w:t>
      </w:r>
      <w:r>
        <w:t xml:space="preserve">consistent, physically directional flow dependence. Together with the ablation</w:t>
      </w:r>
      <w:r>
        <w:t xml:space="preserve"> </w:t>
      </w:r>
      <w:r>
        <w:t xml:space="preserve">showing that freezing κ’s modulators (TR-fixedKappa) does not worsen point</w:t>
      </w:r>
      <w:r>
        <w:t xml:space="preserve"> </w:t>
      </w:r>
      <w:r>
        <w:t xml:space="preserve">accuracy, we conclude that</w:t>
      </w:r>
      <w:r>
        <w:t xml:space="preserve"> </w:t>
      </w:r>
      <w:r>
        <w:rPr>
          <w:b/>
          <w:bCs/>
        </w:rPr>
        <w:t xml:space="preserve">the dynamic-κ modulation is not a validated mechanism</w:t>
      </w:r>
      <w:r>
        <w:rPr>
          <w:b/>
          <w:bCs/>
        </w:rPr>
        <w:t xml:space="preserve"> </w:t>
      </w:r>
      <w:r>
        <w:rPr>
          <w:b/>
          <w:bCs/>
        </w:rPr>
        <w:t xml:space="preserve">and not an accuracy lever</w:t>
      </w:r>
      <w:r>
        <w:t xml:space="preserve">; the three-station signal was a small-sample artifact.</w:t>
      </w:r>
      <w:r>
        <w:t xml:space="preserve"> </w:t>
      </w:r>
      <w:r>
        <w:t xml:space="preserve">We therefore do not claim a flow-dependent thermal memory.</w:t>
      </w:r>
    </w:p>
    <w:p>
      <w:pPr>
        <w:pStyle w:val="BodyText"/>
      </w:pPr>
      <w:r>
        <w:t xml:space="preserve">What does survive is interpretability of the</w:t>
      </w:r>
      <w:r>
        <w:t xml:space="preserve"> </w:t>
      </w:r>
      <w:r>
        <w:rPr>
          <w:i/>
          <w:iCs/>
        </w:rPr>
        <w:t xml:space="preserve">router</w:t>
      </w:r>
      <w:r>
        <w:t xml:space="preserve">: its dominant variable shares</w:t>
      </w:r>
      <w:r>
        <w:t xml:space="preserve"> </w:t>
      </w:r>
      <w:r>
        <w:t xml:space="preserve">on the 120-station panel are radiation-led across all horizons — incident solar</w:t>
      </w:r>
      <w:r>
        <w:t xml:space="preserve"> </w:t>
      </w:r>
      <w:r>
        <w:t xml:space="preserve">radiation (</w:t>
      </w:r>
      <w:r>
        <w:rPr>
          <w:rStyle w:val="VerbatimChar"/>
        </w:rPr>
        <w:t xml:space="preserve">DH</w:t>
      </w:r>
      <w:r>
        <w:t xml:space="preserve">) carries ≈54 % of the routing weight at every lead — with thermal</w:t>
      </w:r>
      <w:r>
        <w:t xml:space="preserve"> </w:t>
      </w:r>
      <w:r>
        <w:t xml:space="preserve">inertia (</w:t>
      </w:r>
      <w:r>
        <w:rPr>
          <w:rStyle w:val="VerbatimChar"/>
        </w:rPr>
        <w:t xml:space="preserve">WTEMP</w:t>
      </w:r>
      <w:r>
        <w:t xml:space="preserve"> </w:t>
      </w:r>
      <w:r>
        <w:t xml:space="preserve">history) ≈20 % at short range and air temperature / discharge</w:t>
      </w:r>
      <w:r>
        <w:t xml:space="preserve"> </w:t>
      </w:r>
      <w:r>
        <w:t xml:space="preserve">rising at 3–7 days. This is consistent with a system whose dominant predictability</w:t>
      </w:r>
      <w:r>
        <w:t xml:space="preserve"> </w:t>
      </w:r>
      <w:r>
        <w:t xml:space="preserve">is radiative + thermal-inertia at short range and meteorology-driven at longer</w:t>
      </w:r>
      <w:r>
        <w:t xml:space="preserve"> </w:t>
      </w:r>
      <w:r>
        <w:t xml:space="preserve">leads — interpretive, not causal (Figure 4).</w:t>
      </w:r>
    </w:p>
    <w:p>
      <w:pPr>
        <w:pStyle w:val="CaptionedFigure"/>
      </w:pPr>
      <w:r>
        <w:drawing>
          <wp:inline>
            <wp:extent cx="4533900" cy="2115683"/>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only 2 % of stations on the 120-station panel (and 24 % on the 40-station intermediate that we report for comparison), median ratio 0.87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 only</w:t>
      </w:r>
      <w:r>
        <w:t xml:space="preserve"> </w:t>
      </w:r>
      <w:r>
        <w:rPr>
          <w:b/>
          <w:bCs/>
        </w:rPr>
        <w:t xml:space="preserve">2 % of stations</w:t>
      </w:r>
      <w:r>
        <w:t xml:space="preserve"> </w:t>
      </w:r>
      <w:r>
        <w:t xml:space="preserve">on the 120-station panel (and 24 % on the 40-station intermediate that we report for comparison), median ratio 0.87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We train each ablation</w:t>
      </w:r>
      <w:r>
        <w:t xml:space="preserve"> </w:t>
      </w:r>
      <w:r>
        <w:t xml:space="preserve">at</w:t>
      </w:r>
      <w:r>
        <w:t xml:space="preserve"> </w:t>
      </w:r>
      <w:r>
        <w:rPr>
          <w:b/>
          <w:bCs/>
        </w:rPr>
        <w:t xml:space="preserve">3 seeds</w:t>
      </w:r>
      <w:r>
        <w:t xml:space="preserve"> </w:t>
      </w:r>
      <w:r>
        <w:t xml:space="preserve">and compare it to the full model by a per-station paired test (median</w:t>
      </w:r>
      <w:r>
        <w:t xml:space="preserve"> </w:t>
      </w:r>
      <w:r>
        <w:t xml:space="preserve">per-station RMSE at 1/3/7 d; Wilcoxon at h=3): removing the physics prior is</w:t>
      </w:r>
      <w:r>
        <w:t xml:space="preserve"> </w:t>
      </w:r>
      <w:r>
        <w:t xml:space="preserve">catastrophic (0.995 / 1.302 / 1.531 vs the full 0.554 / 1.175 / 1.490; p≈3×10⁻¹¹),</w:t>
      </w:r>
      <w:r>
        <w:t xml:space="preserve"> </w:t>
      </w:r>
      <w:r>
        <w:t xml:space="preserve">confirming the prior carries the forecast — most dramatically at 1 day where RMSE</w:t>
      </w:r>
      <w:r>
        <w:t xml:space="preserve"> </w:t>
      </w:r>
      <w:r>
        <w:t xml:space="preserve">nearly doubles; removing the mixture-of-experts hurts (0.623 / 1.236 / 1.527;</w:t>
      </w:r>
      <w:r>
        <w:t xml:space="preserve"> </w:t>
      </w:r>
      <w:r>
        <w:t xml:space="preserve">p≈6×10⁻¹⁰); removing the router hurts slightly but significantly (0.568 / 1.189 /</w:t>
      </w:r>
      <w:r>
        <w:t xml:space="preserve"> </w:t>
      </w:r>
      <w:r>
        <w:t xml:space="preserve">1.497; p≈2×10⁻⁹). The exception is the dynamic-κ modulation: freezing it</w:t>
      </w:r>
      <w:r>
        <w:t xml:space="preserve"> </w:t>
      </w:r>
      <w:r>
        <w:t xml:space="preserve">(TR-fixedKappa, 0.559 / 1.177 / 1.482) is within ±0.008 °C of the full model and is</w:t>
      </w:r>
      <w:r>
        <w:t xml:space="preserve"> </w:t>
      </w:r>
      <w:r>
        <w:rPr>
          <w:i/>
          <w:iCs/>
        </w:rPr>
        <w:t xml:space="preserve">better</w:t>
      </w:r>
      <w:r>
        <w:t xml:space="preserve"> </w:t>
      </w:r>
      <w:r>
        <w:t xml:space="preserve">at 7 days; although the per-station paired test is nominally significant</w:t>
      </w:r>
      <w:r>
        <w:t xml:space="preserve"> </w:t>
      </w:r>
      <w:r>
        <w:t xml:space="preserve">(p≈3×10⁻⁵), the effect size is negligible and direction-inconsistent. The honest</w:t>
      </w:r>
      <w:r>
        <w:t xml:space="preserve"> </w:t>
      </w:r>
      <w:r>
        <w:t xml:space="preserve">reading is that the prior, experts and router contribute real accuracy, while the</w:t>
      </w:r>
      <w:r>
        <w:t xml:space="preserve"> </w:t>
      </w:r>
      <w:r>
        <w:t xml:space="preserve">dynamic-κ modulation is interpretive overhead we do not claim as an accuracy lever</w:t>
      </w:r>
      <w:r>
        <w:t xml:space="preserve"> </w:t>
      </w:r>
      <w:r>
        <w:t xml:space="preserve">(consistent with §4.5).</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40-station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Forty-station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Forty stream gages across 17 U.S. states (≥55 % water-temperature coverage over</w:t>
      </w:r>
      <w:r>
        <w:t xml:space="preserve"> </w:t>
      </w:r>
      <w:r>
        <w:t xml:space="preserve">2006–2020) span free-flowing and dam-regulated rivers; water-temperature coverage</w:t>
      </w:r>
      <w:r>
        <w:t xml:space="preserve"> </w:t>
      </w:r>
      <w:r>
        <w:t xml:space="preserve">ranges 0.56–1.00 (median ≈0.85). The two assembled panels</w:t>
      </w:r>
      <w:r>
        <w:t xml:space="preserve"> </w:t>
      </w:r>
      <w:r>
        <w:t xml:space="preserve">(</w:t>
      </w:r>
      <w:r>
        <w:rPr>
          <w:rStyle w:val="VerbatimChar"/>
        </w:rPr>
        <w:t xml:space="preserve">data_usgs/panel_usgs.parquet</w:t>
      </w:r>
      <w:r>
        <w:t xml:space="preserve">, six variables;</w:t>
      </w:r>
      <w:r>
        <w:t xml:space="preserve"> </w:t>
      </w:r>
      <w:r>
        <w:rPr>
          <w:rStyle w:val="VerbatimChar"/>
        </w:rPr>
        <w:t xml:space="preserve">data_usgs/panel_usgs_wind.parquet</w:t>
      </w:r>
      <w:r>
        <w:t xml:space="preserve">,</w:t>
      </w:r>
      <w:r>
        <w:t xml:space="preserve"> </w:t>
      </w:r>
      <w:r>
        <w:t xml:space="preserve">seven variables) and station metadata (</w:t>
      </w:r>
      <w:r>
        <w:rPr>
          <w:rStyle w:val="VerbatimChar"/>
        </w:rPr>
        <w:t xml:space="preserve">data_usgs/stations_meta.csv</w:t>
      </w:r>
      <w:r>
        <w:t xml:space="preserve">, with USGS site</w:t>
      </w:r>
      <w:r>
        <w:t xml:space="preserve"> </w:t>
      </w:r>
      <w:r>
        <w:t xml:space="preserve">numbers and coordinates)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and one-command reproduction</w:t>
      </w:r>
      <w:r>
        <w:t xml:space="preserve"> </w:t>
      </w:r>
      <w:r>
        <w:t xml:space="preserve">(</w:t>
      </w:r>
      <w:r>
        <w:rPr>
          <w:rStyle w:val="VerbatimChar"/>
        </w:rPr>
        <w:t xml:space="preserve">scripts/run_all.sh</w:t>
      </w:r>
      <w:r>
        <w:t xml:space="preserve">) are in this repository. Per-day predictions, model weights and</w:t>
      </w:r>
      <w:r>
        <w:t xml:space="preserve"> </w:t>
      </w:r>
      <w:r>
        <w:t xml:space="preserve">logs are regenerable by the staged scripts (</w:t>
      </w:r>
      <w:r>
        <w:rPr>
          <w:rStyle w:val="VerbatimChar"/>
        </w:rPr>
        <w:t xml:space="preserve">scripts/01</w:t>
      </w:r>
      <w:r>
        <w:t xml:space="preserve">–</w:t>
      </w:r>
      <w:r>
        <w:rPr>
          <w:rStyle w:val="VerbatimChar"/>
        </w:rPr>
        <w:t xml:space="preserve">13</w:t>
      </w:r>
      <w:r>
        <w:t xml:space="preserve">).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Sadler, J. M., Appling, A. P., Read, J. S., Oliver, S. K., Diaz-Gonzalez, M., Bertassello, L. E., Jia, X.,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Jia, X., Kumar, V., 2025. Geo-aware models for stream temperature prediction across different spatial regions and scales, in: Proceedings of the 33rd ACM SIGSPATIAL International Conference on Advances in Geographic Information Systems. ACM.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Topp, S. N., Appling, A. P., Diaz-Gonzalez, M. A., Heinrich, L. R., Zwart, J. A., Read, J. S., Oliver, S. K., 2023. Stream temperature predictions for river basin management in the Pacific Northwest and Mid-Atlantic regions using machine learning. Water Resources Research 59, e2022WR033880. https://doi.org/10.1029/2022WR033880.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3543–3553.</w:t>
      </w:r>
    </w:p>
    <w:p>
      <w:pPr>
        <w:pStyle w:val="BodyText"/>
      </w:pPr>
      <w:r>
        <w:t xml:space="preserve">Vovk, V., Gammerman, A., Shafer, G., 2005. Algorithmic Learning in a Random World. Springer, New York.</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Academic Press, Oxford. (Chapters on bootstrap CIs, Brier/Brier-skill, AUPRC, and the Relative Economic Value of probabilistic forecasts.)</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https://doi.org/10.1016/j.jhydro.2009.08.003.</w:t>
      </w:r>
    </w:p>
    <w:bookmarkEnd w:id="42"/>
    <w:bookmarkStart w:id="43" w:name="software-and-data-sources"/>
    <w:p>
      <w:pPr>
        <w:pStyle w:val="Heading3"/>
      </w:pPr>
      <w:r>
        <w:t xml:space="preserve">Software and data sources</w:t>
      </w:r>
    </w:p>
    <w:p>
      <w:pPr>
        <w:pStyle w:val="FirstParagraph"/>
      </w:pPr>
      <w:r>
        <w:t xml:space="preserve">De Cicco, L. A., Lorenz, D., Hirsch, R. M., Watkins, W., Johnson, M., 2024. dataRetrieval: R packages for discovering and retrieving water data available from federal hydrologic web services. U.S. Geological Survey. https://doi.org/10.5066/P9X4L3GE. [D1]</w:t>
      </w:r>
    </w:p>
    <w:p>
      <w:pPr>
        <w:pStyle w:val="BodyText"/>
      </w:pPr>
      <w:r>
        <w:t xml:space="preserve">Hodson, T. O., Decker, J. K., 2023. dataretrieval (Python): a Python package for discovering and retrieving water data available from U.S. federal hydrologic web services. U.S. Geological Survey. https://doi.org/10.5066/P94I5TX3.</w:t>
      </w:r>
    </w:p>
    <w:p>
      <w:pPr>
        <w:pStyle w:val="BodyText"/>
      </w:pPr>
      <w:r>
        <w:t xml:space="preserve">U.S. Geological Survey, 2024. National Water Information System (NWIS). Web services accessed via dataRetrieval; parameter codes 00010 (water temperature), 00060 (discharge), 00065 (gage height). https://waterdata.usgs.gov/nwis. [public domain]</w:t>
      </w:r>
    </w:p>
    <w:p>
      <w:pPr>
        <w:pStyle w:val="BodyText"/>
      </w:pPr>
      <w:r>
        <w:t xml:space="preserve">Thornton, P. E., Shrestha, R., Thornton, M., Kao, S.-C., Wei, Y., Wilson, B. E.,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8026–8037.</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https://doi.org/10.1038/s41592-019-0686-5.</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2026-06-30T12:55:21Z</dcterms:created>
  <dcterms:modified xsi:type="dcterms:W3CDTF">2026-06-30T12:55:21Z</dcterms:modified>
</cp:coreProperties>
</file>

<file path=docProps/custom.xml><?xml version="1.0" encoding="utf-8"?>
<Properties xmlns="http://schemas.openxmlformats.org/officeDocument/2006/custom-properties" xmlns:vt="http://schemas.openxmlformats.org/officeDocument/2006/docPropsVTypes"/>
</file>