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F9C74" w14:textId="77777777"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14:paraId="1591D254" w14:textId="77777777" w:rsidR="008A5C3C" w:rsidRPr="008A5C3C" w:rsidRDefault="008A5C3C" w:rsidP="008A5C3C">
      <w:pPr>
        <w:spacing w:after="0" w:line="240" w:lineRule="auto"/>
        <w:contextualSpacing/>
        <w:rPr>
          <w:rFonts w:ascii="Times New Roman" w:hAnsi="Times New Roman"/>
          <w:b/>
          <w:color w:val="0070C0"/>
          <w:sz w:val="12"/>
        </w:rPr>
      </w:pPr>
    </w:p>
    <w:p w14:paraId="163E9F3C" w14:textId="77777777" w:rsidR="008A5C3C" w:rsidRDefault="008A5C3C" w:rsidP="008A5C3C">
      <w:pPr>
        <w:spacing w:after="0" w:line="240" w:lineRule="auto"/>
        <w:rPr>
          <w:rFonts w:ascii="Times New Roman" w:hAnsi="Times New Roman"/>
          <w:b/>
        </w:rPr>
      </w:pPr>
    </w:p>
    <w:p w14:paraId="7B6F758B" w14:textId="77777777" w:rsidR="00E030C6" w:rsidRPr="0017567B" w:rsidRDefault="00E030C6" w:rsidP="00E030C6">
      <w:pPr>
        <w:spacing w:line="240" w:lineRule="auto"/>
        <w:rPr>
          <w:rFonts w:ascii="Times New Roman" w:hAnsi="Times New Roman"/>
        </w:rPr>
      </w:pPr>
      <w:r w:rsidRPr="0017567B">
        <w:rPr>
          <w:rFonts w:ascii="Times New Roman" w:hAnsi="Times New Roman"/>
          <w:b/>
        </w:rPr>
        <w:t>Table 1.</w:t>
      </w:r>
      <w:r w:rsidRPr="0017567B">
        <w:rPr>
          <w:rFonts w:ascii="Times New Roman" w:hAnsi="Times New Roman"/>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7470"/>
      </w:tblGrid>
      <w:tr w:rsidR="00BC5644" w:rsidRPr="0017567B" w14:paraId="27F7645D" w14:textId="77777777" w:rsidTr="003E320E">
        <w:tc>
          <w:tcPr>
            <w:tcW w:w="2538" w:type="dxa"/>
          </w:tcPr>
          <w:p w14:paraId="7DFD50E6" w14:textId="77777777" w:rsidR="00BC5644" w:rsidRPr="0017567B" w:rsidRDefault="00BC5644" w:rsidP="00BE3E9D">
            <w:pPr>
              <w:pStyle w:val="NormalWeb"/>
              <w:contextualSpacing/>
              <w:rPr>
                <w:b/>
                <w:sz w:val="22"/>
                <w:szCs w:val="22"/>
              </w:rPr>
            </w:pPr>
            <w:r w:rsidRPr="0017567B">
              <w:rPr>
                <w:b/>
                <w:sz w:val="22"/>
                <w:szCs w:val="22"/>
              </w:rPr>
              <w:t>Title</w:t>
            </w:r>
            <w:r w:rsidR="002C2CAD" w:rsidRPr="0017567B">
              <w:rPr>
                <w:b/>
                <w:sz w:val="22"/>
                <w:szCs w:val="22"/>
              </w:rPr>
              <w:t xml:space="preserve"> of dataset</w:t>
            </w:r>
          </w:p>
        </w:tc>
        <w:tc>
          <w:tcPr>
            <w:tcW w:w="7470" w:type="dxa"/>
          </w:tcPr>
          <w:p w14:paraId="7A158E0C" w14:textId="07164DB8" w:rsidR="00BC5644" w:rsidRPr="0017567B" w:rsidRDefault="00F37DF7" w:rsidP="00250C1A">
            <w:pPr>
              <w:spacing w:line="240" w:lineRule="auto"/>
              <w:contextualSpacing/>
              <w:rPr>
                <w:rFonts w:ascii="Times New Roman" w:hAnsi="Times New Roman"/>
                <w:i/>
              </w:rPr>
            </w:pPr>
            <w:r>
              <w:rPr>
                <w:rFonts w:ascii="Times New Roman" w:hAnsi="Times New Roman"/>
                <w:i/>
              </w:rPr>
              <w:t>Initial-hydrolysis-ms</w:t>
            </w:r>
          </w:p>
        </w:tc>
      </w:tr>
      <w:tr w:rsidR="003E320E" w:rsidRPr="0017567B" w14:paraId="1D20972C" w14:textId="77777777" w:rsidTr="003E320E">
        <w:tc>
          <w:tcPr>
            <w:tcW w:w="2538" w:type="dxa"/>
          </w:tcPr>
          <w:p w14:paraId="58D1FCF4" w14:textId="77777777" w:rsidR="003E320E" w:rsidRPr="0017567B" w:rsidRDefault="003E320E" w:rsidP="00BE3E9D">
            <w:pPr>
              <w:pStyle w:val="NormalWeb"/>
              <w:contextualSpacing/>
              <w:rPr>
                <w:b/>
                <w:sz w:val="22"/>
                <w:szCs w:val="22"/>
              </w:rPr>
            </w:pPr>
            <w:r>
              <w:rPr>
                <w:b/>
                <w:sz w:val="22"/>
                <w:szCs w:val="22"/>
              </w:rPr>
              <w:t>URL of dataset</w:t>
            </w:r>
          </w:p>
        </w:tc>
        <w:tc>
          <w:tcPr>
            <w:tcW w:w="7470" w:type="dxa"/>
          </w:tcPr>
          <w:p w14:paraId="0AE20D30" w14:textId="6FF536DE" w:rsidR="003E320E" w:rsidRPr="00711671" w:rsidRDefault="0040539B" w:rsidP="003E320E">
            <w:pPr>
              <w:spacing w:line="240" w:lineRule="auto"/>
              <w:contextualSpacing/>
              <w:rPr>
                <w:rFonts w:ascii="Times New Roman" w:hAnsi="Times New Roman"/>
                <w:i/>
              </w:rPr>
            </w:pPr>
            <w:r w:rsidRPr="00711671">
              <w:rPr>
                <w:rFonts w:ascii="Times New Roman" w:hAnsi="Times New Roman"/>
                <w:i/>
              </w:rPr>
              <w:t>https://github.com/shutingliu/initial-hydrolysis-ms.git</w:t>
            </w:r>
          </w:p>
        </w:tc>
      </w:tr>
      <w:tr w:rsidR="00647AF0" w:rsidRPr="0017567B" w14:paraId="5A38EEEC" w14:textId="77777777" w:rsidTr="003E320E">
        <w:tc>
          <w:tcPr>
            <w:tcW w:w="2538" w:type="dxa"/>
          </w:tcPr>
          <w:p w14:paraId="06543753" w14:textId="77777777" w:rsidR="00647AF0" w:rsidRPr="0017567B" w:rsidRDefault="00647AF0" w:rsidP="00BE3E9D">
            <w:pPr>
              <w:pStyle w:val="NormalWeb"/>
              <w:contextualSpacing/>
              <w:rPr>
                <w:b/>
                <w:sz w:val="22"/>
                <w:szCs w:val="22"/>
              </w:rPr>
            </w:pPr>
            <w:r w:rsidRPr="0017567B">
              <w:rPr>
                <w:b/>
                <w:sz w:val="22"/>
                <w:szCs w:val="22"/>
              </w:rPr>
              <w:t>Abstract</w:t>
            </w:r>
          </w:p>
        </w:tc>
        <w:tc>
          <w:tcPr>
            <w:tcW w:w="7470" w:type="dxa"/>
          </w:tcPr>
          <w:p w14:paraId="67DB1170" w14:textId="741E2EC6" w:rsidR="00241B0B" w:rsidRPr="0017567B" w:rsidRDefault="003D32AF" w:rsidP="00250C1A">
            <w:pPr>
              <w:widowControl w:val="0"/>
              <w:rPr>
                <w:rFonts w:ascii="Times New Roman" w:hAnsi="Times New Roman"/>
                <w:i/>
              </w:rPr>
            </w:pPr>
            <w:r>
              <w:rPr>
                <w:rFonts w:ascii="Times New Roman" w:hAnsi="Times New Roman"/>
                <w:i/>
              </w:rPr>
              <w:t>This study is to use peptide hydrolysis data to investigate initial peptide hydrolysis that occurred in short-time scale (1-2 h) and the roles of free vs. attached enzymes in peptide initial hydrolysis in coastal seawater.</w:t>
            </w:r>
          </w:p>
        </w:tc>
      </w:tr>
      <w:tr w:rsidR="00647AF0" w:rsidRPr="0017567B" w14:paraId="41970632" w14:textId="77777777" w:rsidTr="003E320E">
        <w:tc>
          <w:tcPr>
            <w:tcW w:w="2538" w:type="dxa"/>
          </w:tcPr>
          <w:p w14:paraId="5532A987" w14:textId="77777777" w:rsidR="00647AF0" w:rsidRPr="0017567B" w:rsidRDefault="00647AF0" w:rsidP="00BE3E9D">
            <w:pPr>
              <w:pStyle w:val="NormalWeb"/>
              <w:contextualSpacing/>
              <w:rPr>
                <w:b/>
                <w:sz w:val="22"/>
                <w:szCs w:val="22"/>
              </w:rPr>
            </w:pPr>
            <w:r w:rsidRPr="0017567B">
              <w:rPr>
                <w:b/>
                <w:sz w:val="22"/>
                <w:szCs w:val="22"/>
              </w:rPr>
              <w:t>Keywords</w:t>
            </w:r>
          </w:p>
        </w:tc>
        <w:tc>
          <w:tcPr>
            <w:tcW w:w="7470" w:type="dxa"/>
          </w:tcPr>
          <w:p w14:paraId="139E7910" w14:textId="71BBDC44" w:rsidR="00647AF0" w:rsidRPr="0017567B" w:rsidRDefault="00115780" w:rsidP="00BC5644">
            <w:pPr>
              <w:pStyle w:val="NormalWeb"/>
              <w:contextualSpacing/>
              <w:rPr>
                <w:i/>
                <w:sz w:val="22"/>
                <w:szCs w:val="22"/>
              </w:rPr>
            </w:pPr>
            <w:r>
              <w:rPr>
                <w:i/>
                <w:sz w:val="22"/>
                <w:szCs w:val="22"/>
              </w:rPr>
              <w:t>Initial hydrolysis, AVFA, fragments</w:t>
            </w:r>
          </w:p>
        </w:tc>
      </w:tr>
      <w:tr w:rsidR="00647AF0" w:rsidRPr="0017567B" w14:paraId="05CBE344" w14:textId="77777777" w:rsidTr="003E320E">
        <w:tc>
          <w:tcPr>
            <w:tcW w:w="2538" w:type="dxa"/>
          </w:tcPr>
          <w:p w14:paraId="59D58C85" w14:textId="77777777" w:rsidR="00647AF0" w:rsidRPr="0017567B" w:rsidRDefault="006224DE" w:rsidP="006224DE">
            <w:pPr>
              <w:pStyle w:val="NormalWeb"/>
              <w:contextualSpacing/>
              <w:rPr>
                <w:b/>
                <w:sz w:val="22"/>
                <w:szCs w:val="22"/>
              </w:rPr>
            </w:pPr>
            <w:r>
              <w:rPr>
                <w:b/>
                <w:sz w:val="22"/>
                <w:szCs w:val="22"/>
              </w:rPr>
              <w:t xml:space="preserve">Dataset lead author </w:t>
            </w:r>
          </w:p>
        </w:tc>
        <w:tc>
          <w:tcPr>
            <w:tcW w:w="7470" w:type="dxa"/>
          </w:tcPr>
          <w:p w14:paraId="707CBAC8" w14:textId="06B5F5E0" w:rsidR="006224DE" w:rsidRDefault="00115780" w:rsidP="00D60162">
            <w:pPr>
              <w:pStyle w:val="NormalWeb"/>
              <w:contextualSpacing/>
              <w:rPr>
                <w:i/>
                <w:sz w:val="22"/>
                <w:szCs w:val="22"/>
              </w:rPr>
            </w:pPr>
            <w:r>
              <w:rPr>
                <w:i/>
                <w:sz w:val="22"/>
                <w:szCs w:val="22"/>
              </w:rPr>
              <w:t>Shuting Liu</w:t>
            </w:r>
          </w:p>
          <w:p w14:paraId="7C167D25" w14:textId="77777777" w:rsidR="00647AF0" w:rsidRPr="0017567B" w:rsidRDefault="00647AF0" w:rsidP="00D60162">
            <w:pPr>
              <w:pStyle w:val="NormalWeb"/>
              <w:contextualSpacing/>
              <w:rPr>
                <w:i/>
                <w:sz w:val="22"/>
                <w:szCs w:val="22"/>
              </w:rPr>
            </w:pPr>
          </w:p>
        </w:tc>
      </w:tr>
      <w:tr w:rsidR="00647AF0" w:rsidRPr="0017567B" w14:paraId="1B66A5D3" w14:textId="77777777" w:rsidTr="006224DE">
        <w:trPr>
          <w:trHeight w:val="332"/>
        </w:trPr>
        <w:tc>
          <w:tcPr>
            <w:tcW w:w="2538" w:type="dxa"/>
          </w:tcPr>
          <w:p w14:paraId="79DA4DB0" w14:textId="77777777" w:rsidR="00647AF0" w:rsidRPr="0017567B" w:rsidRDefault="00647AF0" w:rsidP="006224DE">
            <w:pPr>
              <w:pStyle w:val="NormalWeb"/>
              <w:contextualSpacing/>
              <w:rPr>
                <w:b/>
                <w:sz w:val="22"/>
                <w:szCs w:val="22"/>
              </w:rPr>
            </w:pPr>
            <w:r w:rsidRPr="0017567B">
              <w:rPr>
                <w:b/>
                <w:sz w:val="22"/>
                <w:szCs w:val="22"/>
              </w:rPr>
              <w:t>Position</w:t>
            </w:r>
            <w:r w:rsidR="002C2CAD" w:rsidRPr="0017567B">
              <w:rPr>
                <w:b/>
                <w:sz w:val="22"/>
                <w:szCs w:val="22"/>
              </w:rPr>
              <w:t xml:space="preserve"> of </w:t>
            </w:r>
            <w:r w:rsidR="00D60162">
              <w:rPr>
                <w:b/>
                <w:sz w:val="22"/>
                <w:szCs w:val="22"/>
              </w:rPr>
              <w:t xml:space="preserve">data </w:t>
            </w:r>
            <w:r w:rsidR="006224DE">
              <w:rPr>
                <w:b/>
                <w:sz w:val="22"/>
                <w:szCs w:val="22"/>
              </w:rPr>
              <w:t>author</w:t>
            </w:r>
          </w:p>
        </w:tc>
        <w:tc>
          <w:tcPr>
            <w:tcW w:w="7470" w:type="dxa"/>
          </w:tcPr>
          <w:p w14:paraId="46E35CA9" w14:textId="1EC6A4FF" w:rsidR="00647AF0" w:rsidRPr="00D60162" w:rsidRDefault="006224DE" w:rsidP="00115780">
            <w:pPr>
              <w:pStyle w:val="NormalWeb"/>
              <w:contextualSpacing/>
              <w:rPr>
                <w:i/>
                <w:sz w:val="22"/>
                <w:szCs w:val="22"/>
              </w:rPr>
            </w:pPr>
            <w:r>
              <w:rPr>
                <w:i/>
                <w:sz w:val="22"/>
                <w:szCs w:val="22"/>
              </w:rPr>
              <w:t xml:space="preserve">graduate student, </w:t>
            </w:r>
            <w:r w:rsidR="00115780">
              <w:rPr>
                <w:i/>
                <w:sz w:val="22"/>
                <w:szCs w:val="22"/>
              </w:rPr>
              <w:t xml:space="preserve">current </w:t>
            </w:r>
            <w:r>
              <w:rPr>
                <w:i/>
                <w:sz w:val="22"/>
                <w:szCs w:val="22"/>
              </w:rPr>
              <w:t>post-doctoral researcher</w:t>
            </w:r>
          </w:p>
        </w:tc>
      </w:tr>
      <w:tr w:rsidR="00647AF0" w:rsidRPr="0017567B" w14:paraId="4D6DBBD6" w14:textId="77777777" w:rsidTr="003E320E">
        <w:tc>
          <w:tcPr>
            <w:tcW w:w="2538" w:type="dxa"/>
          </w:tcPr>
          <w:p w14:paraId="4BF44EBE" w14:textId="77777777" w:rsidR="00647AF0" w:rsidRPr="0017567B" w:rsidRDefault="00647AF0" w:rsidP="006224DE">
            <w:pPr>
              <w:pStyle w:val="NormalWeb"/>
              <w:contextualSpacing/>
              <w:rPr>
                <w:b/>
                <w:sz w:val="22"/>
                <w:szCs w:val="22"/>
              </w:rPr>
            </w:pPr>
            <w:r w:rsidRPr="0017567B">
              <w:rPr>
                <w:b/>
                <w:sz w:val="22"/>
                <w:szCs w:val="22"/>
              </w:rPr>
              <w:t>Address</w:t>
            </w:r>
            <w:r w:rsidR="002C2CAD" w:rsidRPr="0017567B">
              <w:rPr>
                <w:b/>
                <w:sz w:val="22"/>
                <w:szCs w:val="22"/>
              </w:rPr>
              <w:t xml:space="preserve"> of </w:t>
            </w:r>
            <w:r w:rsidR="00D60162">
              <w:rPr>
                <w:b/>
                <w:sz w:val="22"/>
                <w:szCs w:val="22"/>
              </w:rPr>
              <w:t xml:space="preserve">data </w:t>
            </w:r>
            <w:r w:rsidR="006224DE">
              <w:rPr>
                <w:b/>
                <w:sz w:val="22"/>
                <w:szCs w:val="22"/>
              </w:rPr>
              <w:t>author</w:t>
            </w:r>
          </w:p>
        </w:tc>
        <w:tc>
          <w:tcPr>
            <w:tcW w:w="7470" w:type="dxa"/>
          </w:tcPr>
          <w:p w14:paraId="38AD2C54" w14:textId="47BFA850" w:rsidR="00BE3E9D" w:rsidRDefault="00115780" w:rsidP="00BE3E9D">
            <w:pPr>
              <w:pStyle w:val="NormalWeb"/>
              <w:contextualSpacing/>
              <w:rPr>
                <w:i/>
                <w:sz w:val="22"/>
                <w:szCs w:val="22"/>
              </w:rPr>
            </w:pPr>
            <w:r>
              <w:rPr>
                <w:i/>
                <w:sz w:val="22"/>
                <w:szCs w:val="22"/>
              </w:rPr>
              <w:t>Marine Science Institute, The University of Texas at Austin, Port Aransas, TX 78373</w:t>
            </w:r>
          </w:p>
          <w:p w14:paraId="767DA69D" w14:textId="146E2182" w:rsidR="00115780" w:rsidRPr="00D60162" w:rsidRDefault="00115780" w:rsidP="00BE3E9D">
            <w:pPr>
              <w:pStyle w:val="NormalWeb"/>
              <w:contextualSpacing/>
              <w:rPr>
                <w:i/>
                <w:sz w:val="22"/>
                <w:szCs w:val="22"/>
              </w:rPr>
            </w:pPr>
            <w:r>
              <w:rPr>
                <w:i/>
                <w:sz w:val="22"/>
                <w:szCs w:val="22"/>
              </w:rPr>
              <w:t>Current address: Marine Science Institute, Department of Ecology, Evolution, and Marine Biology, University of California, Santa Barabra, CA 93117</w:t>
            </w:r>
          </w:p>
        </w:tc>
      </w:tr>
      <w:tr w:rsidR="00647AF0" w:rsidRPr="0017567B" w14:paraId="6722D90D" w14:textId="77777777" w:rsidTr="003E320E">
        <w:tc>
          <w:tcPr>
            <w:tcW w:w="2538" w:type="dxa"/>
          </w:tcPr>
          <w:p w14:paraId="05CBE2AD" w14:textId="668A635C" w:rsidR="00647AF0" w:rsidRPr="0017567B" w:rsidRDefault="00D60162" w:rsidP="006224DE">
            <w:pPr>
              <w:pStyle w:val="NormalWeb"/>
              <w:contextualSpacing/>
              <w:rPr>
                <w:b/>
                <w:sz w:val="22"/>
                <w:szCs w:val="22"/>
              </w:rPr>
            </w:pPr>
            <w:r>
              <w:rPr>
                <w:b/>
                <w:sz w:val="22"/>
                <w:szCs w:val="22"/>
              </w:rPr>
              <w:t>Email a</w:t>
            </w:r>
            <w:r w:rsidR="00647AF0" w:rsidRPr="0017567B">
              <w:rPr>
                <w:b/>
                <w:sz w:val="22"/>
                <w:szCs w:val="22"/>
              </w:rPr>
              <w:t>ddress</w:t>
            </w:r>
            <w:r w:rsidR="002C2CAD" w:rsidRPr="0017567B">
              <w:rPr>
                <w:b/>
                <w:sz w:val="22"/>
                <w:szCs w:val="22"/>
              </w:rPr>
              <w:t xml:space="preserve"> of </w:t>
            </w:r>
            <w:r>
              <w:rPr>
                <w:b/>
                <w:sz w:val="22"/>
                <w:szCs w:val="22"/>
              </w:rPr>
              <w:t xml:space="preserve">data </w:t>
            </w:r>
            <w:r w:rsidR="006224DE">
              <w:rPr>
                <w:b/>
                <w:sz w:val="22"/>
                <w:szCs w:val="22"/>
              </w:rPr>
              <w:t>author</w:t>
            </w:r>
          </w:p>
        </w:tc>
        <w:tc>
          <w:tcPr>
            <w:tcW w:w="7470" w:type="dxa"/>
          </w:tcPr>
          <w:p w14:paraId="79C3C9D5" w14:textId="33847572" w:rsidR="00647AF0" w:rsidRPr="00D60162" w:rsidRDefault="00115780" w:rsidP="00BE3E9D">
            <w:pPr>
              <w:pStyle w:val="NormalWeb"/>
              <w:contextualSpacing/>
              <w:rPr>
                <w:i/>
                <w:sz w:val="22"/>
                <w:szCs w:val="22"/>
              </w:rPr>
            </w:pPr>
            <w:r>
              <w:rPr>
                <w:i/>
                <w:sz w:val="22"/>
                <w:szCs w:val="22"/>
              </w:rPr>
              <w:t>shutingliu@utexas.edu</w:t>
            </w:r>
          </w:p>
        </w:tc>
      </w:tr>
      <w:tr w:rsidR="00647AF0" w:rsidRPr="0017567B" w14:paraId="4F4B60BB" w14:textId="77777777" w:rsidTr="003E320E">
        <w:tc>
          <w:tcPr>
            <w:tcW w:w="2538" w:type="dxa"/>
          </w:tcPr>
          <w:p w14:paraId="3EEDBE7C" w14:textId="77777777" w:rsidR="00647AF0" w:rsidRPr="0017567B" w:rsidRDefault="002C2CAD" w:rsidP="00BE3E9D">
            <w:pPr>
              <w:pStyle w:val="NormalWeb"/>
              <w:contextualSpacing/>
              <w:rPr>
                <w:b/>
                <w:sz w:val="22"/>
                <w:szCs w:val="22"/>
              </w:rPr>
            </w:pPr>
            <w:r w:rsidRPr="0017567B">
              <w:rPr>
                <w:b/>
                <w:sz w:val="22"/>
                <w:szCs w:val="22"/>
              </w:rPr>
              <w:t>Primary c</w:t>
            </w:r>
            <w:r w:rsidR="00647AF0" w:rsidRPr="0017567B">
              <w:rPr>
                <w:b/>
                <w:sz w:val="22"/>
                <w:szCs w:val="22"/>
              </w:rPr>
              <w:t>ontact</w:t>
            </w:r>
            <w:r w:rsidR="00D60162">
              <w:rPr>
                <w:b/>
                <w:sz w:val="22"/>
                <w:szCs w:val="22"/>
              </w:rPr>
              <w:t xml:space="preserve"> person for dataset</w:t>
            </w:r>
          </w:p>
        </w:tc>
        <w:tc>
          <w:tcPr>
            <w:tcW w:w="7470" w:type="dxa"/>
          </w:tcPr>
          <w:p w14:paraId="346C1360" w14:textId="77777777" w:rsidR="00711671" w:rsidRDefault="00711671" w:rsidP="00711671">
            <w:pPr>
              <w:pStyle w:val="NormalWeb"/>
              <w:contextualSpacing/>
              <w:rPr>
                <w:i/>
                <w:sz w:val="22"/>
                <w:szCs w:val="22"/>
              </w:rPr>
            </w:pPr>
            <w:r>
              <w:rPr>
                <w:i/>
                <w:sz w:val="22"/>
                <w:szCs w:val="22"/>
              </w:rPr>
              <w:t>Shuting Liu</w:t>
            </w:r>
          </w:p>
          <w:p w14:paraId="41B17111" w14:textId="05F573E7" w:rsidR="00647AF0" w:rsidRPr="0017567B" w:rsidRDefault="00647AF0" w:rsidP="006224DE">
            <w:pPr>
              <w:pStyle w:val="NormalWeb"/>
              <w:contextualSpacing/>
              <w:rPr>
                <w:i/>
                <w:sz w:val="22"/>
                <w:szCs w:val="22"/>
              </w:rPr>
            </w:pPr>
          </w:p>
        </w:tc>
      </w:tr>
      <w:tr w:rsidR="00647AF0" w:rsidRPr="0017567B" w14:paraId="2C112934" w14:textId="77777777" w:rsidTr="003E320E">
        <w:tc>
          <w:tcPr>
            <w:tcW w:w="2538" w:type="dxa"/>
          </w:tcPr>
          <w:p w14:paraId="19CAD1AF" w14:textId="77777777" w:rsidR="00647AF0" w:rsidRPr="0017567B" w:rsidRDefault="00647AF0" w:rsidP="00BE3E9D">
            <w:pPr>
              <w:pStyle w:val="NormalWeb"/>
              <w:contextualSpacing/>
              <w:rPr>
                <w:b/>
                <w:sz w:val="22"/>
                <w:szCs w:val="22"/>
              </w:rPr>
            </w:pPr>
            <w:r w:rsidRPr="0017567B">
              <w:rPr>
                <w:b/>
                <w:sz w:val="22"/>
                <w:szCs w:val="22"/>
              </w:rPr>
              <w:t>Position</w:t>
            </w:r>
            <w:r w:rsidR="002C2CAD" w:rsidRPr="0017567B">
              <w:rPr>
                <w:b/>
                <w:sz w:val="22"/>
                <w:szCs w:val="22"/>
              </w:rPr>
              <w:t xml:space="preserve"> of </w:t>
            </w:r>
            <w:r w:rsidR="00D60162">
              <w:rPr>
                <w:b/>
                <w:sz w:val="22"/>
                <w:szCs w:val="22"/>
              </w:rPr>
              <w:t xml:space="preserve">primary </w:t>
            </w:r>
            <w:r w:rsidR="002C2CAD" w:rsidRPr="0017567B">
              <w:rPr>
                <w:b/>
                <w:sz w:val="22"/>
                <w:szCs w:val="22"/>
              </w:rPr>
              <w:t>contact</w:t>
            </w:r>
            <w:r w:rsidR="00D60162">
              <w:rPr>
                <w:b/>
                <w:sz w:val="22"/>
                <w:szCs w:val="22"/>
              </w:rPr>
              <w:t xml:space="preserve"> person</w:t>
            </w:r>
          </w:p>
        </w:tc>
        <w:tc>
          <w:tcPr>
            <w:tcW w:w="7470" w:type="dxa"/>
          </w:tcPr>
          <w:p w14:paraId="14DAE1B2" w14:textId="499E9FFD" w:rsidR="00647AF0" w:rsidRPr="00D60162" w:rsidRDefault="00711671" w:rsidP="006224DE">
            <w:pPr>
              <w:pStyle w:val="NormalWeb"/>
              <w:contextualSpacing/>
              <w:rPr>
                <w:i/>
                <w:sz w:val="22"/>
                <w:szCs w:val="22"/>
              </w:rPr>
            </w:pPr>
            <w:r>
              <w:rPr>
                <w:i/>
                <w:sz w:val="22"/>
                <w:szCs w:val="22"/>
              </w:rPr>
              <w:t>graduate student, current post-doctoral researcher</w:t>
            </w:r>
          </w:p>
        </w:tc>
      </w:tr>
      <w:tr w:rsidR="00647AF0" w:rsidRPr="0017567B" w14:paraId="58F15DF3" w14:textId="77777777" w:rsidTr="003E320E">
        <w:tc>
          <w:tcPr>
            <w:tcW w:w="2538" w:type="dxa"/>
          </w:tcPr>
          <w:p w14:paraId="29668AEE" w14:textId="77777777" w:rsidR="00647AF0" w:rsidRPr="0017567B" w:rsidRDefault="00647AF0" w:rsidP="00BE3E9D">
            <w:pPr>
              <w:pStyle w:val="NormalWeb"/>
              <w:contextualSpacing/>
              <w:rPr>
                <w:b/>
                <w:sz w:val="22"/>
                <w:szCs w:val="22"/>
              </w:rPr>
            </w:pPr>
            <w:r w:rsidRPr="0017567B">
              <w:rPr>
                <w:b/>
                <w:sz w:val="22"/>
                <w:szCs w:val="22"/>
              </w:rPr>
              <w:t>Address</w:t>
            </w:r>
            <w:r w:rsidR="002C2CAD" w:rsidRPr="0017567B">
              <w:rPr>
                <w:b/>
                <w:sz w:val="22"/>
                <w:szCs w:val="22"/>
              </w:rPr>
              <w:t xml:space="preserve"> of </w:t>
            </w:r>
            <w:r w:rsidR="00D60162">
              <w:rPr>
                <w:b/>
                <w:sz w:val="22"/>
                <w:szCs w:val="22"/>
              </w:rPr>
              <w:t xml:space="preserve">primary </w:t>
            </w:r>
            <w:r w:rsidR="002C2CAD" w:rsidRPr="0017567B">
              <w:rPr>
                <w:b/>
                <w:sz w:val="22"/>
                <w:szCs w:val="22"/>
              </w:rPr>
              <w:t>contact</w:t>
            </w:r>
            <w:r w:rsidR="00D60162">
              <w:rPr>
                <w:b/>
                <w:sz w:val="22"/>
                <w:szCs w:val="22"/>
              </w:rPr>
              <w:t xml:space="preserve"> person</w:t>
            </w:r>
          </w:p>
        </w:tc>
        <w:tc>
          <w:tcPr>
            <w:tcW w:w="7470" w:type="dxa"/>
          </w:tcPr>
          <w:p w14:paraId="5DEC9A89" w14:textId="3CBB16D8" w:rsidR="00647AF0" w:rsidRPr="00D60162" w:rsidRDefault="00711671" w:rsidP="00BE3E9D">
            <w:pPr>
              <w:pStyle w:val="NormalWeb"/>
              <w:contextualSpacing/>
              <w:rPr>
                <w:i/>
                <w:sz w:val="22"/>
                <w:szCs w:val="22"/>
              </w:rPr>
            </w:pPr>
            <w:r>
              <w:rPr>
                <w:i/>
                <w:sz w:val="22"/>
                <w:szCs w:val="22"/>
              </w:rPr>
              <w:t>Marine Science Institute, Department of Ecology, Evolution, and Marine Biology, University of California, Santa Barabra, CA 93117</w:t>
            </w:r>
          </w:p>
        </w:tc>
      </w:tr>
      <w:tr w:rsidR="00647AF0" w:rsidRPr="0017567B" w14:paraId="1CECF9A2" w14:textId="77777777" w:rsidTr="003E320E">
        <w:tc>
          <w:tcPr>
            <w:tcW w:w="2538" w:type="dxa"/>
          </w:tcPr>
          <w:p w14:paraId="3EAE077F" w14:textId="77777777" w:rsidR="00647AF0" w:rsidRPr="0017567B" w:rsidRDefault="002C2CAD" w:rsidP="00BE3E9D">
            <w:pPr>
              <w:pStyle w:val="NormalWeb"/>
              <w:contextualSpacing/>
              <w:rPr>
                <w:b/>
                <w:sz w:val="22"/>
                <w:szCs w:val="22"/>
              </w:rPr>
            </w:pPr>
            <w:r w:rsidRPr="0017567B">
              <w:rPr>
                <w:b/>
                <w:sz w:val="22"/>
                <w:szCs w:val="22"/>
              </w:rPr>
              <w:t>Email a</w:t>
            </w:r>
            <w:r w:rsidR="00647AF0" w:rsidRPr="0017567B">
              <w:rPr>
                <w:b/>
                <w:sz w:val="22"/>
                <w:szCs w:val="22"/>
              </w:rPr>
              <w:t>ddress</w:t>
            </w:r>
            <w:r w:rsidRPr="0017567B">
              <w:rPr>
                <w:b/>
                <w:sz w:val="22"/>
                <w:szCs w:val="22"/>
              </w:rPr>
              <w:t xml:space="preserve"> of </w:t>
            </w:r>
            <w:r w:rsidR="00D60162">
              <w:rPr>
                <w:b/>
                <w:sz w:val="22"/>
                <w:szCs w:val="22"/>
              </w:rPr>
              <w:t xml:space="preserve">primary </w:t>
            </w:r>
            <w:r w:rsidRPr="0017567B">
              <w:rPr>
                <w:b/>
                <w:sz w:val="22"/>
                <w:szCs w:val="22"/>
              </w:rPr>
              <w:t>contact</w:t>
            </w:r>
            <w:r w:rsidR="00D60162">
              <w:rPr>
                <w:b/>
                <w:sz w:val="22"/>
                <w:szCs w:val="22"/>
              </w:rPr>
              <w:t xml:space="preserve"> person</w:t>
            </w:r>
          </w:p>
        </w:tc>
        <w:tc>
          <w:tcPr>
            <w:tcW w:w="7470" w:type="dxa"/>
          </w:tcPr>
          <w:p w14:paraId="35627345" w14:textId="3DA36090" w:rsidR="00647AF0" w:rsidRPr="00D60162" w:rsidRDefault="00711671" w:rsidP="00BE3E9D">
            <w:pPr>
              <w:pStyle w:val="NormalWeb"/>
              <w:contextualSpacing/>
              <w:rPr>
                <w:i/>
                <w:sz w:val="22"/>
                <w:szCs w:val="22"/>
              </w:rPr>
            </w:pPr>
            <w:r>
              <w:rPr>
                <w:i/>
                <w:sz w:val="22"/>
                <w:szCs w:val="22"/>
              </w:rPr>
              <w:t>shutingliu@utexas.edu</w:t>
            </w:r>
          </w:p>
        </w:tc>
      </w:tr>
      <w:tr w:rsidR="00647AF0" w:rsidRPr="0017567B" w14:paraId="088E87CC" w14:textId="77777777" w:rsidTr="003E320E">
        <w:tc>
          <w:tcPr>
            <w:tcW w:w="2538" w:type="dxa"/>
          </w:tcPr>
          <w:p w14:paraId="4A316DFA" w14:textId="77777777" w:rsidR="00647AF0" w:rsidRPr="0017567B" w:rsidRDefault="00647AF0" w:rsidP="00BE3E9D">
            <w:pPr>
              <w:pStyle w:val="NormalWeb"/>
              <w:contextualSpacing/>
              <w:rPr>
                <w:b/>
                <w:sz w:val="22"/>
                <w:szCs w:val="22"/>
              </w:rPr>
            </w:pPr>
            <w:r w:rsidRPr="0017567B">
              <w:rPr>
                <w:b/>
                <w:sz w:val="22"/>
                <w:szCs w:val="22"/>
              </w:rPr>
              <w:t>Organization</w:t>
            </w:r>
            <w:r w:rsidR="002C2CAD" w:rsidRPr="0017567B">
              <w:rPr>
                <w:b/>
                <w:sz w:val="22"/>
                <w:szCs w:val="22"/>
              </w:rPr>
              <w:t xml:space="preserve"> associated with the data</w:t>
            </w:r>
          </w:p>
        </w:tc>
        <w:tc>
          <w:tcPr>
            <w:tcW w:w="7470" w:type="dxa"/>
          </w:tcPr>
          <w:p w14:paraId="6554FD83" w14:textId="51EDA4A9" w:rsidR="00647AF0" w:rsidRPr="00D60162" w:rsidRDefault="00711671" w:rsidP="00B347EA">
            <w:pPr>
              <w:pStyle w:val="NormalWeb"/>
              <w:contextualSpacing/>
              <w:rPr>
                <w:i/>
                <w:sz w:val="22"/>
                <w:szCs w:val="22"/>
              </w:rPr>
            </w:pPr>
            <w:r>
              <w:rPr>
                <w:i/>
                <w:sz w:val="22"/>
                <w:szCs w:val="22"/>
              </w:rPr>
              <w:t>Marine Science Institute, The University of Texas at Austin, Port Aransas, TX 78373</w:t>
            </w:r>
          </w:p>
        </w:tc>
      </w:tr>
      <w:tr w:rsidR="002C2CAD" w:rsidRPr="0017567B" w14:paraId="42C90174" w14:textId="77777777" w:rsidTr="003E320E">
        <w:tc>
          <w:tcPr>
            <w:tcW w:w="2538" w:type="dxa"/>
          </w:tcPr>
          <w:p w14:paraId="5EFC6497" w14:textId="77777777" w:rsidR="00647AF0" w:rsidRPr="0017567B" w:rsidRDefault="002C2CAD" w:rsidP="00BE3E9D">
            <w:pPr>
              <w:pStyle w:val="NormalWeb"/>
              <w:contextualSpacing/>
              <w:rPr>
                <w:b/>
                <w:sz w:val="22"/>
                <w:szCs w:val="22"/>
              </w:rPr>
            </w:pPr>
            <w:r w:rsidRPr="0017567B">
              <w:rPr>
                <w:b/>
                <w:sz w:val="22"/>
                <w:szCs w:val="22"/>
              </w:rPr>
              <w:t>Usage Rights</w:t>
            </w:r>
          </w:p>
        </w:tc>
        <w:tc>
          <w:tcPr>
            <w:tcW w:w="7470" w:type="dxa"/>
          </w:tcPr>
          <w:p w14:paraId="13ABD9A3" w14:textId="63782B7C" w:rsidR="00647AF0" w:rsidRPr="0017567B" w:rsidRDefault="00711671" w:rsidP="00711671">
            <w:pPr>
              <w:pStyle w:val="NormalWeb"/>
              <w:contextualSpacing/>
              <w:rPr>
                <w:i/>
                <w:sz w:val="22"/>
                <w:szCs w:val="22"/>
              </w:rPr>
            </w:pPr>
            <w:r>
              <w:rPr>
                <w:i/>
                <w:sz w:val="22"/>
                <w:szCs w:val="22"/>
              </w:rPr>
              <w:t xml:space="preserve"> </w:t>
            </w:r>
            <w:r w:rsidR="002C2CAD" w:rsidRPr="0017567B">
              <w:rPr>
                <w:i/>
                <w:sz w:val="22"/>
                <w:szCs w:val="22"/>
              </w:rPr>
              <w:t>publicly available and free to use</w:t>
            </w:r>
          </w:p>
        </w:tc>
      </w:tr>
      <w:tr w:rsidR="00647AF0" w:rsidRPr="0017567B" w14:paraId="76BC7FE3" w14:textId="77777777" w:rsidTr="003E320E">
        <w:tc>
          <w:tcPr>
            <w:tcW w:w="2538" w:type="dxa"/>
          </w:tcPr>
          <w:p w14:paraId="3449A4AB" w14:textId="77777777" w:rsidR="00647AF0" w:rsidRPr="0017567B" w:rsidRDefault="00647AF0" w:rsidP="002C2CAD">
            <w:pPr>
              <w:pStyle w:val="NormalWeb"/>
              <w:contextualSpacing/>
              <w:rPr>
                <w:b/>
                <w:sz w:val="22"/>
                <w:szCs w:val="22"/>
              </w:rPr>
            </w:pPr>
            <w:r w:rsidRPr="0017567B">
              <w:rPr>
                <w:b/>
                <w:sz w:val="22"/>
                <w:szCs w:val="22"/>
              </w:rPr>
              <w:t xml:space="preserve">Geographic </w:t>
            </w:r>
            <w:r w:rsidR="003E320E">
              <w:rPr>
                <w:b/>
                <w:sz w:val="22"/>
                <w:szCs w:val="22"/>
              </w:rPr>
              <w:t>r</w:t>
            </w:r>
            <w:r w:rsidR="002C2CAD" w:rsidRPr="0017567B">
              <w:rPr>
                <w:b/>
                <w:sz w:val="22"/>
                <w:szCs w:val="22"/>
              </w:rPr>
              <w:t>egion</w:t>
            </w:r>
          </w:p>
        </w:tc>
        <w:tc>
          <w:tcPr>
            <w:tcW w:w="7470" w:type="dxa"/>
          </w:tcPr>
          <w:p w14:paraId="083F12AF" w14:textId="45C494FE" w:rsidR="00647AF0" w:rsidRPr="0017567B" w:rsidRDefault="00711671" w:rsidP="00711671">
            <w:pPr>
              <w:pStyle w:val="NormalWeb"/>
              <w:contextualSpacing/>
              <w:rPr>
                <w:i/>
                <w:sz w:val="22"/>
                <w:szCs w:val="22"/>
              </w:rPr>
            </w:pPr>
            <w:r>
              <w:rPr>
                <w:i/>
                <w:sz w:val="22"/>
                <w:szCs w:val="22"/>
              </w:rPr>
              <w:t>Port Aransas, TX, US; Gulf of Mexico; Atlantic Ocean</w:t>
            </w:r>
          </w:p>
        </w:tc>
      </w:tr>
      <w:tr w:rsidR="00647AF0" w:rsidRPr="0017567B" w14:paraId="25C1AEC8" w14:textId="77777777" w:rsidTr="003E320E">
        <w:tc>
          <w:tcPr>
            <w:tcW w:w="2538" w:type="dxa"/>
          </w:tcPr>
          <w:p w14:paraId="38833023" w14:textId="77777777" w:rsidR="00647AF0" w:rsidRPr="0017567B" w:rsidRDefault="002C2CAD" w:rsidP="002C2CAD">
            <w:pPr>
              <w:pStyle w:val="NormalWeb"/>
              <w:contextualSpacing/>
              <w:rPr>
                <w:b/>
                <w:sz w:val="22"/>
                <w:szCs w:val="22"/>
              </w:rPr>
            </w:pPr>
            <w:r w:rsidRPr="0017567B">
              <w:rPr>
                <w:b/>
                <w:sz w:val="22"/>
                <w:szCs w:val="22"/>
              </w:rPr>
              <w:t xml:space="preserve">Geographic coverage </w:t>
            </w:r>
          </w:p>
        </w:tc>
        <w:tc>
          <w:tcPr>
            <w:tcW w:w="7470" w:type="dxa"/>
          </w:tcPr>
          <w:p w14:paraId="1BDA6E2F" w14:textId="6A861A9D" w:rsidR="00647AF0" w:rsidRPr="0017567B" w:rsidRDefault="00D75D0C" w:rsidP="00BE3E9D">
            <w:pPr>
              <w:pStyle w:val="NormalWeb"/>
              <w:contextualSpacing/>
              <w:rPr>
                <w:i/>
                <w:sz w:val="22"/>
                <w:szCs w:val="22"/>
              </w:rPr>
            </w:pPr>
            <w:r>
              <w:rPr>
                <w:i/>
                <w:sz w:val="22"/>
                <w:szCs w:val="22"/>
              </w:rPr>
              <w:t>26-32°N, 78-98°W</w:t>
            </w:r>
          </w:p>
        </w:tc>
      </w:tr>
      <w:tr w:rsidR="002C2CAD" w:rsidRPr="0017567B" w14:paraId="5646CABD" w14:textId="77777777" w:rsidTr="003E320E">
        <w:tc>
          <w:tcPr>
            <w:tcW w:w="2538" w:type="dxa"/>
          </w:tcPr>
          <w:p w14:paraId="125B00DB" w14:textId="77777777" w:rsidR="002C2CAD" w:rsidRPr="0017567B" w:rsidRDefault="00155789" w:rsidP="00BE3E9D">
            <w:pPr>
              <w:pStyle w:val="NormalWeb"/>
              <w:contextualSpacing/>
              <w:rPr>
                <w:b/>
                <w:sz w:val="22"/>
                <w:szCs w:val="22"/>
              </w:rPr>
            </w:pPr>
            <w:r w:rsidRPr="0017567B">
              <w:rPr>
                <w:b/>
                <w:sz w:val="22"/>
                <w:szCs w:val="22"/>
              </w:rPr>
              <w:t xml:space="preserve">Temporal coverage - </w:t>
            </w:r>
            <w:r w:rsidR="002C2CAD" w:rsidRPr="0017567B">
              <w:rPr>
                <w:b/>
                <w:sz w:val="22"/>
                <w:szCs w:val="22"/>
              </w:rPr>
              <w:t>Begin date</w:t>
            </w:r>
          </w:p>
        </w:tc>
        <w:tc>
          <w:tcPr>
            <w:tcW w:w="7470" w:type="dxa"/>
          </w:tcPr>
          <w:p w14:paraId="483C8F00" w14:textId="69CC7A95" w:rsidR="002C2CAD" w:rsidRPr="00D60162" w:rsidRDefault="00D75D0C" w:rsidP="00D60162">
            <w:pPr>
              <w:pStyle w:val="NormalWeb"/>
              <w:contextualSpacing/>
              <w:rPr>
                <w:i/>
                <w:sz w:val="22"/>
                <w:szCs w:val="22"/>
              </w:rPr>
            </w:pPr>
            <w:r>
              <w:rPr>
                <w:i/>
                <w:sz w:val="22"/>
                <w:szCs w:val="22"/>
              </w:rPr>
              <w:t>Oct 2011</w:t>
            </w:r>
          </w:p>
        </w:tc>
      </w:tr>
      <w:tr w:rsidR="00D60162" w:rsidRPr="0017567B" w14:paraId="62736E32" w14:textId="77777777" w:rsidTr="003E320E">
        <w:tc>
          <w:tcPr>
            <w:tcW w:w="2538" w:type="dxa"/>
          </w:tcPr>
          <w:p w14:paraId="74DCA965" w14:textId="77777777" w:rsidR="00D60162" w:rsidRPr="0017567B" w:rsidRDefault="00D60162" w:rsidP="00D60162">
            <w:pPr>
              <w:pStyle w:val="NormalWeb"/>
              <w:contextualSpacing/>
              <w:rPr>
                <w:b/>
                <w:sz w:val="22"/>
                <w:szCs w:val="22"/>
              </w:rPr>
            </w:pPr>
            <w:r w:rsidRPr="0017567B">
              <w:rPr>
                <w:b/>
                <w:sz w:val="22"/>
                <w:szCs w:val="22"/>
              </w:rPr>
              <w:t>Temporal coverage - End date</w:t>
            </w:r>
          </w:p>
        </w:tc>
        <w:tc>
          <w:tcPr>
            <w:tcW w:w="7470" w:type="dxa"/>
          </w:tcPr>
          <w:p w14:paraId="505B87BE" w14:textId="3FDA4105" w:rsidR="00D60162" w:rsidRPr="00D60162" w:rsidRDefault="00D75D0C" w:rsidP="00D60162">
            <w:pPr>
              <w:pStyle w:val="NormalWeb"/>
              <w:contextualSpacing/>
              <w:rPr>
                <w:i/>
                <w:sz w:val="22"/>
                <w:szCs w:val="22"/>
              </w:rPr>
            </w:pPr>
            <w:r>
              <w:rPr>
                <w:i/>
                <w:sz w:val="22"/>
                <w:szCs w:val="22"/>
              </w:rPr>
              <w:t>Apr 2015</w:t>
            </w:r>
          </w:p>
        </w:tc>
      </w:tr>
      <w:tr w:rsidR="00D60162" w:rsidRPr="0017567B" w14:paraId="725F4D10" w14:textId="77777777" w:rsidTr="003E320E">
        <w:tc>
          <w:tcPr>
            <w:tcW w:w="2538" w:type="dxa"/>
          </w:tcPr>
          <w:p w14:paraId="01575CC5" w14:textId="77777777" w:rsidR="00D60162" w:rsidRPr="0017567B" w:rsidRDefault="00D60162" w:rsidP="003E320E">
            <w:pPr>
              <w:spacing w:after="0" w:line="240" w:lineRule="auto"/>
              <w:contextualSpacing/>
              <w:rPr>
                <w:rFonts w:ascii="Times New Roman" w:hAnsi="Times New Roman"/>
                <w:b/>
              </w:rPr>
            </w:pPr>
            <w:r w:rsidRPr="0017567B">
              <w:rPr>
                <w:rFonts w:ascii="Times New Roman" w:hAnsi="Times New Roman"/>
                <w:b/>
              </w:rPr>
              <w:t xml:space="preserve">General </w:t>
            </w:r>
            <w:r w:rsidR="003E320E">
              <w:rPr>
                <w:rFonts w:ascii="Times New Roman" w:hAnsi="Times New Roman"/>
                <w:b/>
              </w:rPr>
              <w:t>study d</w:t>
            </w:r>
            <w:r w:rsidRPr="0017567B">
              <w:rPr>
                <w:rFonts w:ascii="Times New Roman" w:hAnsi="Times New Roman"/>
                <w:b/>
              </w:rPr>
              <w:t>esign</w:t>
            </w:r>
          </w:p>
        </w:tc>
        <w:tc>
          <w:tcPr>
            <w:tcW w:w="7470" w:type="dxa"/>
          </w:tcPr>
          <w:p w14:paraId="0F8E9490" w14:textId="4584AAFD" w:rsidR="00D60162" w:rsidRDefault="00D75D0C" w:rsidP="003E320E">
            <w:pPr>
              <w:spacing w:after="0" w:line="240" w:lineRule="auto"/>
              <w:contextualSpacing/>
              <w:rPr>
                <w:rFonts w:ascii="Times New Roman" w:hAnsi="Times New Roman"/>
                <w:i/>
              </w:rPr>
            </w:pPr>
            <w:r>
              <w:rPr>
                <w:rFonts w:ascii="Times New Roman" w:hAnsi="Times New Roman"/>
                <w:i/>
              </w:rPr>
              <w:t>Ship channel in Port Aransas, TX, located in the western Gulf of Mexico; and coastal stations in the northern Gulf of Mexico or N. Atlantic Ocean</w:t>
            </w:r>
          </w:p>
          <w:p w14:paraId="6BE6051E" w14:textId="77777777" w:rsidR="00B347EA" w:rsidRPr="00D60162" w:rsidRDefault="00B347EA" w:rsidP="003E320E">
            <w:pPr>
              <w:spacing w:after="0" w:line="240" w:lineRule="auto"/>
              <w:contextualSpacing/>
              <w:rPr>
                <w:rFonts w:ascii="Times New Roman" w:hAnsi="Times New Roman"/>
                <w:i/>
              </w:rPr>
            </w:pPr>
          </w:p>
        </w:tc>
      </w:tr>
      <w:tr w:rsidR="00D60162" w:rsidRPr="0017567B" w14:paraId="0065F9AE" w14:textId="77777777" w:rsidTr="003E320E">
        <w:tc>
          <w:tcPr>
            <w:tcW w:w="2538" w:type="dxa"/>
          </w:tcPr>
          <w:p w14:paraId="4D1C5C77" w14:textId="77777777" w:rsidR="00D60162" w:rsidRPr="0017567B" w:rsidRDefault="00D60162" w:rsidP="003E320E">
            <w:pPr>
              <w:spacing w:after="0" w:line="240" w:lineRule="auto"/>
              <w:contextualSpacing/>
              <w:rPr>
                <w:rFonts w:ascii="Times New Roman" w:hAnsi="Times New Roman"/>
              </w:rPr>
            </w:pPr>
            <w:r w:rsidRPr="0017567B">
              <w:rPr>
                <w:rFonts w:ascii="Times New Roman" w:hAnsi="Times New Roman"/>
                <w:b/>
              </w:rPr>
              <w:t xml:space="preserve">Methods </w:t>
            </w:r>
            <w:r w:rsidR="003E320E">
              <w:rPr>
                <w:rFonts w:ascii="Times New Roman" w:hAnsi="Times New Roman"/>
                <w:b/>
              </w:rPr>
              <w:t>d</w:t>
            </w:r>
            <w:r w:rsidRPr="0017567B">
              <w:rPr>
                <w:rFonts w:ascii="Times New Roman" w:hAnsi="Times New Roman"/>
                <w:b/>
              </w:rPr>
              <w:t>escription</w:t>
            </w:r>
          </w:p>
        </w:tc>
        <w:tc>
          <w:tcPr>
            <w:tcW w:w="7470" w:type="dxa"/>
          </w:tcPr>
          <w:p w14:paraId="25E5EA9B" w14:textId="7EB09A91" w:rsidR="00B347EA" w:rsidRPr="0017567B" w:rsidRDefault="00D75D0C" w:rsidP="00D60162">
            <w:pPr>
              <w:spacing w:after="0" w:line="240" w:lineRule="auto"/>
              <w:contextualSpacing/>
              <w:rPr>
                <w:rFonts w:ascii="Times New Roman" w:hAnsi="Times New Roman"/>
                <w:i/>
              </w:rPr>
            </w:pPr>
            <w:r>
              <w:rPr>
                <w:rFonts w:ascii="Times New Roman" w:hAnsi="Times New Roman"/>
                <w:i/>
              </w:rPr>
              <w:t xml:space="preserve">To study peptide hydrolysis in the seawater, we collected seawater from different coastal stations, and incubate peptide in seawater under dark. </w:t>
            </w:r>
            <w:r w:rsidR="00741FA8" w:rsidRPr="00741FA8">
              <w:rPr>
                <w:rFonts w:ascii="Times New Roman" w:hAnsi="Times New Roman"/>
                <w:i/>
              </w:rPr>
              <w:t xml:space="preserve">Aliquots were filtered through 0.2 </w:t>
            </w:r>
            <w:r w:rsidR="00741FA8" w:rsidRPr="00741FA8">
              <w:rPr>
                <w:rFonts w:ascii="Symbol" w:hAnsi="Symbol"/>
                <w:i/>
              </w:rPr>
              <w:t></w:t>
            </w:r>
            <w:r w:rsidR="00741FA8" w:rsidRPr="00741FA8">
              <w:rPr>
                <w:rFonts w:ascii="Times New Roman" w:hAnsi="Times New Roman"/>
                <w:i/>
              </w:rPr>
              <w:t xml:space="preserve">m filters at various time intervals during incubations for peptides and amino acid analyses. </w:t>
            </w:r>
          </w:p>
        </w:tc>
      </w:tr>
      <w:tr w:rsidR="00D60162" w:rsidRPr="0017567B" w14:paraId="3D845BAE" w14:textId="77777777" w:rsidTr="003E320E">
        <w:tc>
          <w:tcPr>
            <w:tcW w:w="2538" w:type="dxa"/>
          </w:tcPr>
          <w:p w14:paraId="6328329E" w14:textId="77777777" w:rsidR="00D60162" w:rsidRPr="0017567B" w:rsidRDefault="00F13A69" w:rsidP="00830709">
            <w:pPr>
              <w:spacing w:after="0" w:line="240" w:lineRule="auto"/>
              <w:contextualSpacing/>
              <w:rPr>
                <w:rFonts w:ascii="Times New Roman" w:hAnsi="Times New Roman"/>
                <w:b/>
              </w:rPr>
            </w:pPr>
            <w:r>
              <w:rPr>
                <w:rFonts w:ascii="Times New Roman" w:hAnsi="Times New Roman"/>
                <w:b/>
              </w:rPr>
              <w:t xml:space="preserve">Laboratory, field, or other </w:t>
            </w:r>
            <w:r w:rsidR="00CE0690">
              <w:rPr>
                <w:rFonts w:ascii="Times New Roman" w:hAnsi="Times New Roman"/>
                <w:b/>
              </w:rPr>
              <w:t>analytical methods</w:t>
            </w:r>
          </w:p>
        </w:tc>
        <w:tc>
          <w:tcPr>
            <w:tcW w:w="7470" w:type="dxa"/>
          </w:tcPr>
          <w:p w14:paraId="41735CA9" w14:textId="77777777" w:rsidR="00741FA8" w:rsidRPr="00741FA8" w:rsidRDefault="00741FA8" w:rsidP="00741FA8">
            <w:pPr>
              <w:widowControl w:val="0"/>
              <w:spacing w:line="240" w:lineRule="auto"/>
              <w:ind w:left="-60"/>
              <w:rPr>
                <w:rFonts w:ascii="Times New Roman" w:hAnsi="Times New Roman"/>
                <w:i/>
              </w:rPr>
            </w:pPr>
            <w:r w:rsidRPr="00741FA8">
              <w:rPr>
                <w:rFonts w:ascii="Times New Roman" w:hAnsi="Times New Roman"/>
                <w:i/>
              </w:rPr>
              <w:t>AVFA and the hydrolyzed fragments were measured with either high performance liquid chromatography (HPLC, Shimadzu Prominence) equipped with a photo diode array detector or HPLC-mass spectrometry. Amino acids were analyzed by HPLC after o-phthaldialdehyde (OPA) derivatization.</w:t>
            </w:r>
          </w:p>
          <w:p w14:paraId="182AD043" w14:textId="01B6920B" w:rsidR="00D60162" w:rsidRPr="00F64512" w:rsidRDefault="00741FA8" w:rsidP="00741FA8">
            <w:pPr>
              <w:widowControl w:val="0"/>
              <w:spacing w:line="240" w:lineRule="auto"/>
              <w:ind w:left="-60"/>
              <w:rPr>
                <w:rFonts w:ascii="Times New Roman" w:hAnsi="Times New Roman"/>
                <w:i/>
              </w:rPr>
            </w:pPr>
            <w:r w:rsidRPr="00741FA8">
              <w:rPr>
                <w:rFonts w:ascii="Times New Roman" w:hAnsi="Times New Roman"/>
                <w:i/>
              </w:rPr>
              <w:t xml:space="preserve">To estimate the degree of T0 hydrolysis, we summarized the concentration </w:t>
            </w:r>
            <w:r w:rsidRPr="00741FA8">
              <w:rPr>
                <w:rFonts w:ascii="Times New Roman" w:hAnsi="Times New Roman"/>
                <w:i/>
              </w:rPr>
              <w:lastRenderedPageBreak/>
              <w:t xml:space="preserve">percentage of hydrolysis products (peptide fragments and amino acids) at T0 with </w:t>
            </w:r>
            <w:bookmarkStart w:id="0" w:name="_GoBack"/>
            <w:bookmarkEnd w:id="0"/>
            <w:r w:rsidRPr="00741FA8">
              <w:rPr>
                <w:rFonts w:ascii="Times New Roman" w:hAnsi="Times New Roman"/>
                <w:i/>
              </w:rPr>
              <w:t>respect to amended AVFA. As diverse peptide fragments and amino acids were produced during peptide hydrolysis, we use all fragments containing a respective identical amino acid for mass balance calculations. For example, we use all hydrolysis fragments of AVFA with amino acid F, including AVF, VFA, VF, FA, and F to calculate the percent of hydrolysis.</w:t>
            </w:r>
          </w:p>
        </w:tc>
      </w:tr>
      <w:tr w:rsidR="0002394C" w:rsidRPr="00DD51B1" w14:paraId="37F6FE32" w14:textId="77777777" w:rsidTr="00DD51B1">
        <w:trPr>
          <w:cantSplit/>
        </w:trPr>
        <w:tc>
          <w:tcPr>
            <w:tcW w:w="2538" w:type="dxa"/>
          </w:tcPr>
          <w:p w14:paraId="19BDE4AD" w14:textId="77777777" w:rsidR="0002394C" w:rsidRPr="00DD51B1" w:rsidRDefault="0002394C" w:rsidP="00830709">
            <w:pPr>
              <w:spacing w:after="0" w:line="240" w:lineRule="auto"/>
              <w:contextualSpacing/>
              <w:rPr>
                <w:rFonts w:ascii="Times New Roman" w:hAnsi="Times New Roman"/>
              </w:rPr>
            </w:pPr>
            <w:r>
              <w:rPr>
                <w:rFonts w:ascii="Times New Roman" w:hAnsi="Times New Roman"/>
                <w:b/>
              </w:rPr>
              <w:lastRenderedPageBreak/>
              <w:t>Quality c</w:t>
            </w:r>
            <w:r w:rsidRPr="0017567B">
              <w:rPr>
                <w:rFonts w:ascii="Times New Roman" w:hAnsi="Times New Roman"/>
                <w:b/>
              </w:rPr>
              <w:t>ontrol</w:t>
            </w:r>
          </w:p>
        </w:tc>
        <w:tc>
          <w:tcPr>
            <w:tcW w:w="7470" w:type="dxa"/>
          </w:tcPr>
          <w:p w14:paraId="24FA78BF" w14:textId="150780FF" w:rsidR="0002394C" w:rsidRPr="00DD51B1" w:rsidRDefault="003D32AF" w:rsidP="00830709">
            <w:pPr>
              <w:widowControl w:val="0"/>
              <w:spacing w:line="240" w:lineRule="auto"/>
              <w:ind w:left="-60"/>
              <w:rPr>
                <w:rFonts w:ascii="Times New Roman" w:hAnsi="Times New Roman"/>
                <w:i/>
              </w:rPr>
            </w:pPr>
            <w:r>
              <w:rPr>
                <w:rFonts w:ascii="Times New Roman" w:hAnsi="Times New Roman"/>
                <w:i/>
              </w:rPr>
              <w:t>Duplicate samples were analyzed to make sure reproducibility. Incubations were conducted in 34 cases at different sites and different seasons to generalize pattern.</w:t>
            </w:r>
          </w:p>
        </w:tc>
      </w:tr>
      <w:tr w:rsidR="0002394C" w:rsidRPr="0017567B" w14:paraId="188C4E3C" w14:textId="77777777" w:rsidTr="003E320E">
        <w:tc>
          <w:tcPr>
            <w:tcW w:w="2538" w:type="dxa"/>
          </w:tcPr>
          <w:p w14:paraId="19829098" w14:textId="77777777" w:rsidR="0002394C" w:rsidRPr="0017567B" w:rsidRDefault="0002394C" w:rsidP="00D60162">
            <w:pPr>
              <w:spacing w:after="0" w:line="240" w:lineRule="auto"/>
              <w:contextualSpacing/>
              <w:rPr>
                <w:rFonts w:ascii="Times New Roman" w:hAnsi="Times New Roman"/>
                <w:b/>
              </w:rPr>
            </w:pPr>
            <w:r>
              <w:rPr>
                <w:rFonts w:ascii="Times New Roman" w:hAnsi="Times New Roman"/>
                <w:b/>
              </w:rPr>
              <w:t>Additional information</w:t>
            </w:r>
          </w:p>
        </w:tc>
        <w:tc>
          <w:tcPr>
            <w:tcW w:w="7470" w:type="dxa"/>
          </w:tcPr>
          <w:p w14:paraId="40F1D52F" w14:textId="1B16A506" w:rsidR="0002394C" w:rsidRPr="00F64512" w:rsidRDefault="003D32AF" w:rsidP="00D60162">
            <w:pPr>
              <w:spacing w:after="0" w:line="240" w:lineRule="auto"/>
              <w:contextualSpacing/>
              <w:rPr>
                <w:rFonts w:ascii="Times New Roman" w:hAnsi="Times New Roman"/>
                <w:i/>
              </w:rPr>
            </w:pPr>
            <w:r>
              <w:rPr>
                <w:rFonts w:ascii="Times New Roman" w:hAnsi="Times New Roman"/>
                <w:i/>
              </w:rPr>
              <w:t>Datasets were mostly plot in Sigmaplot.</w:t>
            </w:r>
          </w:p>
        </w:tc>
      </w:tr>
    </w:tbl>
    <w:p w14:paraId="59A20553" w14:textId="77777777" w:rsidR="008A5C3C" w:rsidRDefault="008A5C3C" w:rsidP="00E030C6">
      <w:pPr>
        <w:spacing w:line="240" w:lineRule="auto"/>
        <w:rPr>
          <w:rFonts w:ascii="Times New Roman" w:hAnsi="Times New Roman"/>
          <w:b/>
        </w:rPr>
      </w:pPr>
    </w:p>
    <w:p w14:paraId="37B31D77" w14:textId="77777777" w:rsidR="00D07006" w:rsidRDefault="00E030C6" w:rsidP="00E030C6">
      <w:pPr>
        <w:spacing w:line="240" w:lineRule="auto"/>
        <w:rPr>
          <w:rFonts w:ascii="Times New Roman" w:hAnsi="Times New Roman"/>
        </w:rPr>
      </w:pPr>
      <w:r w:rsidRPr="0017567B">
        <w:rPr>
          <w:rFonts w:ascii="Times New Roman" w:hAnsi="Times New Roman"/>
          <w:b/>
        </w:rPr>
        <w:t>Table 2.</w:t>
      </w:r>
      <w:r w:rsidRPr="0017567B">
        <w:rPr>
          <w:rFonts w:ascii="Times New Roman" w:hAnsi="Times New Roman"/>
        </w:rPr>
        <w:t xml:space="preserve"> Description of the </w:t>
      </w:r>
      <w:r w:rsidR="00F64512">
        <w:rPr>
          <w:rFonts w:ascii="Times New Roman" w:hAnsi="Times New Roman"/>
        </w:rPr>
        <w:t xml:space="preserve">variables (i.e., columns) in </w:t>
      </w:r>
      <w:r w:rsidR="008A5C3C">
        <w:rPr>
          <w:rFonts w:ascii="Times New Roman" w:hAnsi="Times New Roman"/>
        </w:rPr>
        <w:t>EACH</w:t>
      </w:r>
      <w:r w:rsidR="00F64512">
        <w:rPr>
          <w:rFonts w:ascii="Times New Roman" w:hAnsi="Times New Roman"/>
        </w:rPr>
        <w:t xml:space="preserve"> dataset in sufficient detail for another user to understand and use the data. If there are 10 variables (i.e., columns) in the dataset, then there should be 10 rows in this column that describe each column.</w:t>
      </w:r>
    </w:p>
    <w:p w14:paraId="6D7E2FAD" w14:textId="3A9447B7" w:rsidR="008A5C3C" w:rsidRPr="0017567B" w:rsidRDefault="008A5C3C" w:rsidP="00E030C6">
      <w:pPr>
        <w:spacing w:line="240" w:lineRule="auto"/>
        <w:rPr>
          <w:rFonts w:ascii="Times New Roman" w:hAnsi="Times New Roman"/>
        </w:rPr>
      </w:pPr>
      <w:r>
        <w:rPr>
          <w:rFonts w:ascii="Times New Roman" w:hAnsi="Times New Roman"/>
        </w:rPr>
        <w:t>Dataset filename: _______</w:t>
      </w:r>
      <w:r w:rsidR="000E36BD">
        <w:rPr>
          <w:rFonts w:ascii="Times New Roman" w:hAnsi="Times New Roman"/>
        </w:rPr>
        <w:t>map</w:t>
      </w:r>
      <w:r w:rsidR="00524E4F">
        <w:rPr>
          <w:rFonts w:ascii="Times New Roman" w:hAnsi="Times New Roman"/>
        </w:rPr>
        <w:t>.m</w:t>
      </w:r>
      <w:r>
        <w:rPr>
          <w:rFonts w:ascii="Times New Roman" w:hAnsi="Times New Roman"/>
        </w:rPr>
        <w:t>____________</w:t>
      </w:r>
    </w:p>
    <w:tbl>
      <w:tblPr>
        <w:tblStyle w:val="TableGrid"/>
        <w:tblW w:w="8928" w:type="dxa"/>
        <w:tblInd w:w="378" w:type="dxa"/>
        <w:tblLook w:val="04A0" w:firstRow="1" w:lastRow="0" w:firstColumn="1" w:lastColumn="0" w:noHBand="0" w:noVBand="1"/>
      </w:tblPr>
      <w:tblGrid>
        <w:gridCol w:w="2088"/>
        <w:gridCol w:w="4950"/>
        <w:gridCol w:w="1890"/>
      </w:tblGrid>
      <w:tr w:rsidR="00F64512" w:rsidRPr="0017567B" w14:paraId="7E5DEDFE" w14:textId="77777777" w:rsidTr="0040717C">
        <w:trPr>
          <w:trHeight w:val="315"/>
        </w:trPr>
        <w:tc>
          <w:tcPr>
            <w:tcW w:w="2088" w:type="dxa"/>
            <w:noWrap/>
            <w:hideMark/>
          </w:tcPr>
          <w:p w14:paraId="1CF7EAB3" w14:textId="77777777" w:rsidR="00F64512" w:rsidRPr="0017567B" w:rsidRDefault="00F64512" w:rsidP="00C705B7">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6DF38966" w14:textId="77777777" w:rsidR="00F64512" w:rsidRPr="0017567B" w:rsidRDefault="00F64512" w:rsidP="00C705B7">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32EB0CFC" w14:textId="77777777" w:rsidR="00F64512" w:rsidRPr="0017567B" w:rsidRDefault="00F64512" w:rsidP="00C705B7">
            <w:pPr>
              <w:spacing w:after="0" w:line="240" w:lineRule="auto"/>
              <w:rPr>
                <w:rFonts w:ascii="Times New Roman" w:hAnsi="Times New Roman"/>
                <w:b/>
                <w:bCs/>
              </w:rPr>
            </w:pPr>
            <w:r w:rsidRPr="0017567B">
              <w:rPr>
                <w:rFonts w:ascii="Times New Roman" w:hAnsi="Times New Roman"/>
                <w:b/>
                <w:bCs/>
              </w:rPr>
              <w:t>Units</w:t>
            </w:r>
          </w:p>
        </w:tc>
      </w:tr>
      <w:tr w:rsidR="00F64512" w:rsidRPr="0017567B" w14:paraId="2D53912A" w14:textId="77777777" w:rsidTr="0040717C">
        <w:trPr>
          <w:trHeight w:val="305"/>
        </w:trPr>
        <w:tc>
          <w:tcPr>
            <w:tcW w:w="2088" w:type="dxa"/>
            <w:noWrap/>
          </w:tcPr>
          <w:p w14:paraId="7480304B" w14:textId="1BC7481D" w:rsidR="00F64512" w:rsidRPr="0017567B" w:rsidRDefault="00524E4F" w:rsidP="00F64512">
            <w:pPr>
              <w:spacing w:after="0" w:line="240" w:lineRule="auto"/>
              <w:rPr>
                <w:rFonts w:ascii="Times New Roman" w:hAnsi="Times New Roman"/>
                <w:i/>
                <w:sz w:val="20"/>
              </w:rPr>
            </w:pPr>
            <w:r>
              <w:rPr>
                <w:rFonts w:ascii="Times New Roman" w:hAnsi="Times New Roman"/>
                <w:i/>
                <w:sz w:val="20"/>
              </w:rPr>
              <w:t>coordinates</w:t>
            </w:r>
          </w:p>
        </w:tc>
        <w:tc>
          <w:tcPr>
            <w:tcW w:w="4950" w:type="dxa"/>
          </w:tcPr>
          <w:p w14:paraId="74C9935F" w14:textId="08696892" w:rsidR="00F64512" w:rsidRPr="0017567B" w:rsidRDefault="00524E4F" w:rsidP="00F64512">
            <w:pPr>
              <w:spacing w:after="0" w:line="240" w:lineRule="auto"/>
              <w:rPr>
                <w:rFonts w:ascii="Times New Roman" w:hAnsi="Times New Roman"/>
                <w:i/>
                <w:sz w:val="20"/>
              </w:rPr>
            </w:pPr>
            <w:r>
              <w:rPr>
                <w:rFonts w:ascii="Times New Roman" w:hAnsi="Times New Roman"/>
                <w:i/>
                <w:sz w:val="20"/>
              </w:rPr>
              <w:t>Coordinates for map generation were included in the matlab code.</w:t>
            </w:r>
          </w:p>
        </w:tc>
        <w:tc>
          <w:tcPr>
            <w:tcW w:w="1890" w:type="dxa"/>
          </w:tcPr>
          <w:p w14:paraId="74279387" w14:textId="7C5095EB" w:rsidR="00F64512" w:rsidRPr="0017567B" w:rsidRDefault="00524E4F" w:rsidP="00F64512">
            <w:pPr>
              <w:spacing w:after="0" w:line="240" w:lineRule="auto"/>
              <w:rPr>
                <w:rFonts w:ascii="Times New Roman" w:hAnsi="Times New Roman"/>
                <w:i/>
                <w:sz w:val="20"/>
              </w:rPr>
            </w:pPr>
            <w:r>
              <w:rPr>
                <w:rFonts w:ascii="Times New Roman" w:hAnsi="Times New Roman"/>
                <w:i/>
                <w:sz w:val="20"/>
              </w:rPr>
              <w:t>°N, °W</w:t>
            </w:r>
          </w:p>
        </w:tc>
      </w:tr>
    </w:tbl>
    <w:p w14:paraId="4CF9183C" w14:textId="77777777" w:rsidR="00D07006" w:rsidRDefault="00D07006" w:rsidP="004A51FC">
      <w:pPr>
        <w:spacing w:line="240" w:lineRule="auto"/>
        <w:contextualSpacing/>
        <w:rPr>
          <w:rFonts w:ascii="Times New Roman" w:hAnsi="Times New Roman"/>
          <w:b/>
        </w:rPr>
      </w:pPr>
    </w:p>
    <w:p w14:paraId="0B238586" w14:textId="1BB20732" w:rsidR="008A5C3C" w:rsidRPr="0017567B" w:rsidRDefault="008A5C3C" w:rsidP="008A5C3C">
      <w:pPr>
        <w:spacing w:line="240" w:lineRule="auto"/>
        <w:rPr>
          <w:rFonts w:ascii="Times New Roman" w:hAnsi="Times New Roman"/>
        </w:rPr>
      </w:pPr>
      <w:r>
        <w:rPr>
          <w:rFonts w:ascii="Times New Roman" w:hAnsi="Times New Roman"/>
        </w:rPr>
        <w:t>Dataset filename: _____</w:t>
      </w:r>
      <w:r w:rsidR="000E36BD">
        <w:rPr>
          <w:rFonts w:ascii="Times New Roman" w:hAnsi="Times New Roman"/>
        </w:rPr>
        <w:t>Fig. 2 AVFA conc vs initial hydrolysis percentage</w:t>
      </w:r>
      <w:r>
        <w:rPr>
          <w:rFonts w:ascii="Times New Roman" w:hAnsi="Times New Roman"/>
        </w:rPr>
        <w:t>______________</w:t>
      </w:r>
    </w:p>
    <w:tbl>
      <w:tblPr>
        <w:tblStyle w:val="TableGrid"/>
        <w:tblW w:w="8928" w:type="dxa"/>
        <w:tblInd w:w="378" w:type="dxa"/>
        <w:tblLook w:val="04A0" w:firstRow="1" w:lastRow="0" w:firstColumn="1" w:lastColumn="0" w:noHBand="0" w:noVBand="1"/>
      </w:tblPr>
      <w:tblGrid>
        <w:gridCol w:w="2088"/>
        <w:gridCol w:w="4950"/>
        <w:gridCol w:w="1890"/>
      </w:tblGrid>
      <w:tr w:rsidR="008A5C3C" w:rsidRPr="0017567B" w14:paraId="163B54B4" w14:textId="77777777" w:rsidTr="008615D4">
        <w:trPr>
          <w:trHeight w:val="315"/>
        </w:trPr>
        <w:tc>
          <w:tcPr>
            <w:tcW w:w="2088" w:type="dxa"/>
            <w:noWrap/>
            <w:hideMark/>
          </w:tcPr>
          <w:p w14:paraId="6CC62358" w14:textId="77777777" w:rsidR="008A5C3C" w:rsidRPr="0017567B" w:rsidRDefault="008A5C3C" w:rsidP="008615D4">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0846D39E" w14:textId="77777777" w:rsidR="008A5C3C" w:rsidRPr="0017567B" w:rsidRDefault="008A5C3C" w:rsidP="008615D4">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20311690" w14:textId="77777777" w:rsidR="008A5C3C" w:rsidRPr="0017567B" w:rsidRDefault="008A5C3C" w:rsidP="008615D4">
            <w:pPr>
              <w:spacing w:after="0" w:line="240" w:lineRule="auto"/>
              <w:rPr>
                <w:rFonts w:ascii="Times New Roman" w:hAnsi="Times New Roman"/>
                <w:b/>
                <w:bCs/>
              </w:rPr>
            </w:pPr>
            <w:r w:rsidRPr="0017567B">
              <w:rPr>
                <w:rFonts w:ascii="Times New Roman" w:hAnsi="Times New Roman"/>
                <w:b/>
                <w:bCs/>
              </w:rPr>
              <w:t>Units</w:t>
            </w:r>
          </w:p>
        </w:tc>
      </w:tr>
      <w:tr w:rsidR="008A5C3C" w:rsidRPr="0017567B" w14:paraId="5513F90B" w14:textId="77777777" w:rsidTr="008615D4">
        <w:trPr>
          <w:trHeight w:val="305"/>
        </w:trPr>
        <w:tc>
          <w:tcPr>
            <w:tcW w:w="2088" w:type="dxa"/>
            <w:noWrap/>
          </w:tcPr>
          <w:p w14:paraId="7D2D2E51" w14:textId="7835C1BC" w:rsidR="008A5C3C" w:rsidRPr="0017567B" w:rsidRDefault="00E87A2E" w:rsidP="008615D4">
            <w:pPr>
              <w:spacing w:after="0" w:line="240" w:lineRule="auto"/>
              <w:rPr>
                <w:rFonts w:ascii="Times New Roman" w:hAnsi="Times New Roman"/>
                <w:i/>
                <w:sz w:val="20"/>
              </w:rPr>
            </w:pPr>
            <w:r>
              <w:rPr>
                <w:rFonts w:ascii="Times New Roman" w:hAnsi="Times New Roman"/>
                <w:i/>
                <w:sz w:val="20"/>
              </w:rPr>
              <w:t>AVFA concentration</w:t>
            </w:r>
          </w:p>
        </w:tc>
        <w:tc>
          <w:tcPr>
            <w:tcW w:w="4950" w:type="dxa"/>
          </w:tcPr>
          <w:p w14:paraId="4956CAB8" w14:textId="2BA1182A" w:rsidR="008A5C3C" w:rsidRPr="0017567B" w:rsidRDefault="00E87A2E" w:rsidP="008615D4">
            <w:pPr>
              <w:spacing w:after="0" w:line="240" w:lineRule="auto"/>
              <w:rPr>
                <w:rFonts w:ascii="Times New Roman" w:hAnsi="Times New Roman"/>
                <w:i/>
                <w:sz w:val="20"/>
              </w:rPr>
            </w:pPr>
            <w:r>
              <w:rPr>
                <w:rFonts w:ascii="Times New Roman" w:hAnsi="Times New Roman"/>
                <w:i/>
                <w:sz w:val="20"/>
              </w:rPr>
              <w:t>Amended AVFA concentrations in 34 studied cases.</w:t>
            </w:r>
          </w:p>
        </w:tc>
        <w:tc>
          <w:tcPr>
            <w:tcW w:w="1890" w:type="dxa"/>
          </w:tcPr>
          <w:p w14:paraId="21ABC0E6" w14:textId="2EB75BC0" w:rsidR="008A5C3C" w:rsidRPr="0017567B" w:rsidRDefault="00E87A2E" w:rsidP="008615D4">
            <w:pPr>
              <w:spacing w:after="0" w:line="240" w:lineRule="auto"/>
              <w:rPr>
                <w:rFonts w:ascii="Times New Roman" w:hAnsi="Times New Roman"/>
                <w:i/>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r w:rsidR="008A5C3C" w:rsidRPr="0017567B" w14:paraId="15A4BA3C" w14:textId="77777777" w:rsidTr="008615D4">
        <w:trPr>
          <w:trHeight w:val="300"/>
        </w:trPr>
        <w:tc>
          <w:tcPr>
            <w:tcW w:w="2088" w:type="dxa"/>
            <w:noWrap/>
          </w:tcPr>
          <w:p w14:paraId="7A45EB64" w14:textId="2A0A5BAA" w:rsidR="008A5C3C" w:rsidRPr="0017567B" w:rsidRDefault="00E87A2E" w:rsidP="008615D4">
            <w:pPr>
              <w:spacing w:after="0" w:line="240" w:lineRule="auto"/>
              <w:rPr>
                <w:rFonts w:ascii="Times New Roman" w:hAnsi="Times New Roman"/>
                <w:sz w:val="20"/>
              </w:rPr>
            </w:pPr>
            <w:r>
              <w:rPr>
                <w:rFonts w:ascii="Times New Roman" w:hAnsi="Times New Roman"/>
                <w:sz w:val="20"/>
              </w:rPr>
              <w:t>Initial hydrolysis percentage</w:t>
            </w:r>
          </w:p>
        </w:tc>
        <w:tc>
          <w:tcPr>
            <w:tcW w:w="4950" w:type="dxa"/>
          </w:tcPr>
          <w:p w14:paraId="676457B5" w14:textId="6A6B62E5" w:rsidR="008A5C3C" w:rsidRPr="0017567B" w:rsidRDefault="00E87A2E" w:rsidP="008615D4">
            <w:pPr>
              <w:spacing w:after="0" w:line="240" w:lineRule="auto"/>
              <w:rPr>
                <w:rFonts w:ascii="Times New Roman" w:hAnsi="Times New Roman"/>
                <w:sz w:val="20"/>
              </w:rPr>
            </w:pPr>
            <w:r>
              <w:rPr>
                <w:rFonts w:ascii="Times New Roman" w:hAnsi="Times New Roman"/>
                <w:sz w:val="20"/>
              </w:rPr>
              <w:t>Concentration percentage of hydrolyzed fragments vs. amended AVFA concentrations.</w:t>
            </w:r>
          </w:p>
        </w:tc>
        <w:tc>
          <w:tcPr>
            <w:tcW w:w="1890" w:type="dxa"/>
          </w:tcPr>
          <w:p w14:paraId="0F85A8AD" w14:textId="34BDD8BD" w:rsidR="008A5C3C" w:rsidRPr="0017567B" w:rsidRDefault="00E87A2E" w:rsidP="008615D4">
            <w:pPr>
              <w:spacing w:after="0" w:line="240" w:lineRule="auto"/>
              <w:rPr>
                <w:rFonts w:ascii="Times New Roman" w:hAnsi="Times New Roman"/>
                <w:sz w:val="20"/>
              </w:rPr>
            </w:pPr>
            <w:r>
              <w:rPr>
                <w:rFonts w:ascii="Times New Roman" w:hAnsi="Times New Roman"/>
                <w:sz w:val="20"/>
              </w:rPr>
              <w:t>%</w:t>
            </w:r>
          </w:p>
        </w:tc>
      </w:tr>
    </w:tbl>
    <w:p w14:paraId="727AB2F9" w14:textId="77777777" w:rsidR="008A5C3C" w:rsidRDefault="008A5C3C" w:rsidP="008A5C3C">
      <w:pPr>
        <w:spacing w:line="240" w:lineRule="auto"/>
        <w:contextualSpacing/>
        <w:rPr>
          <w:rFonts w:ascii="Times New Roman" w:hAnsi="Times New Roman"/>
          <w:b/>
        </w:rPr>
      </w:pPr>
    </w:p>
    <w:p w14:paraId="47FA5045" w14:textId="4FC0B62B" w:rsidR="000E36BD" w:rsidRPr="0017567B" w:rsidRDefault="000E36BD" w:rsidP="000E36BD">
      <w:pPr>
        <w:spacing w:line="240" w:lineRule="auto"/>
        <w:rPr>
          <w:rFonts w:ascii="Times New Roman" w:hAnsi="Times New Roman"/>
        </w:rPr>
      </w:pPr>
      <w:r>
        <w:rPr>
          <w:rFonts w:ascii="Times New Roman" w:hAnsi="Times New Roman"/>
        </w:rPr>
        <w:t>Dataset filename: _______Fig. 3a initial exp-AVFA ____________</w:t>
      </w:r>
    </w:p>
    <w:tbl>
      <w:tblPr>
        <w:tblStyle w:val="TableGrid"/>
        <w:tblW w:w="8928" w:type="dxa"/>
        <w:tblInd w:w="378" w:type="dxa"/>
        <w:tblLook w:val="04A0" w:firstRow="1" w:lastRow="0" w:firstColumn="1" w:lastColumn="0" w:noHBand="0" w:noVBand="1"/>
      </w:tblPr>
      <w:tblGrid>
        <w:gridCol w:w="2088"/>
        <w:gridCol w:w="4950"/>
        <w:gridCol w:w="1890"/>
      </w:tblGrid>
      <w:tr w:rsidR="000E36BD" w:rsidRPr="0017567B" w14:paraId="6664CB85" w14:textId="77777777" w:rsidTr="000E36BD">
        <w:trPr>
          <w:trHeight w:val="315"/>
        </w:trPr>
        <w:tc>
          <w:tcPr>
            <w:tcW w:w="2088" w:type="dxa"/>
            <w:noWrap/>
            <w:hideMark/>
          </w:tcPr>
          <w:p w14:paraId="68E650F0"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66BBFA46"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547D4FA2"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Units</w:t>
            </w:r>
          </w:p>
        </w:tc>
      </w:tr>
      <w:tr w:rsidR="000E36BD" w:rsidRPr="0017567B" w14:paraId="5DF5A5FB" w14:textId="77777777" w:rsidTr="000E36BD">
        <w:trPr>
          <w:trHeight w:val="305"/>
        </w:trPr>
        <w:tc>
          <w:tcPr>
            <w:tcW w:w="2088" w:type="dxa"/>
            <w:noWrap/>
          </w:tcPr>
          <w:p w14:paraId="43E0AD12" w14:textId="4C99F166" w:rsidR="000E36BD" w:rsidRPr="0017567B" w:rsidRDefault="00E87A2E" w:rsidP="000E36BD">
            <w:pPr>
              <w:spacing w:after="0" w:line="240" w:lineRule="auto"/>
              <w:rPr>
                <w:rFonts w:ascii="Times New Roman" w:hAnsi="Times New Roman"/>
                <w:i/>
                <w:sz w:val="20"/>
              </w:rPr>
            </w:pPr>
            <w:r>
              <w:rPr>
                <w:rFonts w:ascii="Times New Roman" w:hAnsi="Times New Roman"/>
                <w:i/>
                <w:sz w:val="20"/>
              </w:rPr>
              <w:t>time</w:t>
            </w:r>
          </w:p>
        </w:tc>
        <w:tc>
          <w:tcPr>
            <w:tcW w:w="4950" w:type="dxa"/>
          </w:tcPr>
          <w:p w14:paraId="1D5C59C4" w14:textId="1CFA6FFC" w:rsidR="000E36BD" w:rsidRPr="0017567B" w:rsidRDefault="00E87A2E" w:rsidP="000E36BD">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7AEC7FF4" w14:textId="77D5D025" w:rsidR="000E36BD" w:rsidRPr="0017567B" w:rsidRDefault="00E87A2E" w:rsidP="000E36BD">
            <w:pPr>
              <w:spacing w:after="0" w:line="240" w:lineRule="auto"/>
              <w:rPr>
                <w:rFonts w:ascii="Times New Roman" w:hAnsi="Times New Roman"/>
                <w:i/>
                <w:sz w:val="20"/>
              </w:rPr>
            </w:pPr>
            <w:r>
              <w:rPr>
                <w:rFonts w:ascii="Times New Roman" w:hAnsi="Times New Roman"/>
                <w:i/>
                <w:sz w:val="20"/>
              </w:rPr>
              <w:t>min</w:t>
            </w:r>
          </w:p>
        </w:tc>
      </w:tr>
      <w:tr w:rsidR="000E36BD" w:rsidRPr="0017567B" w14:paraId="14A50730" w14:textId="77777777" w:rsidTr="000E36BD">
        <w:trPr>
          <w:trHeight w:val="300"/>
        </w:trPr>
        <w:tc>
          <w:tcPr>
            <w:tcW w:w="2088" w:type="dxa"/>
            <w:noWrap/>
          </w:tcPr>
          <w:p w14:paraId="33ED6F37" w14:textId="7019D46B" w:rsidR="000E36BD" w:rsidRPr="0017567B" w:rsidRDefault="00E87A2E" w:rsidP="000E36BD">
            <w:pPr>
              <w:spacing w:after="0" w:line="240" w:lineRule="auto"/>
              <w:rPr>
                <w:rFonts w:ascii="Times New Roman" w:hAnsi="Times New Roman"/>
                <w:sz w:val="20"/>
              </w:rPr>
            </w:pPr>
            <w:r>
              <w:rPr>
                <w:rFonts w:ascii="Times New Roman" w:hAnsi="Times New Roman"/>
                <w:sz w:val="20"/>
              </w:rPr>
              <w:t>AVFA concentration</w:t>
            </w:r>
          </w:p>
        </w:tc>
        <w:tc>
          <w:tcPr>
            <w:tcW w:w="4950" w:type="dxa"/>
          </w:tcPr>
          <w:p w14:paraId="36D07370" w14:textId="4EA6CD2B" w:rsidR="000E36BD" w:rsidRPr="0017567B" w:rsidRDefault="00E87A2E" w:rsidP="000E36BD">
            <w:pPr>
              <w:spacing w:after="0" w:line="240" w:lineRule="auto"/>
              <w:rPr>
                <w:rFonts w:ascii="Times New Roman" w:hAnsi="Times New Roman"/>
                <w:sz w:val="20"/>
              </w:rPr>
            </w:pPr>
            <w:r>
              <w:rPr>
                <w:rFonts w:ascii="Times New Roman" w:hAnsi="Times New Roman"/>
                <w:sz w:val="20"/>
              </w:rPr>
              <w:t>AVFA concentration at different time points during incubation.</w:t>
            </w:r>
          </w:p>
        </w:tc>
        <w:tc>
          <w:tcPr>
            <w:tcW w:w="1890" w:type="dxa"/>
          </w:tcPr>
          <w:p w14:paraId="75E95D16" w14:textId="5BEDDCF7" w:rsidR="000E36BD" w:rsidRPr="0017567B" w:rsidRDefault="00E87A2E" w:rsidP="000E36BD">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77F9BB47" w14:textId="77777777" w:rsidR="000E36BD" w:rsidRDefault="000E36BD" w:rsidP="000E36BD">
      <w:pPr>
        <w:spacing w:line="240" w:lineRule="auto"/>
        <w:contextualSpacing/>
        <w:rPr>
          <w:rFonts w:ascii="Times New Roman" w:hAnsi="Times New Roman"/>
          <w:b/>
        </w:rPr>
      </w:pPr>
    </w:p>
    <w:p w14:paraId="00312BA2" w14:textId="1D1F1F4F" w:rsidR="000E36BD" w:rsidRPr="0017567B" w:rsidRDefault="000E36BD" w:rsidP="000E36BD">
      <w:pPr>
        <w:spacing w:line="240" w:lineRule="auto"/>
        <w:rPr>
          <w:rFonts w:ascii="Times New Roman" w:hAnsi="Times New Roman"/>
        </w:rPr>
      </w:pPr>
      <w:r>
        <w:rPr>
          <w:rFonts w:ascii="Times New Roman" w:hAnsi="Times New Roman"/>
        </w:rPr>
        <w:t>Dataset filename: _______Fig. 3b initial exp-VFA ____________</w:t>
      </w:r>
    </w:p>
    <w:tbl>
      <w:tblPr>
        <w:tblStyle w:val="TableGrid"/>
        <w:tblW w:w="8928" w:type="dxa"/>
        <w:tblInd w:w="378" w:type="dxa"/>
        <w:tblLook w:val="04A0" w:firstRow="1" w:lastRow="0" w:firstColumn="1" w:lastColumn="0" w:noHBand="0" w:noVBand="1"/>
      </w:tblPr>
      <w:tblGrid>
        <w:gridCol w:w="2088"/>
        <w:gridCol w:w="4950"/>
        <w:gridCol w:w="1890"/>
      </w:tblGrid>
      <w:tr w:rsidR="000E36BD" w:rsidRPr="0017567B" w14:paraId="70439AA0" w14:textId="77777777" w:rsidTr="000E36BD">
        <w:trPr>
          <w:trHeight w:val="315"/>
        </w:trPr>
        <w:tc>
          <w:tcPr>
            <w:tcW w:w="2088" w:type="dxa"/>
            <w:noWrap/>
            <w:hideMark/>
          </w:tcPr>
          <w:p w14:paraId="7963A29D"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7E626D26"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21024CA8"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Units</w:t>
            </w:r>
          </w:p>
        </w:tc>
      </w:tr>
      <w:tr w:rsidR="00E87A2E" w:rsidRPr="0017567B" w14:paraId="585A5509" w14:textId="77777777" w:rsidTr="000E36BD">
        <w:trPr>
          <w:trHeight w:val="305"/>
        </w:trPr>
        <w:tc>
          <w:tcPr>
            <w:tcW w:w="2088" w:type="dxa"/>
            <w:noWrap/>
          </w:tcPr>
          <w:p w14:paraId="6C8FE4E8" w14:textId="0E8952FB" w:rsidR="00E87A2E" w:rsidRPr="0017567B" w:rsidRDefault="00E87A2E" w:rsidP="000E36BD">
            <w:pPr>
              <w:spacing w:after="0" w:line="240" w:lineRule="auto"/>
              <w:rPr>
                <w:rFonts w:ascii="Times New Roman" w:hAnsi="Times New Roman"/>
                <w:i/>
                <w:sz w:val="20"/>
              </w:rPr>
            </w:pPr>
            <w:r>
              <w:rPr>
                <w:rFonts w:ascii="Times New Roman" w:hAnsi="Times New Roman"/>
                <w:i/>
                <w:sz w:val="20"/>
              </w:rPr>
              <w:t>time</w:t>
            </w:r>
          </w:p>
        </w:tc>
        <w:tc>
          <w:tcPr>
            <w:tcW w:w="4950" w:type="dxa"/>
          </w:tcPr>
          <w:p w14:paraId="674D90FD" w14:textId="6BEDEAFB" w:rsidR="00E87A2E" w:rsidRPr="0017567B" w:rsidRDefault="00E87A2E" w:rsidP="000E36BD">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25C02BBA" w14:textId="7C918FEF" w:rsidR="00E87A2E" w:rsidRPr="0017567B" w:rsidRDefault="00E87A2E" w:rsidP="000E36BD">
            <w:pPr>
              <w:spacing w:after="0" w:line="240" w:lineRule="auto"/>
              <w:rPr>
                <w:rFonts w:ascii="Times New Roman" w:hAnsi="Times New Roman"/>
                <w:i/>
                <w:sz w:val="20"/>
              </w:rPr>
            </w:pPr>
            <w:r>
              <w:rPr>
                <w:rFonts w:ascii="Times New Roman" w:hAnsi="Times New Roman"/>
                <w:i/>
                <w:sz w:val="20"/>
              </w:rPr>
              <w:t>min</w:t>
            </w:r>
          </w:p>
        </w:tc>
      </w:tr>
      <w:tr w:rsidR="00E87A2E" w:rsidRPr="0017567B" w14:paraId="0B02DFD2" w14:textId="77777777" w:rsidTr="000E36BD">
        <w:trPr>
          <w:trHeight w:val="300"/>
        </w:trPr>
        <w:tc>
          <w:tcPr>
            <w:tcW w:w="2088" w:type="dxa"/>
            <w:noWrap/>
          </w:tcPr>
          <w:p w14:paraId="1C7D2BA3" w14:textId="32D5E9E9" w:rsidR="00E87A2E" w:rsidRPr="0017567B" w:rsidRDefault="00E87A2E" w:rsidP="000E36BD">
            <w:pPr>
              <w:spacing w:after="0" w:line="240" w:lineRule="auto"/>
              <w:rPr>
                <w:rFonts w:ascii="Times New Roman" w:hAnsi="Times New Roman"/>
                <w:sz w:val="20"/>
              </w:rPr>
            </w:pPr>
            <w:r>
              <w:rPr>
                <w:rFonts w:ascii="Times New Roman" w:hAnsi="Times New Roman"/>
                <w:sz w:val="20"/>
              </w:rPr>
              <w:t>VFA concentration</w:t>
            </w:r>
          </w:p>
        </w:tc>
        <w:tc>
          <w:tcPr>
            <w:tcW w:w="4950" w:type="dxa"/>
          </w:tcPr>
          <w:p w14:paraId="08FFDF3D" w14:textId="537B6AE8" w:rsidR="00E87A2E" w:rsidRPr="0017567B" w:rsidRDefault="00E87A2E" w:rsidP="000E36BD">
            <w:pPr>
              <w:spacing w:after="0" w:line="240" w:lineRule="auto"/>
              <w:rPr>
                <w:rFonts w:ascii="Times New Roman" w:hAnsi="Times New Roman"/>
                <w:sz w:val="20"/>
              </w:rPr>
            </w:pPr>
            <w:r>
              <w:rPr>
                <w:rFonts w:ascii="Times New Roman" w:hAnsi="Times New Roman"/>
                <w:sz w:val="20"/>
              </w:rPr>
              <w:t>Produced VFA concentration at different time points during incubation.</w:t>
            </w:r>
          </w:p>
        </w:tc>
        <w:tc>
          <w:tcPr>
            <w:tcW w:w="1890" w:type="dxa"/>
          </w:tcPr>
          <w:p w14:paraId="5B23E486" w14:textId="774BB1AB" w:rsidR="00E87A2E" w:rsidRPr="0017567B" w:rsidRDefault="00E87A2E" w:rsidP="000E36BD">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53229580" w14:textId="77777777" w:rsidR="000E36BD" w:rsidRDefault="000E36BD" w:rsidP="000E36BD">
      <w:pPr>
        <w:spacing w:line="240" w:lineRule="auto"/>
        <w:contextualSpacing/>
        <w:rPr>
          <w:rFonts w:ascii="Times New Roman" w:hAnsi="Times New Roman"/>
          <w:b/>
        </w:rPr>
      </w:pPr>
    </w:p>
    <w:p w14:paraId="4E00CAED" w14:textId="77634E63" w:rsidR="000E36BD" w:rsidRPr="0017567B" w:rsidRDefault="000E36BD" w:rsidP="000E36BD">
      <w:pPr>
        <w:spacing w:line="240" w:lineRule="auto"/>
        <w:rPr>
          <w:rFonts w:ascii="Times New Roman" w:hAnsi="Times New Roman"/>
        </w:rPr>
      </w:pPr>
      <w:r>
        <w:rPr>
          <w:rFonts w:ascii="Times New Roman" w:hAnsi="Times New Roman"/>
        </w:rPr>
        <w:t>Dataset filename: _______Fig. 3c initial exp-FA ____________</w:t>
      </w:r>
    </w:p>
    <w:tbl>
      <w:tblPr>
        <w:tblStyle w:val="TableGrid"/>
        <w:tblW w:w="8928" w:type="dxa"/>
        <w:tblInd w:w="378" w:type="dxa"/>
        <w:tblLook w:val="04A0" w:firstRow="1" w:lastRow="0" w:firstColumn="1" w:lastColumn="0" w:noHBand="0" w:noVBand="1"/>
      </w:tblPr>
      <w:tblGrid>
        <w:gridCol w:w="2088"/>
        <w:gridCol w:w="4950"/>
        <w:gridCol w:w="1890"/>
      </w:tblGrid>
      <w:tr w:rsidR="000E36BD" w:rsidRPr="0017567B" w14:paraId="4ECFAE5E" w14:textId="77777777" w:rsidTr="000E36BD">
        <w:trPr>
          <w:trHeight w:val="315"/>
        </w:trPr>
        <w:tc>
          <w:tcPr>
            <w:tcW w:w="2088" w:type="dxa"/>
            <w:noWrap/>
            <w:hideMark/>
          </w:tcPr>
          <w:p w14:paraId="0F75CCE7"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3542757D"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51A1FF65"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Units</w:t>
            </w:r>
          </w:p>
        </w:tc>
      </w:tr>
      <w:tr w:rsidR="00E87A2E" w:rsidRPr="0017567B" w14:paraId="166BD7F1" w14:textId="77777777" w:rsidTr="000E36BD">
        <w:trPr>
          <w:trHeight w:val="305"/>
        </w:trPr>
        <w:tc>
          <w:tcPr>
            <w:tcW w:w="2088" w:type="dxa"/>
            <w:noWrap/>
          </w:tcPr>
          <w:p w14:paraId="10611C7A" w14:textId="18EA6A39" w:rsidR="00E87A2E" w:rsidRPr="0017567B" w:rsidRDefault="00E87A2E" w:rsidP="000E36BD">
            <w:pPr>
              <w:spacing w:after="0" w:line="240" w:lineRule="auto"/>
              <w:rPr>
                <w:rFonts w:ascii="Times New Roman" w:hAnsi="Times New Roman"/>
                <w:i/>
                <w:sz w:val="20"/>
              </w:rPr>
            </w:pPr>
            <w:r>
              <w:rPr>
                <w:rFonts w:ascii="Times New Roman" w:hAnsi="Times New Roman"/>
                <w:i/>
                <w:sz w:val="20"/>
              </w:rPr>
              <w:t>time</w:t>
            </w:r>
          </w:p>
        </w:tc>
        <w:tc>
          <w:tcPr>
            <w:tcW w:w="4950" w:type="dxa"/>
          </w:tcPr>
          <w:p w14:paraId="788E1D01" w14:textId="4F711B32" w:rsidR="00E87A2E" w:rsidRPr="0017567B" w:rsidRDefault="00E87A2E" w:rsidP="000E36BD">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7EFBA167" w14:textId="7A8936B0" w:rsidR="00E87A2E" w:rsidRPr="0017567B" w:rsidRDefault="00E87A2E" w:rsidP="000E36BD">
            <w:pPr>
              <w:spacing w:after="0" w:line="240" w:lineRule="auto"/>
              <w:rPr>
                <w:rFonts w:ascii="Times New Roman" w:hAnsi="Times New Roman"/>
                <w:i/>
                <w:sz w:val="20"/>
              </w:rPr>
            </w:pPr>
            <w:r>
              <w:rPr>
                <w:rFonts w:ascii="Times New Roman" w:hAnsi="Times New Roman"/>
                <w:i/>
                <w:sz w:val="20"/>
              </w:rPr>
              <w:t>min</w:t>
            </w:r>
          </w:p>
        </w:tc>
      </w:tr>
      <w:tr w:rsidR="00E87A2E" w:rsidRPr="0017567B" w14:paraId="03E893DF" w14:textId="77777777" w:rsidTr="000E36BD">
        <w:trPr>
          <w:trHeight w:val="300"/>
        </w:trPr>
        <w:tc>
          <w:tcPr>
            <w:tcW w:w="2088" w:type="dxa"/>
            <w:noWrap/>
          </w:tcPr>
          <w:p w14:paraId="42480534" w14:textId="120D5CEA" w:rsidR="00E87A2E" w:rsidRPr="0017567B" w:rsidRDefault="00E87A2E" w:rsidP="000E36BD">
            <w:pPr>
              <w:spacing w:after="0" w:line="240" w:lineRule="auto"/>
              <w:rPr>
                <w:rFonts w:ascii="Times New Roman" w:hAnsi="Times New Roman"/>
                <w:sz w:val="20"/>
              </w:rPr>
            </w:pPr>
            <w:r>
              <w:rPr>
                <w:rFonts w:ascii="Times New Roman" w:hAnsi="Times New Roman"/>
                <w:sz w:val="20"/>
              </w:rPr>
              <w:t>FA concentration</w:t>
            </w:r>
          </w:p>
        </w:tc>
        <w:tc>
          <w:tcPr>
            <w:tcW w:w="4950" w:type="dxa"/>
          </w:tcPr>
          <w:p w14:paraId="5FFC6EC2" w14:textId="43CC2ABF" w:rsidR="00E87A2E" w:rsidRPr="0017567B" w:rsidRDefault="00E87A2E" w:rsidP="000E36BD">
            <w:pPr>
              <w:spacing w:after="0" w:line="240" w:lineRule="auto"/>
              <w:rPr>
                <w:rFonts w:ascii="Times New Roman" w:hAnsi="Times New Roman"/>
                <w:sz w:val="20"/>
              </w:rPr>
            </w:pPr>
            <w:r>
              <w:rPr>
                <w:rFonts w:ascii="Times New Roman" w:hAnsi="Times New Roman"/>
                <w:sz w:val="20"/>
              </w:rPr>
              <w:t>Produced FA concentration at different time points during incubation.</w:t>
            </w:r>
          </w:p>
        </w:tc>
        <w:tc>
          <w:tcPr>
            <w:tcW w:w="1890" w:type="dxa"/>
          </w:tcPr>
          <w:p w14:paraId="723204A1" w14:textId="0A058D60" w:rsidR="00E87A2E" w:rsidRPr="0017567B" w:rsidRDefault="00E87A2E" w:rsidP="000E36BD">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75E13DDE" w14:textId="77777777" w:rsidR="000E36BD" w:rsidRDefault="000E36BD" w:rsidP="000E36BD">
      <w:pPr>
        <w:spacing w:line="240" w:lineRule="auto"/>
        <w:contextualSpacing/>
        <w:rPr>
          <w:rFonts w:ascii="Times New Roman" w:hAnsi="Times New Roman"/>
          <w:b/>
        </w:rPr>
      </w:pPr>
    </w:p>
    <w:p w14:paraId="37C32BF1" w14:textId="408A5541" w:rsidR="000E36BD" w:rsidRPr="0017567B" w:rsidRDefault="000E36BD" w:rsidP="000E36BD">
      <w:pPr>
        <w:spacing w:line="240" w:lineRule="auto"/>
        <w:rPr>
          <w:rFonts w:ascii="Times New Roman" w:hAnsi="Times New Roman"/>
        </w:rPr>
      </w:pPr>
      <w:r>
        <w:rPr>
          <w:rFonts w:ascii="Times New Roman" w:hAnsi="Times New Roman"/>
        </w:rPr>
        <w:t>Dataset filename: _______Fig. 3d initial exp-VF ____________</w:t>
      </w:r>
    </w:p>
    <w:tbl>
      <w:tblPr>
        <w:tblStyle w:val="TableGrid"/>
        <w:tblW w:w="8928" w:type="dxa"/>
        <w:tblInd w:w="378" w:type="dxa"/>
        <w:tblLook w:val="04A0" w:firstRow="1" w:lastRow="0" w:firstColumn="1" w:lastColumn="0" w:noHBand="0" w:noVBand="1"/>
      </w:tblPr>
      <w:tblGrid>
        <w:gridCol w:w="2088"/>
        <w:gridCol w:w="4950"/>
        <w:gridCol w:w="1890"/>
      </w:tblGrid>
      <w:tr w:rsidR="000E36BD" w:rsidRPr="0017567B" w14:paraId="3C6E24B2" w14:textId="77777777" w:rsidTr="000E36BD">
        <w:trPr>
          <w:trHeight w:val="315"/>
        </w:trPr>
        <w:tc>
          <w:tcPr>
            <w:tcW w:w="2088" w:type="dxa"/>
            <w:noWrap/>
            <w:hideMark/>
          </w:tcPr>
          <w:p w14:paraId="55799FAE"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lastRenderedPageBreak/>
              <w:t>Column name</w:t>
            </w:r>
          </w:p>
        </w:tc>
        <w:tc>
          <w:tcPr>
            <w:tcW w:w="4950" w:type="dxa"/>
            <w:hideMark/>
          </w:tcPr>
          <w:p w14:paraId="35EFBBF7"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490ABFD5"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Units</w:t>
            </w:r>
          </w:p>
        </w:tc>
      </w:tr>
      <w:tr w:rsidR="00E87A2E" w:rsidRPr="0017567B" w14:paraId="73EA2225" w14:textId="77777777" w:rsidTr="000E36BD">
        <w:trPr>
          <w:trHeight w:val="305"/>
        </w:trPr>
        <w:tc>
          <w:tcPr>
            <w:tcW w:w="2088" w:type="dxa"/>
            <w:noWrap/>
          </w:tcPr>
          <w:p w14:paraId="6882A417" w14:textId="279C7F53" w:rsidR="00E87A2E" w:rsidRPr="0017567B" w:rsidRDefault="00E87A2E" w:rsidP="000E36BD">
            <w:pPr>
              <w:spacing w:after="0" w:line="240" w:lineRule="auto"/>
              <w:rPr>
                <w:rFonts w:ascii="Times New Roman" w:hAnsi="Times New Roman"/>
                <w:i/>
                <w:sz w:val="20"/>
              </w:rPr>
            </w:pPr>
            <w:r>
              <w:rPr>
                <w:rFonts w:ascii="Times New Roman" w:hAnsi="Times New Roman"/>
                <w:i/>
                <w:sz w:val="20"/>
              </w:rPr>
              <w:t>time</w:t>
            </w:r>
          </w:p>
        </w:tc>
        <w:tc>
          <w:tcPr>
            <w:tcW w:w="4950" w:type="dxa"/>
          </w:tcPr>
          <w:p w14:paraId="76DE07FA" w14:textId="17CA0A3C" w:rsidR="00E87A2E" w:rsidRPr="0017567B" w:rsidRDefault="00E87A2E" w:rsidP="000E36BD">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3EE50B2A" w14:textId="785F094C" w:rsidR="00E87A2E" w:rsidRPr="0017567B" w:rsidRDefault="00E87A2E" w:rsidP="000E36BD">
            <w:pPr>
              <w:spacing w:after="0" w:line="240" w:lineRule="auto"/>
              <w:rPr>
                <w:rFonts w:ascii="Times New Roman" w:hAnsi="Times New Roman"/>
                <w:i/>
                <w:sz w:val="20"/>
              </w:rPr>
            </w:pPr>
            <w:r>
              <w:rPr>
                <w:rFonts w:ascii="Times New Roman" w:hAnsi="Times New Roman"/>
                <w:i/>
                <w:sz w:val="20"/>
              </w:rPr>
              <w:t>min</w:t>
            </w:r>
          </w:p>
        </w:tc>
      </w:tr>
      <w:tr w:rsidR="00E87A2E" w:rsidRPr="0017567B" w14:paraId="324ED676" w14:textId="77777777" w:rsidTr="000E36BD">
        <w:trPr>
          <w:trHeight w:val="300"/>
        </w:trPr>
        <w:tc>
          <w:tcPr>
            <w:tcW w:w="2088" w:type="dxa"/>
            <w:noWrap/>
          </w:tcPr>
          <w:p w14:paraId="782CE81D" w14:textId="2650A323" w:rsidR="00E87A2E" w:rsidRPr="0017567B" w:rsidRDefault="00E87A2E" w:rsidP="000E36BD">
            <w:pPr>
              <w:spacing w:after="0" w:line="240" w:lineRule="auto"/>
              <w:rPr>
                <w:rFonts w:ascii="Times New Roman" w:hAnsi="Times New Roman"/>
                <w:sz w:val="20"/>
              </w:rPr>
            </w:pPr>
            <w:r>
              <w:rPr>
                <w:rFonts w:ascii="Times New Roman" w:hAnsi="Times New Roman"/>
                <w:sz w:val="20"/>
              </w:rPr>
              <w:t>VF concentration</w:t>
            </w:r>
          </w:p>
        </w:tc>
        <w:tc>
          <w:tcPr>
            <w:tcW w:w="4950" w:type="dxa"/>
          </w:tcPr>
          <w:p w14:paraId="6DD19858" w14:textId="57093901" w:rsidR="00E87A2E" w:rsidRPr="0017567B" w:rsidRDefault="00E87A2E" w:rsidP="000E36BD">
            <w:pPr>
              <w:spacing w:after="0" w:line="240" w:lineRule="auto"/>
              <w:rPr>
                <w:rFonts w:ascii="Times New Roman" w:hAnsi="Times New Roman"/>
                <w:sz w:val="20"/>
              </w:rPr>
            </w:pPr>
            <w:r>
              <w:rPr>
                <w:rFonts w:ascii="Times New Roman" w:hAnsi="Times New Roman"/>
                <w:sz w:val="20"/>
              </w:rPr>
              <w:t>Produced VF concentration at different time points during incubation.</w:t>
            </w:r>
          </w:p>
        </w:tc>
        <w:tc>
          <w:tcPr>
            <w:tcW w:w="1890" w:type="dxa"/>
          </w:tcPr>
          <w:p w14:paraId="1CCE52E5" w14:textId="14B3BE74" w:rsidR="00E87A2E" w:rsidRPr="0017567B" w:rsidRDefault="00E87A2E" w:rsidP="000E36BD">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0F32D79F" w14:textId="77777777" w:rsidR="000E36BD" w:rsidRDefault="000E36BD" w:rsidP="000E36BD">
      <w:pPr>
        <w:spacing w:line="240" w:lineRule="auto"/>
        <w:contextualSpacing/>
        <w:rPr>
          <w:rFonts w:ascii="Times New Roman" w:hAnsi="Times New Roman"/>
          <w:b/>
        </w:rPr>
      </w:pPr>
    </w:p>
    <w:p w14:paraId="15F5833F" w14:textId="7FDBE956" w:rsidR="000E36BD" w:rsidRPr="0017567B" w:rsidRDefault="000E36BD" w:rsidP="000E36BD">
      <w:pPr>
        <w:spacing w:line="240" w:lineRule="auto"/>
        <w:rPr>
          <w:rFonts w:ascii="Times New Roman" w:hAnsi="Times New Roman"/>
        </w:rPr>
      </w:pPr>
      <w:r>
        <w:rPr>
          <w:rFonts w:ascii="Times New Roman" w:hAnsi="Times New Roman"/>
        </w:rPr>
        <w:t>Dataset filename: _______Fig. 3e initial exp-AV ____________</w:t>
      </w:r>
    </w:p>
    <w:tbl>
      <w:tblPr>
        <w:tblStyle w:val="TableGrid"/>
        <w:tblW w:w="8928" w:type="dxa"/>
        <w:tblInd w:w="378" w:type="dxa"/>
        <w:tblLook w:val="04A0" w:firstRow="1" w:lastRow="0" w:firstColumn="1" w:lastColumn="0" w:noHBand="0" w:noVBand="1"/>
      </w:tblPr>
      <w:tblGrid>
        <w:gridCol w:w="2088"/>
        <w:gridCol w:w="4950"/>
        <w:gridCol w:w="1890"/>
      </w:tblGrid>
      <w:tr w:rsidR="000E36BD" w:rsidRPr="0017567B" w14:paraId="342B768A" w14:textId="77777777" w:rsidTr="000E36BD">
        <w:trPr>
          <w:trHeight w:val="315"/>
        </w:trPr>
        <w:tc>
          <w:tcPr>
            <w:tcW w:w="2088" w:type="dxa"/>
            <w:noWrap/>
            <w:hideMark/>
          </w:tcPr>
          <w:p w14:paraId="06B8B932"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77A55434"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1C9C5311"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Units</w:t>
            </w:r>
          </w:p>
        </w:tc>
      </w:tr>
      <w:tr w:rsidR="00E87A2E" w:rsidRPr="0017567B" w14:paraId="7BA2BF42" w14:textId="77777777" w:rsidTr="000E36BD">
        <w:trPr>
          <w:trHeight w:val="305"/>
        </w:trPr>
        <w:tc>
          <w:tcPr>
            <w:tcW w:w="2088" w:type="dxa"/>
            <w:noWrap/>
          </w:tcPr>
          <w:p w14:paraId="026F4AED" w14:textId="070ECEAA" w:rsidR="00E87A2E" w:rsidRPr="0017567B" w:rsidRDefault="00E87A2E" w:rsidP="000E36BD">
            <w:pPr>
              <w:spacing w:after="0" w:line="240" w:lineRule="auto"/>
              <w:rPr>
                <w:rFonts w:ascii="Times New Roman" w:hAnsi="Times New Roman"/>
                <w:i/>
                <w:sz w:val="20"/>
              </w:rPr>
            </w:pPr>
            <w:r>
              <w:rPr>
                <w:rFonts w:ascii="Times New Roman" w:hAnsi="Times New Roman"/>
                <w:i/>
                <w:sz w:val="20"/>
              </w:rPr>
              <w:t>time</w:t>
            </w:r>
          </w:p>
        </w:tc>
        <w:tc>
          <w:tcPr>
            <w:tcW w:w="4950" w:type="dxa"/>
          </w:tcPr>
          <w:p w14:paraId="029A21D2" w14:textId="4DDC2085" w:rsidR="00E87A2E" w:rsidRPr="0017567B" w:rsidRDefault="00E87A2E" w:rsidP="000E36BD">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6E101FD9" w14:textId="59659519" w:rsidR="00E87A2E" w:rsidRPr="0017567B" w:rsidRDefault="00E87A2E" w:rsidP="000E36BD">
            <w:pPr>
              <w:spacing w:after="0" w:line="240" w:lineRule="auto"/>
              <w:rPr>
                <w:rFonts w:ascii="Times New Roman" w:hAnsi="Times New Roman"/>
                <w:i/>
                <w:sz w:val="20"/>
              </w:rPr>
            </w:pPr>
            <w:r>
              <w:rPr>
                <w:rFonts w:ascii="Times New Roman" w:hAnsi="Times New Roman"/>
                <w:i/>
                <w:sz w:val="20"/>
              </w:rPr>
              <w:t>min</w:t>
            </w:r>
          </w:p>
        </w:tc>
      </w:tr>
      <w:tr w:rsidR="00E87A2E" w:rsidRPr="0017567B" w14:paraId="70A97CAB" w14:textId="77777777" w:rsidTr="000E36BD">
        <w:trPr>
          <w:trHeight w:val="300"/>
        </w:trPr>
        <w:tc>
          <w:tcPr>
            <w:tcW w:w="2088" w:type="dxa"/>
            <w:noWrap/>
          </w:tcPr>
          <w:p w14:paraId="2D905438" w14:textId="2C4FB803" w:rsidR="00E87A2E" w:rsidRPr="0017567B" w:rsidRDefault="00E87A2E" w:rsidP="000E36BD">
            <w:pPr>
              <w:spacing w:after="0" w:line="240" w:lineRule="auto"/>
              <w:rPr>
                <w:rFonts w:ascii="Times New Roman" w:hAnsi="Times New Roman"/>
                <w:sz w:val="20"/>
              </w:rPr>
            </w:pPr>
            <w:r>
              <w:rPr>
                <w:rFonts w:ascii="Times New Roman" w:hAnsi="Times New Roman"/>
                <w:sz w:val="20"/>
              </w:rPr>
              <w:t>AV concentration</w:t>
            </w:r>
          </w:p>
        </w:tc>
        <w:tc>
          <w:tcPr>
            <w:tcW w:w="4950" w:type="dxa"/>
          </w:tcPr>
          <w:p w14:paraId="14FBAAF5" w14:textId="51306482" w:rsidR="00E87A2E" w:rsidRPr="0017567B" w:rsidRDefault="00E87A2E" w:rsidP="000E36BD">
            <w:pPr>
              <w:spacing w:after="0" w:line="240" w:lineRule="auto"/>
              <w:rPr>
                <w:rFonts w:ascii="Times New Roman" w:hAnsi="Times New Roman"/>
                <w:sz w:val="20"/>
              </w:rPr>
            </w:pPr>
            <w:r>
              <w:rPr>
                <w:rFonts w:ascii="Times New Roman" w:hAnsi="Times New Roman"/>
                <w:sz w:val="20"/>
              </w:rPr>
              <w:t>Produced AV concentration at different time points during incubation.</w:t>
            </w:r>
          </w:p>
        </w:tc>
        <w:tc>
          <w:tcPr>
            <w:tcW w:w="1890" w:type="dxa"/>
          </w:tcPr>
          <w:p w14:paraId="15DA3ED7" w14:textId="6AFDA035" w:rsidR="00E87A2E" w:rsidRPr="0017567B" w:rsidRDefault="00E87A2E" w:rsidP="000E36BD">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6590FA48" w14:textId="77777777" w:rsidR="000E36BD" w:rsidRDefault="000E36BD" w:rsidP="000E36BD">
      <w:pPr>
        <w:spacing w:line="240" w:lineRule="auto"/>
        <w:contextualSpacing/>
        <w:rPr>
          <w:rFonts w:ascii="Times New Roman" w:hAnsi="Times New Roman"/>
          <w:b/>
        </w:rPr>
      </w:pPr>
    </w:p>
    <w:p w14:paraId="3293975B" w14:textId="07326B4D" w:rsidR="000E36BD" w:rsidRPr="0017567B" w:rsidRDefault="000E36BD" w:rsidP="000E36BD">
      <w:pPr>
        <w:spacing w:line="240" w:lineRule="auto"/>
        <w:rPr>
          <w:rFonts w:ascii="Times New Roman" w:hAnsi="Times New Roman"/>
        </w:rPr>
      </w:pPr>
      <w:r>
        <w:rPr>
          <w:rFonts w:ascii="Times New Roman" w:hAnsi="Times New Roman"/>
        </w:rPr>
        <w:t>Dataset filename: _______Fig. 3f initial exp-Ala ____________</w:t>
      </w:r>
    </w:p>
    <w:tbl>
      <w:tblPr>
        <w:tblStyle w:val="TableGrid"/>
        <w:tblW w:w="8928" w:type="dxa"/>
        <w:tblInd w:w="378" w:type="dxa"/>
        <w:tblLook w:val="04A0" w:firstRow="1" w:lastRow="0" w:firstColumn="1" w:lastColumn="0" w:noHBand="0" w:noVBand="1"/>
      </w:tblPr>
      <w:tblGrid>
        <w:gridCol w:w="2088"/>
        <w:gridCol w:w="4950"/>
        <w:gridCol w:w="1890"/>
      </w:tblGrid>
      <w:tr w:rsidR="000E36BD" w:rsidRPr="0017567B" w14:paraId="6B8C9C9A" w14:textId="77777777" w:rsidTr="000E36BD">
        <w:trPr>
          <w:trHeight w:val="315"/>
        </w:trPr>
        <w:tc>
          <w:tcPr>
            <w:tcW w:w="2088" w:type="dxa"/>
            <w:noWrap/>
            <w:hideMark/>
          </w:tcPr>
          <w:p w14:paraId="63225580"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3736E85E"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507D21F5" w14:textId="77777777" w:rsidR="000E36BD" w:rsidRPr="0017567B" w:rsidRDefault="000E36BD" w:rsidP="000E36BD">
            <w:pPr>
              <w:spacing w:after="0" w:line="240" w:lineRule="auto"/>
              <w:rPr>
                <w:rFonts w:ascii="Times New Roman" w:hAnsi="Times New Roman"/>
                <w:b/>
                <w:bCs/>
              </w:rPr>
            </w:pPr>
            <w:r w:rsidRPr="0017567B">
              <w:rPr>
                <w:rFonts w:ascii="Times New Roman" w:hAnsi="Times New Roman"/>
                <w:b/>
                <w:bCs/>
              </w:rPr>
              <w:t>Units</w:t>
            </w:r>
          </w:p>
        </w:tc>
      </w:tr>
      <w:tr w:rsidR="00E87A2E" w:rsidRPr="0017567B" w14:paraId="6A3229C6" w14:textId="77777777" w:rsidTr="000E36BD">
        <w:trPr>
          <w:trHeight w:val="305"/>
        </w:trPr>
        <w:tc>
          <w:tcPr>
            <w:tcW w:w="2088" w:type="dxa"/>
            <w:noWrap/>
          </w:tcPr>
          <w:p w14:paraId="0C60AFAB" w14:textId="1B5B1513" w:rsidR="00E87A2E" w:rsidRPr="0017567B" w:rsidRDefault="00E87A2E" w:rsidP="000E36BD">
            <w:pPr>
              <w:spacing w:after="0" w:line="240" w:lineRule="auto"/>
              <w:rPr>
                <w:rFonts w:ascii="Times New Roman" w:hAnsi="Times New Roman"/>
                <w:i/>
                <w:sz w:val="20"/>
              </w:rPr>
            </w:pPr>
            <w:r>
              <w:rPr>
                <w:rFonts w:ascii="Times New Roman" w:hAnsi="Times New Roman"/>
                <w:i/>
                <w:sz w:val="20"/>
              </w:rPr>
              <w:t>time</w:t>
            </w:r>
          </w:p>
        </w:tc>
        <w:tc>
          <w:tcPr>
            <w:tcW w:w="4950" w:type="dxa"/>
          </w:tcPr>
          <w:p w14:paraId="743FE000" w14:textId="25A43059" w:rsidR="00E87A2E" w:rsidRPr="0017567B" w:rsidRDefault="00E87A2E" w:rsidP="000E36BD">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518158A2" w14:textId="68E30E41" w:rsidR="00E87A2E" w:rsidRPr="0017567B" w:rsidRDefault="00E87A2E" w:rsidP="000E36BD">
            <w:pPr>
              <w:spacing w:after="0" w:line="240" w:lineRule="auto"/>
              <w:rPr>
                <w:rFonts w:ascii="Times New Roman" w:hAnsi="Times New Roman"/>
                <w:i/>
                <w:sz w:val="20"/>
              </w:rPr>
            </w:pPr>
            <w:r>
              <w:rPr>
                <w:rFonts w:ascii="Times New Roman" w:hAnsi="Times New Roman"/>
                <w:i/>
                <w:sz w:val="20"/>
              </w:rPr>
              <w:t>min</w:t>
            </w:r>
          </w:p>
        </w:tc>
      </w:tr>
      <w:tr w:rsidR="00E87A2E" w:rsidRPr="0017567B" w14:paraId="69097E55" w14:textId="77777777" w:rsidTr="000E36BD">
        <w:trPr>
          <w:trHeight w:val="300"/>
        </w:trPr>
        <w:tc>
          <w:tcPr>
            <w:tcW w:w="2088" w:type="dxa"/>
            <w:noWrap/>
          </w:tcPr>
          <w:p w14:paraId="2179727D" w14:textId="4BC25C25" w:rsidR="00E87A2E" w:rsidRPr="0017567B" w:rsidRDefault="00E87A2E" w:rsidP="000E36BD">
            <w:pPr>
              <w:spacing w:after="0" w:line="240" w:lineRule="auto"/>
              <w:rPr>
                <w:rFonts w:ascii="Times New Roman" w:hAnsi="Times New Roman"/>
                <w:sz w:val="20"/>
              </w:rPr>
            </w:pPr>
            <w:r>
              <w:rPr>
                <w:rFonts w:ascii="Times New Roman" w:hAnsi="Times New Roman"/>
                <w:sz w:val="20"/>
              </w:rPr>
              <w:t>A</w:t>
            </w:r>
            <w:r w:rsidR="00B83461">
              <w:rPr>
                <w:rFonts w:ascii="Times New Roman" w:hAnsi="Times New Roman"/>
                <w:sz w:val="20"/>
              </w:rPr>
              <w:t>la</w:t>
            </w:r>
            <w:r>
              <w:rPr>
                <w:rFonts w:ascii="Times New Roman" w:hAnsi="Times New Roman"/>
                <w:sz w:val="20"/>
              </w:rPr>
              <w:t xml:space="preserve"> concentration</w:t>
            </w:r>
          </w:p>
        </w:tc>
        <w:tc>
          <w:tcPr>
            <w:tcW w:w="4950" w:type="dxa"/>
          </w:tcPr>
          <w:p w14:paraId="4B29EBEB" w14:textId="7A55D8EB" w:rsidR="00E87A2E" w:rsidRPr="0017567B" w:rsidRDefault="00B83461" w:rsidP="000E36BD">
            <w:pPr>
              <w:spacing w:after="0" w:line="240" w:lineRule="auto"/>
              <w:rPr>
                <w:rFonts w:ascii="Times New Roman" w:hAnsi="Times New Roman"/>
                <w:sz w:val="20"/>
              </w:rPr>
            </w:pPr>
            <w:r>
              <w:rPr>
                <w:rFonts w:ascii="Times New Roman" w:hAnsi="Times New Roman"/>
                <w:sz w:val="20"/>
              </w:rPr>
              <w:t xml:space="preserve">Produced </w:t>
            </w:r>
            <w:r w:rsidR="00E87A2E">
              <w:rPr>
                <w:rFonts w:ascii="Times New Roman" w:hAnsi="Times New Roman"/>
                <w:sz w:val="20"/>
              </w:rPr>
              <w:t>A</w:t>
            </w:r>
            <w:r>
              <w:rPr>
                <w:rFonts w:ascii="Times New Roman" w:hAnsi="Times New Roman"/>
                <w:sz w:val="20"/>
              </w:rPr>
              <w:t>la (A)</w:t>
            </w:r>
            <w:r w:rsidR="00E87A2E">
              <w:rPr>
                <w:rFonts w:ascii="Times New Roman" w:hAnsi="Times New Roman"/>
                <w:sz w:val="20"/>
              </w:rPr>
              <w:t xml:space="preserve"> concentration at different time points during incubation.</w:t>
            </w:r>
          </w:p>
        </w:tc>
        <w:tc>
          <w:tcPr>
            <w:tcW w:w="1890" w:type="dxa"/>
          </w:tcPr>
          <w:p w14:paraId="224C6D4A" w14:textId="3E09B132" w:rsidR="00E87A2E" w:rsidRPr="0017567B" w:rsidRDefault="00E87A2E" w:rsidP="000E36BD">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3DBE03BF" w14:textId="77777777" w:rsidR="000E36BD" w:rsidRDefault="000E36BD" w:rsidP="000E36BD">
      <w:pPr>
        <w:spacing w:line="240" w:lineRule="auto"/>
        <w:contextualSpacing/>
        <w:rPr>
          <w:rFonts w:ascii="Times New Roman" w:hAnsi="Times New Roman"/>
          <w:b/>
        </w:rPr>
      </w:pPr>
    </w:p>
    <w:p w14:paraId="6F988468" w14:textId="5895B627" w:rsidR="004A3DDC" w:rsidRPr="0017567B" w:rsidRDefault="004A3DDC" w:rsidP="004A3DDC">
      <w:pPr>
        <w:spacing w:line="240" w:lineRule="auto"/>
        <w:rPr>
          <w:rFonts w:ascii="Times New Roman" w:hAnsi="Times New Roman"/>
        </w:rPr>
      </w:pPr>
      <w:r>
        <w:rPr>
          <w:rFonts w:ascii="Times New Roman" w:hAnsi="Times New Roman"/>
        </w:rPr>
        <w:t>Dataset filename: _______Fig. 3g initial exp-Val ____________</w:t>
      </w:r>
    </w:p>
    <w:tbl>
      <w:tblPr>
        <w:tblStyle w:val="TableGrid"/>
        <w:tblW w:w="8928" w:type="dxa"/>
        <w:tblInd w:w="378" w:type="dxa"/>
        <w:tblLook w:val="04A0" w:firstRow="1" w:lastRow="0" w:firstColumn="1" w:lastColumn="0" w:noHBand="0" w:noVBand="1"/>
      </w:tblPr>
      <w:tblGrid>
        <w:gridCol w:w="2088"/>
        <w:gridCol w:w="4950"/>
        <w:gridCol w:w="1890"/>
      </w:tblGrid>
      <w:tr w:rsidR="004A3DDC" w:rsidRPr="0017567B" w14:paraId="56911A68" w14:textId="77777777" w:rsidTr="00711671">
        <w:trPr>
          <w:trHeight w:val="315"/>
        </w:trPr>
        <w:tc>
          <w:tcPr>
            <w:tcW w:w="2088" w:type="dxa"/>
            <w:noWrap/>
            <w:hideMark/>
          </w:tcPr>
          <w:p w14:paraId="491C712F"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632EE506"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191505ED"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Units</w:t>
            </w:r>
          </w:p>
        </w:tc>
      </w:tr>
      <w:tr w:rsidR="00B83461" w:rsidRPr="0017567B" w14:paraId="7497AD87" w14:textId="77777777" w:rsidTr="00711671">
        <w:trPr>
          <w:trHeight w:val="305"/>
        </w:trPr>
        <w:tc>
          <w:tcPr>
            <w:tcW w:w="2088" w:type="dxa"/>
            <w:noWrap/>
          </w:tcPr>
          <w:p w14:paraId="17AEE24C" w14:textId="7CEE67E6" w:rsidR="00B83461" w:rsidRPr="0017567B" w:rsidRDefault="00B83461" w:rsidP="00711671">
            <w:pPr>
              <w:spacing w:after="0" w:line="240" w:lineRule="auto"/>
              <w:rPr>
                <w:rFonts w:ascii="Times New Roman" w:hAnsi="Times New Roman"/>
                <w:i/>
                <w:sz w:val="20"/>
              </w:rPr>
            </w:pPr>
            <w:r>
              <w:rPr>
                <w:rFonts w:ascii="Times New Roman" w:hAnsi="Times New Roman"/>
                <w:i/>
                <w:sz w:val="20"/>
              </w:rPr>
              <w:t>time</w:t>
            </w:r>
          </w:p>
        </w:tc>
        <w:tc>
          <w:tcPr>
            <w:tcW w:w="4950" w:type="dxa"/>
          </w:tcPr>
          <w:p w14:paraId="2B2C4145" w14:textId="78F0025C" w:rsidR="00B83461" w:rsidRPr="0017567B" w:rsidRDefault="00B83461" w:rsidP="00711671">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5BD0CEBA" w14:textId="0F5F9CF2" w:rsidR="00B83461" w:rsidRPr="0017567B" w:rsidRDefault="00B83461" w:rsidP="00711671">
            <w:pPr>
              <w:spacing w:after="0" w:line="240" w:lineRule="auto"/>
              <w:rPr>
                <w:rFonts w:ascii="Times New Roman" w:hAnsi="Times New Roman"/>
                <w:i/>
                <w:sz w:val="20"/>
              </w:rPr>
            </w:pPr>
            <w:r>
              <w:rPr>
                <w:rFonts w:ascii="Times New Roman" w:hAnsi="Times New Roman"/>
                <w:i/>
                <w:sz w:val="20"/>
              </w:rPr>
              <w:t>min</w:t>
            </w:r>
          </w:p>
        </w:tc>
      </w:tr>
      <w:tr w:rsidR="00B83461" w:rsidRPr="0017567B" w14:paraId="2CF8B4B4" w14:textId="77777777" w:rsidTr="00711671">
        <w:trPr>
          <w:trHeight w:val="300"/>
        </w:trPr>
        <w:tc>
          <w:tcPr>
            <w:tcW w:w="2088" w:type="dxa"/>
            <w:noWrap/>
          </w:tcPr>
          <w:p w14:paraId="79E90CD3" w14:textId="3F3289B6" w:rsidR="00B83461" w:rsidRPr="0017567B" w:rsidRDefault="00B83461" w:rsidP="00711671">
            <w:pPr>
              <w:spacing w:after="0" w:line="240" w:lineRule="auto"/>
              <w:rPr>
                <w:rFonts w:ascii="Times New Roman" w:hAnsi="Times New Roman"/>
                <w:sz w:val="20"/>
              </w:rPr>
            </w:pPr>
            <w:r>
              <w:rPr>
                <w:rFonts w:ascii="Times New Roman" w:hAnsi="Times New Roman"/>
                <w:sz w:val="20"/>
              </w:rPr>
              <w:t>Val</w:t>
            </w:r>
            <w:r>
              <w:rPr>
                <w:rFonts w:ascii="Times New Roman" w:hAnsi="Times New Roman"/>
                <w:sz w:val="20"/>
              </w:rPr>
              <w:t xml:space="preserve"> concentration</w:t>
            </w:r>
          </w:p>
        </w:tc>
        <w:tc>
          <w:tcPr>
            <w:tcW w:w="4950" w:type="dxa"/>
          </w:tcPr>
          <w:p w14:paraId="7C9DF35C" w14:textId="1478E26D" w:rsidR="00B83461" w:rsidRPr="0017567B" w:rsidRDefault="00B83461" w:rsidP="00711671">
            <w:pPr>
              <w:spacing w:after="0" w:line="240" w:lineRule="auto"/>
              <w:rPr>
                <w:rFonts w:ascii="Times New Roman" w:hAnsi="Times New Roman"/>
                <w:sz w:val="20"/>
              </w:rPr>
            </w:pPr>
            <w:r>
              <w:rPr>
                <w:rFonts w:ascii="Times New Roman" w:hAnsi="Times New Roman"/>
                <w:sz w:val="20"/>
              </w:rPr>
              <w:t>Produced Val (V)</w:t>
            </w:r>
            <w:r>
              <w:rPr>
                <w:rFonts w:ascii="Times New Roman" w:hAnsi="Times New Roman"/>
                <w:sz w:val="20"/>
              </w:rPr>
              <w:t xml:space="preserve"> concentration at different time points during incubation.</w:t>
            </w:r>
          </w:p>
        </w:tc>
        <w:tc>
          <w:tcPr>
            <w:tcW w:w="1890" w:type="dxa"/>
          </w:tcPr>
          <w:p w14:paraId="528E023D" w14:textId="724BAB8F" w:rsidR="00B83461" w:rsidRPr="0017567B" w:rsidRDefault="00B83461" w:rsidP="00711671">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0F0907C3" w14:textId="77777777" w:rsidR="004A3DDC" w:rsidRDefault="004A3DDC" w:rsidP="004A3DDC">
      <w:pPr>
        <w:spacing w:line="240" w:lineRule="auto"/>
        <w:contextualSpacing/>
        <w:rPr>
          <w:rFonts w:ascii="Times New Roman" w:hAnsi="Times New Roman"/>
          <w:b/>
        </w:rPr>
      </w:pPr>
    </w:p>
    <w:p w14:paraId="0279E524" w14:textId="5C449723" w:rsidR="004A3DDC" w:rsidRPr="0017567B" w:rsidRDefault="004A3DDC" w:rsidP="004A3DDC">
      <w:pPr>
        <w:spacing w:line="240" w:lineRule="auto"/>
        <w:rPr>
          <w:rFonts w:ascii="Times New Roman" w:hAnsi="Times New Roman"/>
        </w:rPr>
      </w:pPr>
      <w:r>
        <w:rPr>
          <w:rFonts w:ascii="Times New Roman" w:hAnsi="Times New Roman"/>
        </w:rPr>
        <w:t>Dataset filename: _______Fig. 3h initial exp-Phe ____________</w:t>
      </w:r>
    </w:p>
    <w:tbl>
      <w:tblPr>
        <w:tblStyle w:val="TableGrid"/>
        <w:tblW w:w="8928" w:type="dxa"/>
        <w:tblInd w:w="378" w:type="dxa"/>
        <w:tblLook w:val="04A0" w:firstRow="1" w:lastRow="0" w:firstColumn="1" w:lastColumn="0" w:noHBand="0" w:noVBand="1"/>
      </w:tblPr>
      <w:tblGrid>
        <w:gridCol w:w="2088"/>
        <w:gridCol w:w="4950"/>
        <w:gridCol w:w="1890"/>
      </w:tblGrid>
      <w:tr w:rsidR="004A3DDC" w:rsidRPr="0017567B" w14:paraId="2A57A4C3" w14:textId="77777777" w:rsidTr="00711671">
        <w:trPr>
          <w:trHeight w:val="315"/>
        </w:trPr>
        <w:tc>
          <w:tcPr>
            <w:tcW w:w="2088" w:type="dxa"/>
            <w:noWrap/>
            <w:hideMark/>
          </w:tcPr>
          <w:p w14:paraId="195849EE"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6B18FD9C"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38C64BD3"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Units</w:t>
            </w:r>
          </w:p>
        </w:tc>
      </w:tr>
      <w:tr w:rsidR="00B83461" w:rsidRPr="0017567B" w14:paraId="02755C31" w14:textId="77777777" w:rsidTr="00711671">
        <w:trPr>
          <w:trHeight w:val="305"/>
        </w:trPr>
        <w:tc>
          <w:tcPr>
            <w:tcW w:w="2088" w:type="dxa"/>
            <w:noWrap/>
          </w:tcPr>
          <w:p w14:paraId="7F588EC6" w14:textId="39B20019" w:rsidR="00B83461" w:rsidRPr="0017567B" w:rsidRDefault="00B83461" w:rsidP="00711671">
            <w:pPr>
              <w:spacing w:after="0" w:line="240" w:lineRule="auto"/>
              <w:rPr>
                <w:rFonts w:ascii="Times New Roman" w:hAnsi="Times New Roman"/>
                <w:i/>
                <w:sz w:val="20"/>
              </w:rPr>
            </w:pPr>
            <w:r>
              <w:rPr>
                <w:rFonts w:ascii="Times New Roman" w:hAnsi="Times New Roman"/>
                <w:i/>
                <w:sz w:val="20"/>
              </w:rPr>
              <w:t>time</w:t>
            </w:r>
          </w:p>
        </w:tc>
        <w:tc>
          <w:tcPr>
            <w:tcW w:w="4950" w:type="dxa"/>
          </w:tcPr>
          <w:p w14:paraId="036A3C24" w14:textId="1B6CFFB9" w:rsidR="00B83461" w:rsidRPr="0017567B" w:rsidRDefault="00B83461" w:rsidP="00711671">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1D91EE72" w14:textId="3BC971D5" w:rsidR="00B83461" w:rsidRPr="0017567B" w:rsidRDefault="00B83461" w:rsidP="00711671">
            <w:pPr>
              <w:spacing w:after="0" w:line="240" w:lineRule="auto"/>
              <w:rPr>
                <w:rFonts w:ascii="Times New Roman" w:hAnsi="Times New Roman"/>
                <w:i/>
                <w:sz w:val="20"/>
              </w:rPr>
            </w:pPr>
            <w:r>
              <w:rPr>
                <w:rFonts w:ascii="Times New Roman" w:hAnsi="Times New Roman"/>
                <w:i/>
                <w:sz w:val="20"/>
              </w:rPr>
              <w:t>min</w:t>
            </w:r>
          </w:p>
        </w:tc>
      </w:tr>
      <w:tr w:rsidR="00B83461" w:rsidRPr="0017567B" w14:paraId="1FF8AC49" w14:textId="77777777" w:rsidTr="00711671">
        <w:trPr>
          <w:trHeight w:val="300"/>
        </w:trPr>
        <w:tc>
          <w:tcPr>
            <w:tcW w:w="2088" w:type="dxa"/>
            <w:noWrap/>
          </w:tcPr>
          <w:p w14:paraId="6B5E6FEE" w14:textId="2068CF2A" w:rsidR="00B83461" w:rsidRPr="0017567B" w:rsidRDefault="00B83461" w:rsidP="00711671">
            <w:pPr>
              <w:spacing w:after="0" w:line="240" w:lineRule="auto"/>
              <w:rPr>
                <w:rFonts w:ascii="Times New Roman" w:hAnsi="Times New Roman"/>
                <w:sz w:val="20"/>
              </w:rPr>
            </w:pPr>
            <w:r>
              <w:rPr>
                <w:rFonts w:ascii="Times New Roman" w:hAnsi="Times New Roman"/>
                <w:sz w:val="20"/>
              </w:rPr>
              <w:t>Phe</w:t>
            </w:r>
            <w:r>
              <w:rPr>
                <w:rFonts w:ascii="Times New Roman" w:hAnsi="Times New Roman"/>
                <w:sz w:val="20"/>
              </w:rPr>
              <w:t xml:space="preserve"> concentration</w:t>
            </w:r>
          </w:p>
        </w:tc>
        <w:tc>
          <w:tcPr>
            <w:tcW w:w="4950" w:type="dxa"/>
          </w:tcPr>
          <w:p w14:paraId="20F8FD25" w14:textId="3F4C1713" w:rsidR="00B83461" w:rsidRPr="0017567B" w:rsidRDefault="00B83461" w:rsidP="00711671">
            <w:pPr>
              <w:spacing w:after="0" w:line="240" w:lineRule="auto"/>
              <w:rPr>
                <w:rFonts w:ascii="Times New Roman" w:hAnsi="Times New Roman"/>
                <w:sz w:val="20"/>
              </w:rPr>
            </w:pPr>
            <w:r>
              <w:rPr>
                <w:rFonts w:ascii="Times New Roman" w:hAnsi="Times New Roman"/>
                <w:sz w:val="20"/>
              </w:rPr>
              <w:t>Produced Phe (F)</w:t>
            </w:r>
            <w:r>
              <w:rPr>
                <w:rFonts w:ascii="Times New Roman" w:hAnsi="Times New Roman"/>
                <w:sz w:val="20"/>
              </w:rPr>
              <w:t xml:space="preserve"> concentration at different time points during incubation.</w:t>
            </w:r>
          </w:p>
        </w:tc>
        <w:tc>
          <w:tcPr>
            <w:tcW w:w="1890" w:type="dxa"/>
          </w:tcPr>
          <w:p w14:paraId="0B142C6B" w14:textId="22EC48FF" w:rsidR="00B83461" w:rsidRPr="0017567B" w:rsidRDefault="00B83461" w:rsidP="00711671">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21094464" w14:textId="77777777" w:rsidR="004A3DDC" w:rsidRDefault="004A3DDC" w:rsidP="004A3DDC">
      <w:pPr>
        <w:spacing w:line="240" w:lineRule="auto"/>
        <w:contextualSpacing/>
        <w:rPr>
          <w:rFonts w:ascii="Times New Roman" w:hAnsi="Times New Roman"/>
          <w:b/>
        </w:rPr>
      </w:pPr>
    </w:p>
    <w:p w14:paraId="4E670EFA" w14:textId="0A17A01B" w:rsidR="004A3DDC" w:rsidRPr="0017567B" w:rsidRDefault="004A3DDC" w:rsidP="004A3DDC">
      <w:pPr>
        <w:spacing w:line="240" w:lineRule="auto"/>
        <w:rPr>
          <w:rFonts w:ascii="Times New Roman" w:hAnsi="Times New Roman"/>
        </w:rPr>
      </w:pPr>
      <w:r>
        <w:rPr>
          <w:rFonts w:ascii="Times New Roman" w:hAnsi="Times New Roman"/>
        </w:rPr>
        <w:t>Dataset filename: _______Fig. 4 freezer test AVFA and fragments ____________</w:t>
      </w:r>
    </w:p>
    <w:tbl>
      <w:tblPr>
        <w:tblStyle w:val="TableGrid"/>
        <w:tblW w:w="8928" w:type="dxa"/>
        <w:tblInd w:w="378" w:type="dxa"/>
        <w:tblLook w:val="04A0" w:firstRow="1" w:lastRow="0" w:firstColumn="1" w:lastColumn="0" w:noHBand="0" w:noVBand="1"/>
      </w:tblPr>
      <w:tblGrid>
        <w:gridCol w:w="2088"/>
        <w:gridCol w:w="4950"/>
        <w:gridCol w:w="1890"/>
      </w:tblGrid>
      <w:tr w:rsidR="004A3DDC" w:rsidRPr="0017567B" w14:paraId="111330AF" w14:textId="77777777" w:rsidTr="00711671">
        <w:trPr>
          <w:trHeight w:val="315"/>
        </w:trPr>
        <w:tc>
          <w:tcPr>
            <w:tcW w:w="2088" w:type="dxa"/>
            <w:noWrap/>
            <w:hideMark/>
          </w:tcPr>
          <w:p w14:paraId="62B670EC"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Column name</w:t>
            </w:r>
          </w:p>
        </w:tc>
        <w:tc>
          <w:tcPr>
            <w:tcW w:w="4950" w:type="dxa"/>
            <w:hideMark/>
          </w:tcPr>
          <w:p w14:paraId="0C17015A"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Definition</w:t>
            </w:r>
          </w:p>
        </w:tc>
        <w:tc>
          <w:tcPr>
            <w:tcW w:w="1890" w:type="dxa"/>
          </w:tcPr>
          <w:p w14:paraId="699B9795" w14:textId="77777777" w:rsidR="004A3DDC" w:rsidRPr="0017567B" w:rsidRDefault="004A3DDC" w:rsidP="00711671">
            <w:pPr>
              <w:spacing w:after="0" w:line="240" w:lineRule="auto"/>
              <w:rPr>
                <w:rFonts w:ascii="Times New Roman" w:hAnsi="Times New Roman"/>
                <w:b/>
                <w:bCs/>
              </w:rPr>
            </w:pPr>
            <w:r w:rsidRPr="0017567B">
              <w:rPr>
                <w:rFonts w:ascii="Times New Roman" w:hAnsi="Times New Roman"/>
                <w:b/>
                <w:bCs/>
              </w:rPr>
              <w:t>Units</w:t>
            </w:r>
          </w:p>
        </w:tc>
      </w:tr>
      <w:tr w:rsidR="00B83461" w:rsidRPr="0017567B" w14:paraId="4D784ABC" w14:textId="77777777" w:rsidTr="00711671">
        <w:trPr>
          <w:trHeight w:val="305"/>
        </w:trPr>
        <w:tc>
          <w:tcPr>
            <w:tcW w:w="2088" w:type="dxa"/>
            <w:noWrap/>
          </w:tcPr>
          <w:p w14:paraId="283F5F3A" w14:textId="36278B93" w:rsidR="00B83461" w:rsidRPr="0017567B" w:rsidRDefault="00B83461" w:rsidP="00711671">
            <w:pPr>
              <w:spacing w:after="0" w:line="240" w:lineRule="auto"/>
              <w:rPr>
                <w:rFonts w:ascii="Times New Roman" w:hAnsi="Times New Roman"/>
                <w:i/>
                <w:sz w:val="20"/>
              </w:rPr>
            </w:pPr>
            <w:r>
              <w:rPr>
                <w:rFonts w:ascii="Times New Roman" w:hAnsi="Times New Roman"/>
                <w:i/>
                <w:sz w:val="20"/>
              </w:rPr>
              <w:t>time</w:t>
            </w:r>
          </w:p>
        </w:tc>
        <w:tc>
          <w:tcPr>
            <w:tcW w:w="4950" w:type="dxa"/>
          </w:tcPr>
          <w:p w14:paraId="2234E9A5" w14:textId="1090B3AA" w:rsidR="00B83461" w:rsidRPr="0017567B" w:rsidRDefault="00B83461" w:rsidP="00711671">
            <w:pPr>
              <w:spacing w:after="0" w:line="240" w:lineRule="auto"/>
              <w:rPr>
                <w:rFonts w:ascii="Times New Roman" w:hAnsi="Times New Roman"/>
                <w:i/>
                <w:sz w:val="20"/>
              </w:rPr>
            </w:pPr>
            <w:r>
              <w:rPr>
                <w:rFonts w:ascii="Times New Roman" w:hAnsi="Times New Roman"/>
                <w:i/>
                <w:sz w:val="20"/>
              </w:rPr>
              <w:t>Incubation time.</w:t>
            </w:r>
          </w:p>
        </w:tc>
        <w:tc>
          <w:tcPr>
            <w:tcW w:w="1890" w:type="dxa"/>
          </w:tcPr>
          <w:p w14:paraId="62F433E9" w14:textId="04D03A33" w:rsidR="00B83461" w:rsidRPr="0017567B" w:rsidRDefault="00B83461" w:rsidP="00711671">
            <w:pPr>
              <w:spacing w:after="0" w:line="240" w:lineRule="auto"/>
              <w:rPr>
                <w:rFonts w:ascii="Times New Roman" w:hAnsi="Times New Roman"/>
                <w:i/>
                <w:sz w:val="20"/>
              </w:rPr>
            </w:pPr>
            <w:r>
              <w:rPr>
                <w:rFonts w:ascii="Times New Roman" w:hAnsi="Times New Roman"/>
                <w:i/>
                <w:sz w:val="20"/>
              </w:rPr>
              <w:t>min</w:t>
            </w:r>
          </w:p>
        </w:tc>
      </w:tr>
      <w:tr w:rsidR="00B83461" w:rsidRPr="0017567B" w14:paraId="5120693E" w14:textId="77777777" w:rsidTr="00711671">
        <w:trPr>
          <w:trHeight w:val="300"/>
        </w:trPr>
        <w:tc>
          <w:tcPr>
            <w:tcW w:w="2088" w:type="dxa"/>
            <w:noWrap/>
          </w:tcPr>
          <w:p w14:paraId="1AD7E704" w14:textId="13E69A25" w:rsidR="00B83461" w:rsidRPr="0017567B" w:rsidRDefault="00B83461" w:rsidP="00711671">
            <w:pPr>
              <w:spacing w:after="0" w:line="240" w:lineRule="auto"/>
              <w:rPr>
                <w:rFonts w:ascii="Times New Roman" w:hAnsi="Times New Roman"/>
                <w:sz w:val="20"/>
              </w:rPr>
            </w:pPr>
            <w:r>
              <w:rPr>
                <w:rFonts w:ascii="Times New Roman" w:hAnsi="Times New Roman"/>
                <w:sz w:val="20"/>
              </w:rPr>
              <w:t xml:space="preserve">AVFA </w:t>
            </w:r>
            <w:r>
              <w:rPr>
                <w:rFonts w:ascii="Times New Roman" w:hAnsi="Times New Roman"/>
                <w:sz w:val="20"/>
              </w:rPr>
              <w:t>concentration</w:t>
            </w:r>
          </w:p>
        </w:tc>
        <w:tc>
          <w:tcPr>
            <w:tcW w:w="4950" w:type="dxa"/>
          </w:tcPr>
          <w:p w14:paraId="67C63A53" w14:textId="6EADF78C" w:rsidR="00B83461" w:rsidRPr="0017567B" w:rsidRDefault="00B83461" w:rsidP="00711671">
            <w:pPr>
              <w:spacing w:after="0" w:line="240" w:lineRule="auto"/>
              <w:rPr>
                <w:rFonts w:ascii="Times New Roman" w:hAnsi="Times New Roman"/>
                <w:sz w:val="20"/>
              </w:rPr>
            </w:pPr>
            <w:r>
              <w:rPr>
                <w:rFonts w:ascii="Times New Roman" w:hAnsi="Times New Roman"/>
                <w:sz w:val="20"/>
              </w:rPr>
              <w:t>AVFA</w:t>
            </w:r>
            <w:r>
              <w:rPr>
                <w:rFonts w:ascii="Times New Roman" w:hAnsi="Times New Roman"/>
                <w:sz w:val="20"/>
              </w:rPr>
              <w:t xml:space="preserve"> concentration at different time points during incubation.</w:t>
            </w:r>
          </w:p>
        </w:tc>
        <w:tc>
          <w:tcPr>
            <w:tcW w:w="1890" w:type="dxa"/>
          </w:tcPr>
          <w:p w14:paraId="3AB872FF" w14:textId="76F0587E" w:rsidR="00B83461" w:rsidRPr="0017567B" w:rsidRDefault="00B83461" w:rsidP="00711671">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r w:rsidR="004A3DDC" w:rsidRPr="0017567B" w14:paraId="74DDE36D" w14:textId="77777777" w:rsidTr="00711671">
        <w:trPr>
          <w:trHeight w:val="300"/>
        </w:trPr>
        <w:tc>
          <w:tcPr>
            <w:tcW w:w="2088" w:type="dxa"/>
            <w:noWrap/>
          </w:tcPr>
          <w:p w14:paraId="637249BC" w14:textId="52498355" w:rsidR="004A3DDC" w:rsidRPr="0017567B" w:rsidRDefault="00B83461" w:rsidP="00711671">
            <w:pPr>
              <w:spacing w:after="0" w:line="240" w:lineRule="auto"/>
              <w:rPr>
                <w:rFonts w:ascii="Times New Roman" w:hAnsi="Times New Roman"/>
                <w:sz w:val="20"/>
              </w:rPr>
            </w:pPr>
            <w:r>
              <w:rPr>
                <w:rFonts w:ascii="Times New Roman" w:hAnsi="Times New Roman"/>
                <w:sz w:val="20"/>
              </w:rPr>
              <w:t>Fragments concentration</w:t>
            </w:r>
          </w:p>
        </w:tc>
        <w:tc>
          <w:tcPr>
            <w:tcW w:w="4950" w:type="dxa"/>
          </w:tcPr>
          <w:p w14:paraId="3283A5D0" w14:textId="22FE9612" w:rsidR="004A3DDC" w:rsidRPr="0017567B" w:rsidRDefault="00B83461" w:rsidP="00711671">
            <w:pPr>
              <w:spacing w:after="0" w:line="240" w:lineRule="auto"/>
              <w:rPr>
                <w:rFonts w:ascii="Times New Roman" w:hAnsi="Times New Roman"/>
                <w:sz w:val="20"/>
              </w:rPr>
            </w:pPr>
            <w:r>
              <w:rPr>
                <w:rFonts w:ascii="Times New Roman" w:hAnsi="Times New Roman"/>
                <w:sz w:val="20"/>
              </w:rPr>
              <w:t>Fragments concentration (sum of AVF, VFA and FA) at different time points during incubation.</w:t>
            </w:r>
          </w:p>
        </w:tc>
        <w:tc>
          <w:tcPr>
            <w:tcW w:w="1890" w:type="dxa"/>
          </w:tcPr>
          <w:p w14:paraId="7F7CE158" w14:textId="12B8B020" w:rsidR="004A3DDC" w:rsidRPr="0017567B" w:rsidRDefault="00B83461" w:rsidP="00711671">
            <w:pPr>
              <w:spacing w:after="0" w:line="240" w:lineRule="auto"/>
              <w:rPr>
                <w:rFonts w:ascii="Times New Roman" w:hAnsi="Times New Roman"/>
                <w:sz w:val="20"/>
              </w:rPr>
            </w:pPr>
            <w:r w:rsidRPr="00E87A2E">
              <w:rPr>
                <w:rFonts w:ascii="Symbol" w:hAnsi="Symbol"/>
                <w:i/>
                <w:sz w:val="20"/>
              </w:rPr>
              <w:t></w:t>
            </w:r>
            <w:r>
              <w:rPr>
                <w:rFonts w:ascii="Times New Roman" w:hAnsi="Times New Roman"/>
                <w:i/>
                <w:sz w:val="20"/>
              </w:rPr>
              <w:t>mol L</w:t>
            </w:r>
            <w:r w:rsidRPr="00E87A2E">
              <w:rPr>
                <w:rFonts w:ascii="Times New Roman" w:hAnsi="Times New Roman"/>
                <w:i/>
                <w:sz w:val="20"/>
                <w:vertAlign w:val="superscript"/>
              </w:rPr>
              <w:t>-1</w:t>
            </w:r>
          </w:p>
        </w:tc>
      </w:tr>
    </w:tbl>
    <w:p w14:paraId="1D2A6E5E" w14:textId="77777777" w:rsidR="004A3DDC" w:rsidRDefault="004A3DDC" w:rsidP="004A3DDC">
      <w:pPr>
        <w:spacing w:line="240" w:lineRule="auto"/>
        <w:contextualSpacing/>
        <w:rPr>
          <w:rFonts w:ascii="Times New Roman" w:hAnsi="Times New Roman"/>
          <w:b/>
        </w:rPr>
      </w:pPr>
    </w:p>
    <w:p w14:paraId="6830F616" w14:textId="77777777" w:rsidR="008A5C3C" w:rsidRPr="008A5C3C" w:rsidRDefault="008A5C3C" w:rsidP="008A5C3C">
      <w:pPr>
        <w:tabs>
          <w:tab w:val="left" w:pos="7710"/>
        </w:tabs>
        <w:rPr>
          <w:rFonts w:ascii="Times New Roman" w:hAnsi="Times New Roman"/>
        </w:rPr>
      </w:pPr>
      <w:r>
        <w:rPr>
          <w:rFonts w:ascii="Times New Roman" w:hAnsi="Times New Roman"/>
        </w:rPr>
        <w:tab/>
      </w:r>
    </w:p>
    <w:sectPr w:rsidR="008A5C3C" w:rsidRPr="008A5C3C" w:rsidSect="00DD51B1">
      <w:footerReference w:type="default" r:id="rId8"/>
      <w:headerReference w:type="first" r:id="rId9"/>
      <w:pgSz w:w="12240" w:h="15840"/>
      <w:pgMar w:top="1260" w:right="1440" w:bottom="900" w:left="1440" w:header="720" w:footer="144"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9DCE8" w14:textId="77777777" w:rsidR="00E87A2E" w:rsidRDefault="00E87A2E" w:rsidP="00B337A9">
      <w:pPr>
        <w:spacing w:after="0" w:line="240" w:lineRule="auto"/>
      </w:pPr>
      <w:r>
        <w:separator/>
      </w:r>
    </w:p>
  </w:endnote>
  <w:endnote w:type="continuationSeparator" w:id="0">
    <w:p w14:paraId="7C3C3044" w14:textId="77777777" w:rsidR="00E87A2E" w:rsidRDefault="00E87A2E"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A23CB" w14:textId="77777777" w:rsidR="00E87A2E" w:rsidRPr="00DD51B1" w:rsidRDefault="00E87A2E">
    <w:pPr>
      <w:pStyle w:val="Footer"/>
      <w:jc w:val="right"/>
      <w:rPr>
        <w:i/>
      </w:rPr>
    </w:pPr>
    <w:r w:rsidRPr="00DD51B1">
      <w:rPr>
        <w:i/>
      </w:rPr>
      <w:t>Metadata form for LO-Letters</w:t>
    </w:r>
    <w:r w:rsidRPr="00DD51B1">
      <w:rPr>
        <w:i/>
      </w:rPr>
      <w:tab/>
    </w:r>
    <w:r w:rsidRPr="00DD51B1">
      <w:rPr>
        <w:i/>
      </w:rPr>
      <w:tab/>
    </w:r>
    <w:r>
      <w:rPr>
        <w:i/>
      </w:rPr>
      <w:t>4/28/17</w:t>
    </w:r>
    <w:r w:rsidRPr="00DD51B1">
      <w:rPr>
        <w:i/>
      </w:rPr>
      <w:t xml:space="preserve">                  </w:t>
    </w:r>
    <w:r w:rsidRPr="00DD51B1">
      <w:rPr>
        <w:i/>
      </w:rPr>
      <w:fldChar w:fldCharType="begin"/>
    </w:r>
    <w:r w:rsidRPr="00DD51B1">
      <w:rPr>
        <w:i/>
      </w:rPr>
      <w:instrText xml:space="preserve"> PAGE   \* MERGEFORMAT </w:instrText>
    </w:r>
    <w:r w:rsidRPr="00DD51B1">
      <w:rPr>
        <w:i/>
      </w:rPr>
      <w:fldChar w:fldCharType="separate"/>
    </w:r>
    <w:r w:rsidR="00741FA8">
      <w:rPr>
        <w:i/>
        <w:noProof/>
      </w:rPr>
      <w:t>2</w:t>
    </w:r>
    <w:r w:rsidRPr="00DD51B1">
      <w:rPr>
        <w:i/>
      </w:rPr>
      <w:fldChar w:fldCharType="end"/>
    </w:r>
  </w:p>
  <w:p w14:paraId="2A7BE8BB" w14:textId="77777777" w:rsidR="00E87A2E" w:rsidRDefault="00E87A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D9F1B" w14:textId="77777777" w:rsidR="00E87A2E" w:rsidRDefault="00E87A2E" w:rsidP="00B337A9">
      <w:pPr>
        <w:spacing w:after="0" w:line="240" w:lineRule="auto"/>
      </w:pPr>
      <w:r>
        <w:separator/>
      </w:r>
    </w:p>
  </w:footnote>
  <w:footnote w:type="continuationSeparator" w:id="0">
    <w:p w14:paraId="3B9EE050" w14:textId="77777777" w:rsidR="00E87A2E" w:rsidRDefault="00E87A2E" w:rsidP="00B337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EFF9E" w14:textId="77777777" w:rsidR="00E87A2E" w:rsidRDefault="00E87A2E">
    <w:pPr>
      <w:pStyle w:val="Header"/>
    </w:pPr>
    <w:r>
      <w:t>Template – 9/7/15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8E"/>
    <w:rsid w:val="00015588"/>
    <w:rsid w:val="0001723C"/>
    <w:rsid w:val="000215D8"/>
    <w:rsid w:val="0002394C"/>
    <w:rsid w:val="000241AC"/>
    <w:rsid w:val="00035B72"/>
    <w:rsid w:val="000422AF"/>
    <w:rsid w:val="00053FB7"/>
    <w:rsid w:val="00056F55"/>
    <w:rsid w:val="000637F7"/>
    <w:rsid w:val="0006456E"/>
    <w:rsid w:val="0007259F"/>
    <w:rsid w:val="000735C5"/>
    <w:rsid w:val="0009116F"/>
    <w:rsid w:val="000B71AD"/>
    <w:rsid w:val="000C67D1"/>
    <w:rsid w:val="000C7C79"/>
    <w:rsid w:val="000E36BD"/>
    <w:rsid w:val="000F41AC"/>
    <w:rsid w:val="000F7D91"/>
    <w:rsid w:val="001050E6"/>
    <w:rsid w:val="00115780"/>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CFD"/>
    <w:rsid w:val="00333459"/>
    <w:rsid w:val="00345971"/>
    <w:rsid w:val="00345B23"/>
    <w:rsid w:val="00376645"/>
    <w:rsid w:val="003A410F"/>
    <w:rsid w:val="003B3707"/>
    <w:rsid w:val="003B6202"/>
    <w:rsid w:val="003C62DF"/>
    <w:rsid w:val="003D32AF"/>
    <w:rsid w:val="003E0FE5"/>
    <w:rsid w:val="003E320E"/>
    <w:rsid w:val="003F277F"/>
    <w:rsid w:val="00403A82"/>
    <w:rsid w:val="0040539B"/>
    <w:rsid w:val="0040717C"/>
    <w:rsid w:val="00410032"/>
    <w:rsid w:val="00410D18"/>
    <w:rsid w:val="00423961"/>
    <w:rsid w:val="00424821"/>
    <w:rsid w:val="0042677D"/>
    <w:rsid w:val="0044671E"/>
    <w:rsid w:val="0046702B"/>
    <w:rsid w:val="00490857"/>
    <w:rsid w:val="004A3DDC"/>
    <w:rsid w:val="004A51FC"/>
    <w:rsid w:val="004C0EB4"/>
    <w:rsid w:val="004C57C7"/>
    <w:rsid w:val="004D2D20"/>
    <w:rsid w:val="004F0FE6"/>
    <w:rsid w:val="004F3177"/>
    <w:rsid w:val="004F49F9"/>
    <w:rsid w:val="00504869"/>
    <w:rsid w:val="005220EF"/>
    <w:rsid w:val="00524E4F"/>
    <w:rsid w:val="005337DE"/>
    <w:rsid w:val="0053754D"/>
    <w:rsid w:val="0054321D"/>
    <w:rsid w:val="0054755A"/>
    <w:rsid w:val="005732A2"/>
    <w:rsid w:val="005963E2"/>
    <w:rsid w:val="005B379E"/>
    <w:rsid w:val="005C627C"/>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5063"/>
    <w:rsid w:val="006A782F"/>
    <w:rsid w:val="006B2499"/>
    <w:rsid w:val="006C2259"/>
    <w:rsid w:val="006C4764"/>
    <w:rsid w:val="006D5502"/>
    <w:rsid w:val="006F7157"/>
    <w:rsid w:val="006F7E0B"/>
    <w:rsid w:val="00707080"/>
    <w:rsid w:val="00711671"/>
    <w:rsid w:val="0071456B"/>
    <w:rsid w:val="0072143D"/>
    <w:rsid w:val="00722AA5"/>
    <w:rsid w:val="007238FD"/>
    <w:rsid w:val="00726C4F"/>
    <w:rsid w:val="00734BC6"/>
    <w:rsid w:val="00741FA8"/>
    <w:rsid w:val="007472A8"/>
    <w:rsid w:val="007715E3"/>
    <w:rsid w:val="00791D44"/>
    <w:rsid w:val="007C0508"/>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4D57"/>
    <w:rsid w:val="008808E3"/>
    <w:rsid w:val="008A391A"/>
    <w:rsid w:val="008A5C3C"/>
    <w:rsid w:val="008C01AC"/>
    <w:rsid w:val="008D5959"/>
    <w:rsid w:val="00902BC6"/>
    <w:rsid w:val="00911C42"/>
    <w:rsid w:val="009222DA"/>
    <w:rsid w:val="00940985"/>
    <w:rsid w:val="00943166"/>
    <w:rsid w:val="00947168"/>
    <w:rsid w:val="009A4BD7"/>
    <w:rsid w:val="009A689A"/>
    <w:rsid w:val="009B2675"/>
    <w:rsid w:val="009C52CF"/>
    <w:rsid w:val="009D6656"/>
    <w:rsid w:val="009E0A29"/>
    <w:rsid w:val="009E3279"/>
    <w:rsid w:val="009E352C"/>
    <w:rsid w:val="009F5111"/>
    <w:rsid w:val="00A013C1"/>
    <w:rsid w:val="00A10230"/>
    <w:rsid w:val="00A430AC"/>
    <w:rsid w:val="00A45309"/>
    <w:rsid w:val="00A573C5"/>
    <w:rsid w:val="00A644D8"/>
    <w:rsid w:val="00A73302"/>
    <w:rsid w:val="00A76EF8"/>
    <w:rsid w:val="00AA0C31"/>
    <w:rsid w:val="00AA692C"/>
    <w:rsid w:val="00AB6698"/>
    <w:rsid w:val="00AC325B"/>
    <w:rsid w:val="00AD5516"/>
    <w:rsid w:val="00AE300E"/>
    <w:rsid w:val="00AF2330"/>
    <w:rsid w:val="00B15603"/>
    <w:rsid w:val="00B337A9"/>
    <w:rsid w:val="00B347EA"/>
    <w:rsid w:val="00B3624C"/>
    <w:rsid w:val="00B41BC0"/>
    <w:rsid w:val="00B464F5"/>
    <w:rsid w:val="00B83461"/>
    <w:rsid w:val="00B95EFF"/>
    <w:rsid w:val="00BA052C"/>
    <w:rsid w:val="00BA1409"/>
    <w:rsid w:val="00BA7CBF"/>
    <w:rsid w:val="00BC5644"/>
    <w:rsid w:val="00BE3E9D"/>
    <w:rsid w:val="00BF381C"/>
    <w:rsid w:val="00C0298F"/>
    <w:rsid w:val="00C13017"/>
    <w:rsid w:val="00C30A2B"/>
    <w:rsid w:val="00C31813"/>
    <w:rsid w:val="00C37A8E"/>
    <w:rsid w:val="00C42C94"/>
    <w:rsid w:val="00C705B7"/>
    <w:rsid w:val="00C835BC"/>
    <w:rsid w:val="00CC7294"/>
    <w:rsid w:val="00CE04F6"/>
    <w:rsid w:val="00CE0690"/>
    <w:rsid w:val="00CE28FC"/>
    <w:rsid w:val="00CF4A39"/>
    <w:rsid w:val="00D0414F"/>
    <w:rsid w:val="00D05F7C"/>
    <w:rsid w:val="00D07006"/>
    <w:rsid w:val="00D23343"/>
    <w:rsid w:val="00D26834"/>
    <w:rsid w:val="00D406CF"/>
    <w:rsid w:val="00D45346"/>
    <w:rsid w:val="00D462E2"/>
    <w:rsid w:val="00D5386F"/>
    <w:rsid w:val="00D60162"/>
    <w:rsid w:val="00D66BC0"/>
    <w:rsid w:val="00D66D27"/>
    <w:rsid w:val="00D75D0C"/>
    <w:rsid w:val="00D87E5B"/>
    <w:rsid w:val="00D909EF"/>
    <w:rsid w:val="00D94B26"/>
    <w:rsid w:val="00D95A4B"/>
    <w:rsid w:val="00D960EB"/>
    <w:rsid w:val="00D97802"/>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26C1"/>
    <w:rsid w:val="00E65154"/>
    <w:rsid w:val="00E801CA"/>
    <w:rsid w:val="00E87A2E"/>
    <w:rsid w:val="00EA50A8"/>
    <w:rsid w:val="00EB0053"/>
    <w:rsid w:val="00EB3BC4"/>
    <w:rsid w:val="00EB7C4E"/>
    <w:rsid w:val="00ED4556"/>
    <w:rsid w:val="00EE4048"/>
    <w:rsid w:val="00F13A69"/>
    <w:rsid w:val="00F37DF7"/>
    <w:rsid w:val="00F431DB"/>
    <w:rsid w:val="00F5385C"/>
    <w:rsid w:val="00F62F0A"/>
    <w:rsid w:val="00F64512"/>
    <w:rsid w:val="00F931C8"/>
    <w:rsid w:val="00FA3812"/>
    <w:rsid w:val="00FB728F"/>
    <w:rsid w:val="00FC1824"/>
    <w:rsid w:val="00FC4283"/>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E213D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Table Grid"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819"/>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customStyle="1" w:styleId="GridTableLight">
    <w:name w:val="Grid Table Light"/>
    <w:basedOn w:val="TableNormal"/>
    <w:uiPriority w:val="40"/>
    <w:rsid w:val="006F715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1557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Table Grid"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819"/>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customStyle="1" w:styleId="GridTableLight">
    <w:name w:val="Grid Table Light"/>
    <w:basedOn w:val="TableNormal"/>
    <w:uiPriority w:val="40"/>
    <w:rsid w:val="006F715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155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221046">
      <w:marLeft w:val="0"/>
      <w:marRight w:val="0"/>
      <w:marTop w:val="0"/>
      <w:marBottom w:val="0"/>
      <w:divBdr>
        <w:top w:val="none" w:sz="0" w:space="0" w:color="auto"/>
        <w:left w:val="none" w:sz="0" w:space="0" w:color="auto"/>
        <w:bottom w:val="none" w:sz="0" w:space="0" w:color="auto"/>
        <w:right w:val="none" w:sz="0" w:space="0" w:color="auto"/>
      </w:divBdr>
    </w:div>
    <w:div w:id="1855221047">
      <w:marLeft w:val="0"/>
      <w:marRight w:val="0"/>
      <w:marTop w:val="0"/>
      <w:marBottom w:val="0"/>
      <w:divBdr>
        <w:top w:val="none" w:sz="0" w:space="0" w:color="auto"/>
        <w:left w:val="none" w:sz="0" w:space="0" w:color="auto"/>
        <w:bottom w:val="none" w:sz="0" w:space="0" w:color="auto"/>
        <w:right w:val="none" w:sz="0" w:space="0" w:color="auto"/>
      </w:divBdr>
    </w:div>
    <w:div w:id="1855221048">
      <w:marLeft w:val="0"/>
      <w:marRight w:val="0"/>
      <w:marTop w:val="0"/>
      <w:marBottom w:val="0"/>
      <w:divBdr>
        <w:top w:val="none" w:sz="0" w:space="0" w:color="auto"/>
        <w:left w:val="none" w:sz="0" w:space="0" w:color="auto"/>
        <w:bottom w:val="none" w:sz="0" w:space="0" w:color="auto"/>
        <w:right w:val="none" w:sz="0" w:space="0" w:color="auto"/>
      </w:divBdr>
    </w:div>
    <w:div w:id="1855221049">
      <w:marLeft w:val="0"/>
      <w:marRight w:val="0"/>
      <w:marTop w:val="0"/>
      <w:marBottom w:val="0"/>
      <w:divBdr>
        <w:top w:val="none" w:sz="0" w:space="0" w:color="auto"/>
        <w:left w:val="none" w:sz="0" w:space="0" w:color="auto"/>
        <w:bottom w:val="none" w:sz="0" w:space="0" w:color="auto"/>
        <w:right w:val="none" w:sz="0" w:space="0" w:color="auto"/>
      </w:divBdr>
    </w:div>
    <w:div w:id="1855221050">
      <w:marLeft w:val="0"/>
      <w:marRight w:val="0"/>
      <w:marTop w:val="0"/>
      <w:marBottom w:val="0"/>
      <w:divBdr>
        <w:top w:val="none" w:sz="0" w:space="0" w:color="auto"/>
        <w:left w:val="none" w:sz="0" w:space="0" w:color="auto"/>
        <w:bottom w:val="none" w:sz="0" w:space="0" w:color="auto"/>
        <w:right w:val="none" w:sz="0" w:space="0" w:color="auto"/>
      </w:divBdr>
    </w:div>
    <w:div w:id="1855221051">
      <w:marLeft w:val="0"/>
      <w:marRight w:val="0"/>
      <w:marTop w:val="0"/>
      <w:marBottom w:val="0"/>
      <w:divBdr>
        <w:top w:val="none" w:sz="0" w:space="0" w:color="auto"/>
        <w:left w:val="none" w:sz="0" w:space="0" w:color="auto"/>
        <w:bottom w:val="none" w:sz="0" w:space="0" w:color="auto"/>
        <w:right w:val="none" w:sz="0" w:space="0" w:color="auto"/>
      </w:divBdr>
    </w:div>
    <w:div w:id="1855221052">
      <w:marLeft w:val="0"/>
      <w:marRight w:val="0"/>
      <w:marTop w:val="0"/>
      <w:marBottom w:val="0"/>
      <w:divBdr>
        <w:top w:val="none" w:sz="0" w:space="0" w:color="auto"/>
        <w:left w:val="none" w:sz="0" w:space="0" w:color="auto"/>
        <w:bottom w:val="none" w:sz="0" w:space="0" w:color="auto"/>
        <w:right w:val="none" w:sz="0" w:space="0" w:color="auto"/>
      </w:divBdr>
    </w:div>
    <w:div w:id="1855221053">
      <w:marLeft w:val="0"/>
      <w:marRight w:val="0"/>
      <w:marTop w:val="0"/>
      <w:marBottom w:val="0"/>
      <w:divBdr>
        <w:top w:val="none" w:sz="0" w:space="0" w:color="auto"/>
        <w:left w:val="none" w:sz="0" w:space="0" w:color="auto"/>
        <w:bottom w:val="none" w:sz="0" w:space="0" w:color="auto"/>
        <w:right w:val="none" w:sz="0" w:space="0" w:color="auto"/>
      </w:divBdr>
    </w:div>
    <w:div w:id="1855221054">
      <w:marLeft w:val="0"/>
      <w:marRight w:val="0"/>
      <w:marTop w:val="0"/>
      <w:marBottom w:val="0"/>
      <w:divBdr>
        <w:top w:val="none" w:sz="0" w:space="0" w:color="auto"/>
        <w:left w:val="none" w:sz="0" w:space="0" w:color="auto"/>
        <w:bottom w:val="none" w:sz="0" w:space="0" w:color="auto"/>
        <w:right w:val="none" w:sz="0" w:space="0" w:color="auto"/>
      </w:divBdr>
    </w:div>
    <w:div w:id="1855221055">
      <w:marLeft w:val="0"/>
      <w:marRight w:val="0"/>
      <w:marTop w:val="0"/>
      <w:marBottom w:val="0"/>
      <w:divBdr>
        <w:top w:val="none" w:sz="0" w:space="0" w:color="auto"/>
        <w:left w:val="none" w:sz="0" w:space="0" w:color="auto"/>
        <w:bottom w:val="none" w:sz="0" w:space="0" w:color="auto"/>
        <w:right w:val="none" w:sz="0" w:space="0" w:color="auto"/>
      </w:divBdr>
    </w:div>
    <w:div w:id="1855221056">
      <w:marLeft w:val="0"/>
      <w:marRight w:val="0"/>
      <w:marTop w:val="0"/>
      <w:marBottom w:val="0"/>
      <w:divBdr>
        <w:top w:val="none" w:sz="0" w:space="0" w:color="auto"/>
        <w:left w:val="none" w:sz="0" w:space="0" w:color="auto"/>
        <w:bottom w:val="none" w:sz="0" w:space="0" w:color="auto"/>
        <w:right w:val="none" w:sz="0" w:space="0" w:color="auto"/>
      </w:divBdr>
    </w:div>
    <w:div w:id="1855221057">
      <w:marLeft w:val="0"/>
      <w:marRight w:val="0"/>
      <w:marTop w:val="0"/>
      <w:marBottom w:val="0"/>
      <w:divBdr>
        <w:top w:val="none" w:sz="0" w:space="0" w:color="auto"/>
        <w:left w:val="none" w:sz="0" w:space="0" w:color="auto"/>
        <w:bottom w:val="none" w:sz="0" w:space="0" w:color="auto"/>
        <w:right w:val="none" w:sz="0" w:space="0" w:color="auto"/>
      </w:divBdr>
    </w:div>
    <w:div w:id="1855221058">
      <w:marLeft w:val="0"/>
      <w:marRight w:val="0"/>
      <w:marTop w:val="0"/>
      <w:marBottom w:val="0"/>
      <w:divBdr>
        <w:top w:val="none" w:sz="0" w:space="0" w:color="auto"/>
        <w:left w:val="none" w:sz="0" w:space="0" w:color="auto"/>
        <w:bottom w:val="none" w:sz="0" w:space="0" w:color="auto"/>
        <w:right w:val="none" w:sz="0" w:space="0" w:color="auto"/>
      </w:divBdr>
    </w:div>
    <w:div w:id="1855221059">
      <w:marLeft w:val="0"/>
      <w:marRight w:val="0"/>
      <w:marTop w:val="0"/>
      <w:marBottom w:val="0"/>
      <w:divBdr>
        <w:top w:val="none" w:sz="0" w:space="0" w:color="auto"/>
        <w:left w:val="none" w:sz="0" w:space="0" w:color="auto"/>
        <w:bottom w:val="none" w:sz="0" w:space="0" w:color="auto"/>
        <w:right w:val="none" w:sz="0" w:space="0" w:color="auto"/>
      </w:divBdr>
    </w:div>
    <w:div w:id="1855221060">
      <w:marLeft w:val="0"/>
      <w:marRight w:val="0"/>
      <w:marTop w:val="0"/>
      <w:marBottom w:val="0"/>
      <w:divBdr>
        <w:top w:val="none" w:sz="0" w:space="0" w:color="auto"/>
        <w:left w:val="none" w:sz="0" w:space="0" w:color="auto"/>
        <w:bottom w:val="none" w:sz="0" w:space="0" w:color="auto"/>
        <w:right w:val="none" w:sz="0" w:space="0" w:color="auto"/>
      </w:divBdr>
    </w:div>
    <w:div w:id="1855221061">
      <w:marLeft w:val="0"/>
      <w:marRight w:val="0"/>
      <w:marTop w:val="0"/>
      <w:marBottom w:val="0"/>
      <w:divBdr>
        <w:top w:val="none" w:sz="0" w:space="0" w:color="auto"/>
        <w:left w:val="none" w:sz="0" w:space="0" w:color="auto"/>
        <w:bottom w:val="none" w:sz="0" w:space="0" w:color="auto"/>
        <w:right w:val="none" w:sz="0" w:space="0" w:color="auto"/>
      </w:divBdr>
    </w:div>
    <w:div w:id="1855221062">
      <w:marLeft w:val="0"/>
      <w:marRight w:val="0"/>
      <w:marTop w:val="0"/>
      <w:marBottom w:val="0"/>
      <w:divBdr>
        <w:top w:val="none" w:sz="0" w:space="0" w:color="auto"/>
        <w:left w:val="none" w:sz="0" w:space="0" w:color="auto"/>
        <w:bottom w:val="none" w:sz="0" w:space="0" w:color="auto"/>
        <w:right w:val="none" w:sz="0" w:space="0" w:color="auto"/>
      </w:divBdr>
    </w:div>
    <w:div w:id="18552210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904</Words>
  <Characters>5155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Emi Fergus</dc:creator>
  <cp:lastModifiedBy>Shuting Liu</cp:lastModifiedBy>
  <cp:revision>20</cp:revision>
  <dcterms:created xsi:type="dcterms:W3CDTF">2017-05-01T18:00:00Z</dcterms:created>
  <dcterms:modified xsi:type="dcterms:W3CDTF">2017-08-25T05:15:00Z</dcterms:modified>
</cp:coreProperties>
</file>