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Healthcare Insights Report</w:t>
      </w:r>
    </w:p>
    <w:p>
      <w:pPr>
        <w:jc w:val="center"/>
      </w:pPr>
      <w:r>
        <w:rPr>
          <w:i/>
        </w:rPr>
        <w:t>Hospital Operations, Billing Reliability, and Predictive Modeling Summary</w:t>
      </w:r>
    </w:p>
    <w:p>
      <w:pPr>
        <w:pStyle w:val="Heading1"/>
      </w:pPr>
      <w:r>
        <w:t>Executive Summary</w:t>
      </w:r>
    </w:p>
    <w:p>
      <w:r>
        <w:t>This report summarizes the hospital analytics capstone across SQL reporting, Python EDA, feature engineering, and Phase 3 classification modeling. The analysis covers 5,000 patients, 25,000 visits, and 25,000 billing records. The final modeling table contains 25,000 visit-level rows and 44 columns.</w:t>
      </w:r>
    </w:p>
    <w:p>
      <w:pPr>
        <w:pStyle w:val="ListBullet"/>
      </w:pPr>
      <w:r>
        <w:t>Operational volume is broadly balanced across departments, with General leading at 4,228 visits and ICU lowest at 4,064 visits.</w:t>
      </w:r>
    </w:p>
    <w:p>
      <w:pPr>
        <w:pStyle w:val="ListBullet"/>
      </w:pPr>
      <w:r>
        <w:t>Data reliability risk is concentrated in billing fields: 1,318 records are missing approved amount and 790 records are missing payment days.</w:t>
      </w:r>
    </w:p>
    <w:p>
      <w:pPr>
        <w:pStyle w:val="ListBullet"/>
      </w:pPr>
      <w:r>
        <w:t>SecureLife has the highest observed claim rejection rate at 15.69%, making it the first payer candidate for revenue-cycle review.</w:t>
      </w:r>
    </w:p>
    <w:p>
      <w:pPr>
        <w:pStyle w:val="ListBullet"/>
      </w:pPr>
      <w:r>
        <w:t>Random Forest models outperform Logistic Regression baselines for both visit-risk and claim-outcome prediction, with macro F1 of 0.3485 and 0.3743, respectively.</w:t>
      </w:r>
    </w:p>
    <w:p>
      <w:pPr>
        <w:pStyle w:val="Heading1"/>
      </w:pPr>
      <w:r>
        <w:t>Key Operational Findings</w:t>
      </w:r>
    </w:p>
    <w:p>
      <w:r>
        <w:t>The operational profile is stable enough for baseline modeling. Length of stay is complete, department volumes are well distributed, and patient visit frequency can be used as an operational utilization signal. ICU and ER show the highest high-risk visit rates, which supports focused monitoring of capacity, staffing, and escalation workflows.</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t>department</w:t>
            </w:r>
          </w:p>
        </w:tc>
        <w:tc>
          <w:tcPr>
            <w:tcW w:type="dxa" w:w="2628"/>
          </w:tcPr>
          <w:p>
            <w:r>
              <w:t>visits</w:t>
            </w:r>
          </w:p>
        </w:tc>
        <w:tc>
          <w:tcPr>
            <w:tcW w:type="dxa" w:w="2628"/>
          </w:tcPr>
          <w:p>
            <w:r>
              <w:t>avg_los</w:t>
            </w:r>
          </w:p>
        </w:tc>
        <w:tc>
          <w:tcPr>
            <w:tcW w:type="dxa" w:w="2628"/>
          </w:tcPr>
          <w:p>
            <w:r>
              <w:t>high_risk_rate</w:t>
            </w:r>
          </w:p>
        </w:tc>
      </w:tr>
      <w:tr>
        <w:tc>
          <w:tcPr>
            <w:tcW w:type="dxa" w:w="2628"/>
          </w:tcPr>
          <w:p>
            <w:r>
              <w:t>General</w:t>
            </w:r>
          </w:p>
        </w:tc>
        <w:tc>
          <w:tcPr>
            <w:tcW w:type="dxa" w:w="2628"/>
          </w:tcPr>
          <w:p>
            <w:r>
              <w:t>4,228</w:t>
            </w:r>
          </w:p>
        </w:tc>
        <w:tc>
          <w:tcPr>
            <w:tcW w:type="dxa" w:w="2628"/>
          </w:tcPr>
          <w:p>
            <w:r>
              <w:t>19.43</w:t>
            </w:r>
          </w:p>
        </w:tc>
        <w:tc>
          <w:tcPr>
            <w:tcW w:type="dxa" w:w="2628"/>
          </w:tcPr>
          <w:p>
            <w:r>
              <w:t>19.84%</w:t>
            </w:r>
          </w:p>
        </w:tc>
      </w:tr>
      <w:tr>
        <w:tc>
          <w:tcPr>
            <w:tcW w:type="dxa" w:w="2628"/>
          </w:tcPr>
          <w:p>
            <w:r>
              <w:t>ER</w:t>
            </w:r>
          </w:p>
        </w:tc>
        <w:tc>
          <w:tcPr>
            <w:tcW w:type="dxa" w:w="2628"/>
          </w:tcPr>
          <w:p>
            <w:r>
              <w:t>4,220</w:t>
            </w:r>
          </w:p>
        </w:tc>
        <w:tc>
          <w:tcPr>
            <w:tcW w:type="dxa" w:w="2628"/>
          </w:tcPr>
          <w:p>
            <w:r>
              <w:t>19.53</w:t>
            </w:r>
          </w:p>
        </w:tc>
        <w:tc>
          <w:tcPr>
            <w:tcW w:type="dxa" w:w="2628"/>
          </w:tcPr>
          <w:p>
            <w:r>
              <w:t>20.66%</w:t>
            </w:r>
          </w:p>
        </w:tc>
      </w:tr>
      <w:tr>
        <w:tc>
          <w:tcPr>
            <w:tcW w:type="dxa" w:w="2628"/>
          </w:tcPr>
          <w:p>
            <w:r>
              <w:t>Neurology</w:t>
            </w:r>
          </w:p>
        </w:tc>
        <w:tc>
          <w:tcPr>
            <w:tcW w:type="dxa" w:w="2628"/>
          </w:tcPr>
          <w:p>
            <w:r>
              <w:t>4,165</w:t>
            </w:r>
          </w:p>
        </w:tc>
        <w:tc>
          <w:tcPr>
            <w:tcW w:type="dxa" w:w="2628"/>
          </w:tcPr>
          <w:p>
            <w:r>
              <w:t>19.72</w:t>
            </w:r>
          </w:p>
        </w:tc>
        <w:tc>
          <w:tcPr>
            <w:tcW w:type="dxa" w:w="2628"/>
          </w:tcPr>
          <w:p>
            <w:r>
              <w:t>20.31%</w:t>
            </w:r>
          </w:p>
        </w:tc>
      </w:tr>
      <w:tr>
        <w:tc>
          <w:tcPr>
            <w:tcW w:type="dxa" w:w="2628"/>
          </w:tcPr>
          <w:p>
            <w:r>
              <w:t>Orthopedics</w:t>
            </w:r>
          </w:p>
        </w:tc>
        <w:tc>
          <w:tcPr>
            <w:tcW w:type="dxa" w:w="2628"/>
          </w:tcPr>
          <w:p>
            <w:r>
              <w:t>4,164</w:t>
            </w:r>
          </w:p>
        </w:tc>
        <w:tc>
          <w:tcPr>
            <w:tcW w:type="dxa" w:w="2628"/>
          </w:tcPr>
          <w:p>
            <w:r>
              <w:t>19.66</w:t>
            </w:r>
          </w:p>
        </w:tc>
        <w:tc>
          <w:tcPr>
            <w:tcW w:type="dxa" w:w="2628"/>
          </w:tcPr>
          <w:p>
            <w:r>
              <w:t>20.22%</w:t>
            </w:r>
          </w:p>
        </w:tc>
      </w:tr>
      <w:tr>
        <w:tc>
          <w:tcPr>
            <w:tcW w:type="dxa" w:w="2628"/>
          </w:tcPr>
          <w:p>
            <w:r>
              <w:t>Cardiology</w:t>
            </w:r>
          </w:p>
        </w:tc>
        <w:tc>
          <w:tcPr>
            <w:tcW w:type="dxa" w:w="2628"/>
          </w:tcPr>
          <w:p>
            <w:r>
              <w:t>4,159</w:t>
            </w:r>
          </w:p>
        </w:tc>
        <w:tc>
          <w:tcPr>
            <w:tcW w:type="dxa" w:w="2628"/>
          </w:tcPr>
          <w:p>
            <w:r>
              <w:t>19.60</w:t>
            </w:r>
          </w:p>
        </w:tc>
        <w:tc>
          <w:tcPr>
            <w:tcW w:type="dxa" w:w="2628"/>
          </w:tcPr>
          <w:p>
            <w:r>
              <w:t>18.99%</w:t>
            </w:r>
          </w:p>
        </w:tc>
      </w:tr>
      <w:tr>
        <w:tc>
          <w:tcPr>
            <w:tcW w:type="dxa" w:w="2628"/>
          </w:tcPr>
          <w:p>
            <w:r>
              <w:t>ICU</w:t>
            </w:r>
          </w:p>
        </w:tc>
        <w:tc>
          <w:tcPr>
            <w:tcW w:type="dxa" w:w="2628"/>
          </w:tcPr>
          <w:p>
            <w:r>
              <w:t>4,064</w:t>
            </w:r>
          </w:p>
        </w:tc>
        <w:tc>
          <w:tcPr>
            <w:tcW w:type="dxa" w:w="2628"/>
          </w:tcPr>
          <w:p>
            <w:r>
              <w:t>19.36</w:t>
            </w:r>
          </w:p>
        </w:tc>
        <w:tc>
          <w:tcPr>
            <w:tcW w:type="dxa" w:w="2628"/>
          </w:tcPr>
          <w:p>
            <w:r>
              <w:t>20.79%</w:t>
            </w:r>
          </w:p>
        </w:tc>
      </w:tr>
    </w:tbl>
    <w:p>
      <w:pPr>
        <w:pStyle w:val="Heading1"/>
      </w:pPr>
      <w:r>
        <w:t>Key Financial and Data Quality Findings</w:t>
      </w:r>
    </w:p>
    <w:p>
      <w:r>
        <w:t>Financial performance analysis shows that revenue realization and claim follow-up depend heavily on approval and payment-delay completeness. The most important reliability issue is missing approved amount, because it weakens revenue-realization estimates and can hide leakage. Missing payment days limits payer-delay analysis and should be treated as a revenue-cycle process gap.</w:t>
      </w:r>
    </w:p>
    <w:p>
      <w:pPr>
        <w:pStyle w:val="ListBullet"/>
      </w:pPr>
      <w:r>
        <w:t>Approved amount missingness: 1,318 records (5.27%).</w:t>
      </w:r>
    </w:p>
    <w:p>
      <w:pPr>
        <w:pStyle w:val="ListBullet"/>
      </w:pPr>
      <w:r>
        <w:t>Payment days missingness: 790 records (3.16%).</w:t>
      </w:r>
    </w:p>
    <w:p>
      <w:pPr>
        <w:pStyle w:val="ListBullet"/>
      </w:pPr>
      <w:r>
        <w:t>Length of stay missingness: 0 records, making it reliable for operations analysis.</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t>insurance_provider</w:t>
            </w:r>
          </w:p>
        </w:tc>
        <w:tc>
          <w:tcPr>
            <w:tcW w:type="dxa" w:w="2628"/>
          </w:tcPr>
          <w:p>
            <w:r>
              <w:t>claims</w:t>
            </w:r>
          </w:p>
        </w:tc>
        <w:tc>
          <w:tcPr>
            <w:tcW w:type="dxa" w:w="2628"/>
          </w:tcPr>
          <w:p>
            <w:r>
              <w:t>rejection_rate</w:t>
            </w:r>
          </w:p>
        </w:tc>
        <w:tc>
          <w:tcPr>
            <w:tcW w:type="dxa" w:w="2628"/>
          </w:tcPr>
          <w:p>
            <w:r>
              <w:t>avg_payment_days</w:t>
            </w:r>
          </w:p>
        </w:tc>
      </w:tr>
      <w:tr>
        <w:tc>
          <w:tcPr>
            <w:tcW w:type="dxa" w:w="2628"/>
          </w:tcPr>
          <w:p>
            <w:r>
              <w:t>SecureLife</w:t>
            </w:r>
          </w:p>
        </w:tc>
        <w:tc>
          <w:tcPr>
            <w:tcW w:type="dxa" w:w="2628"/>
          </w:tcPr>
          <w:p>
            <w:r>
              <w:t>5,965</w:t>
            </w:r>
          </w:p>
        </w:tc>
        <w:tc>
          <w:tcPr>
            <w:tcW w:type="dxa" w:w="2628"/>
          </w:tcPr>
          <w:p>
            <w:r>
              <w:t>15.69%</w:t>
            </w:r>
          </w:p>
        </w:tc>
        <w:tc>
          <w:tcPr>
            <w:tcW w:type="dxa" w:w="2628"/>
          </w:tcPr>
          <w:p>
            <w:r>
              <w:t>13.06</w:t>
            </w:r>
          </w:p>
        </w:tc>
      </w:tr>
      <w:tr>
        <w:tc>
          <w:tcPr>
            <w:tcW w:type="dxa" w:w="2628"/>
          </w:tcPr>
          <w:p>
            <w:r>
              <w:t>MediCareX</w:t>
            </w:r>
          </w:p>
        </w:tc>
        <w:tc>
          <w:tcPr>
            <w:tcW w:type="dxa" w:w="2628"/>
          </w:tcPr>
          <w:p>
            <w:r>
              <w:t>6,532</w:t>
            </w:r>
          </w:p>
        </w:tc>
        <w:tc>
          <w:tcPr>
            <w:tcW w:type="dxa" w:w="2628"/>
          </w:tcPr>
          <w:p>
            <w:r>
              <w:t>15.25%</w:t>
            </w:r>
          </w:p>
        </w:tc>
        <w:tc>
          <w:tcPr>
            <w:tcW w:type="dxa" w:w="2628"/>
          </w:tcPr>
          <w:p>
            <w:r>
              <w:t>12.99</w:t>
            </w:r>
          </w:p>
        </w:tc>
      </w:tr>
      <w:tr>
        <w:tc>
          <w:tcPr>
            <w:tcW w:type="dxa" w:w="2628"/>
          </w:tcPr>
          <w:p>
            <w:r>
              <w:t>HealthPlus</w:t>
            </w:r>
          </w:p>
        </w:tc>
        <w:tc>
          <w:tcPr>
            <w:tcW w:type="dxa" w:w="2628"/>
          </w:tcPr>
          <w:p>
            <w:r>
              <w:t>6,220</w:t>
            </w:r>
          </w:p>
        </w:tc>
        <w:tc>
          <w:tcPr>
            <w:tcW w:type="dxa" w:w="2628"/>
          </w:tcPr>
          <w:p>
            <w:r>
              <w:t>14.97%</w:t>
            </w:r>
          </w:p>
        </w:tc>
        <w:tc>
          <w:tcPr>
            <w:tcW w:type="dxa" w:w="2628"/>
          </w:tcPr>
          <w:p>
            <w:r>
              <w:t>13.07</w:t>
            </w:r>
          </w:p>
        </w:tc>
      </w:tr>
      <w:tr>
        <w:tc>
          <w:tcPr>
            <w:tcW w:type="dxa" w:w="2628"/>
          </w:tcPr>
          <w:p>
            <w:r>
              <w:t>CareOne</w:t>
            </w:r>
          </w:p>
        </w:tc>
        <w:tc>
          <w:tcPr>
            <w:tcW w:type="dxa" w:w="2628"/>
          </w:tcPr>
          <w:p>
            <w:r>
              <w:t>6,283</w:t>
            </w:r>
          </w:p>
        </w:tc>
        <w:tc>
          <w:tcPr>
            <w:tcW w:type="dxa" w:w="2628"/>
          </w:tcPr>
          <w:p>
            <w:r>
              <w:t>14.87%</w:t>
            </w:r>
          </w:p>
        </w:tc>
        <w:tc>
          <w:tcPr>
            <w:tcW w:type="dxa" w:w="2628"/>
          </w:tcPr>
          <w:p>
            <w:r>
              <w:t>13.01</w:t>
            </w:r>
          </w:p>
        </w:tc>
      </w:tr>
    </w:tbl>
    <w:p>
      <w:pPr>
        <w:pStyle w:val="Heading1"/>
      </w:pPr>
      <w:r>
        <w:t>Model Impact Summary</w:t>
      </w:r>
    </w:p>
    <w:p>
      <w:r>
        <w:t>Phase 3 created two deployable classification pipelines. Model A predicts visit risk for operational triage. Model B predicts claim outcome for proactive revenue-risk control. Both workflows use an earliest-80-percent/latest-20-percent time split, which better reflects future production scoring than a random split.</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t>problem</w:t>
            </w:r>
          </w:p>
        </w:tc>
        <w:tc>
          <w:tcPr>
            <w:tcW w:type="dxa" w:w="2102"/>
          </w:tcPr>
          <w:p>
            <w:r>
              <w:t>model</w:t>
            </w:r>
          </w:p>
        </w:tc>
        <w:tc>
          <w:tcPr>
            <w:tcW w:type="dxa" w:w="2102"/>
          </w:tcPr>
          <w:p>
            <w:r>
              <w:t>accuracy</w:t>
            </w:r>
          </w:p>
        </w:tc>
        <w:tc>
          <w:tcPr>
            <w:tcW w:type="dxa" w:w="2102"/>
          </w:tcPr>
          <w:p>
            <w:r>
              <w:t>macro_f1</w:t>
            </w:r>
          </w:p>
        </w:tc>
        <w:tc>
          <w:tcPr>
            <w:tcW w:type="dxa" w:w="2102"/>
          </w:tcPr>
          <w:p>
            <w:r>
              <w:t>weighted_f1</w:t>
            </w:r>
          </w:p>
        </w:tc>
      </w:tr>
      <w:tr>
        <w:tc>
          <w:tcPr>
            <w:tcW w:type="dxa" w:w="2102"/>
          </w:tcPr>
          <w:p>
            <w:r>
              <w:t>risk_model</w:t>
            </w:r>
          </w:p>
        </w:tc>
        <w:tc>
          <w:tcPr>
            <w:tcW w:type="dxa" w:w="2102"/>
          </w:tcPr>
          <w:p>
            <w:r>
              <w:t>logistic_regression</w:t>
            </w:r>
          </w:p>
        </w:tc>
        <w:tc>
          <w:tcPr>
            <w:tcW w:type="dxa" w:w="2102"/>
          </w:tcPr>
          <w:p>
            <w:r>
              <w:t>0.3142</w:t>
            </w:r>
          </w:p>
        </w:tc>
        <w:tc>
          <w:tcPr>
            <w:tcW w:type="dxa" w:w="2102"/>
          </w:tcPr>
          <w:p>
            <w:r>
              <w:t>0.3058</w:t>
            </w:r>
          </w:p>
        </w:tc>
        <w:tc>
          <w:tcPr>
            <w:tcW w:type="dxa" w:w="2102"/>
          </w:tcPr>
          <w:p>
            <w:r>
              <w:t>0.3204</w:t>
            </w:r>
          </w:p>
        </w:tc>
      </w:tr>
      <w:tr>
        <w:tc>
          <w:tcPr>
            <w:tcW w:type="dxa" w:w="2102"/>
          </w:tcPr>
          <w:p>
            <w:r>
              <w:t>risk_model</w:t>
            </w:r>
          </w:p>
        </w:tc>
        <w:tc>
          <w:tcPr>
            <w:tcW w:type="dxa" w:w="2102"/>
          </w:tcPr>
          <w:p>
            <w:r>
              <w:t>random_forest</w:t>
            </w:r>
          </w:p>
        </w:tc>
        <w:tc>
          <w:tcPr>
            <w:tcW w:type="dxa" w:w="2102"/>
          </w:tcPr>
          <w:p>
            <w:r>
              <w:t>0.4092</w:t>
            </w:r>
          </w:p>
        </w:tc>
        <w:tc>
          <w:tcPr>
            <w:tcW w:type="dxa" w:w="2102"/>
          </w:tcPr>
          <w:p>
            <w:r>
              <w:t>0.3485</w:t>
            </w:r>
          </w:p>
        </w:tc>
        <w:tc>
          <w:tcPr>
            <w:tcW w:type="dxa" w:w="2102"/>
          </w:tcPr>
          <w:p>
            <w:r>
              <w:t>0.4013</w:t>
            </w:r>
          </w:p>
        </w:tc>
      </w:tr>
      <w:tr>
        <w:tc>
          <w:tcPr>
            <w:tcW w:type="dxa" w:w="2102"/>
          </w:tcPr>
          <w:p>
            <w:r>
              <w:t>claim_model</w:t>
            </w:r>
          </w:p>
        </w:tc>
        <w:tc>
          <w:tcPr>
            <w:tcW w:type="dxa" w:w="2102"/>
          </w:tcPr>
          <w:p>
            <w:r>
              <w:t>logistic_regression</w:t>
            </w:r>
          </w:p>
        </w:tc>
        <w:tc>
          <w:tcPr>
            <w:tcW w:type="dxa" w:w="2102"/>
          </w:tcPr>
          <w:p>
            <w:r>
              <w:t>0.3526</w:t>
            </w:r>
          </w:p>
        </w:tc>
        <w:tc>
          <w:tcPr>
            <w:tcW w:type="dxa" w:w="2102"/>
          </w:tcPr>
          <w:p>
            <w:r>
              <w:t>0.3231</w:t>
            </w:r>
          </w:p>
        </w:tc>
        <w:tc>
          <w:tcPr>
            <w:tcW w:type="dxa" w:w="2102"/>
          </w:tcPr>
          <w:p>
            <w:r>
              <w:t>0.3801</w:t>
            </w:r>
          </w:p>
        </w:tc>
      </w:tr>
      <w:tr>
        <w:tc>
          <w:tcPr>
            <w:tcW w:type="dxa" w:w="2102"/>
          </w:tcPr>
          <w:p>
            <w:r>
              <w:t>claim_model</w:t>
            </w:r>
          </w:p>
        </w:tc>
        <w:tc>
          <w:tcPr>
            <w:tcW w:type="dxa" w:w="2102"/>
          </w:tcPr>
          <w:p>
            <w:r>
              <w:t>random_forest</w:t>
            </w:r>
          </w:p>
        </w:tc>
        <w:tc>
          <w:tcPr>
            <w:tcW w:type="dxa" w:w="2102"/>
          </w:tcPr>
          <w:p>
            <w:r>
              <w:t>0.4444</w:t>
            </w:r>
          </w:p>
        </w:tc>
        <w:tc>
          <w:tcPr>
            <w:tcW w:type="dxa" w:w="2102"/>
          </w:tcPr>
          <w:p>
            <w:r>
              <w:t>0.3743</w:t>
            </w:r>
          </w:p>
        </w:tc>
        <w:tc>
          <w:tcPr>
            <w:tcW w:type="dxa" w:w="2102"/>
          </w:tcPr>
          <w:p>
            <w:r>
              <w:t>0.4525</w:t>
            </w:r>
          </w:p>
        </w:tc>
      </w:tr>
    </w:tbl>
    <w:p>
      <w:r>
        <w:t>Model interpretation: Random Forest is selected as the current deployable candidate for both tasks. Current performance is useful as a baseline decision-support layer, but not yet a final clinical or financial automation system. The next modeling improvement should add richer diagnosis, procedure, prior authorization, doctor workload, and historical payer-behavior features.</w:t>
      </w:r>
    </w:p>
    <w:p>
      <w:pPr>
        <w:pStyle w:val="Heading1"/>
      </w:pPr>
      <w:r>
        <w:t>Business Recommendations for Hospital Leadership</w:t>
      </w:r>
    </w:p>
    <w:p>
      <w:pPr>
        <w:pStyle w:val="ListBullet"/>
      </w:pPr>
      <w:r>
        <w:t>Create a billing data-quality control that requires approved amount and payment days to be completed or explicitly reason-coded before monthly close.</w:t>
      </w:r>
    </w:p>
    <w:p>
      <w:pPr>
        <w:pStyle w:val="ListBullet"/>
      </w:pPr>
      <w:r>
        <w:t>Prioritize payer follow-up for providers with higher rejection rates and longer payment delays, starting with SecureLife based on observed rejection rate.</w:t>
      </w:r>
    </w:p>
    <w:p>
      <w:pPr>
        <w:pStyle w:val="ListBullet"/>
      </w:pPr>
      <w:r>
        <w:t>Use the visit-risk model as an early triage screen for capacity planning, not as a standalone clinical decision system.</w:t>
      </w:r>
    </w:p>
    <w:p>
      <w:pPr>
        <w:pStyle w:val="ListBullet"/>
      </w:pPr>
      <w:r>
        <w:t>Use the claim-outcome model to rank claims for pre-submission review, especially high-billed claims and claims routed to historically high-rejection payers.</w:t>
      </w:r>
    </w:p>
    <w:p>
      <w:pPr>
        <w:pStyle w:val="ListBullet"/>
      </w:pPr>
      <w:r>
        <w:t>Deploy the FastAPI scoring package first as an internal pilot, monitor drift monthly, and retrain when payer behavior or department-level risk patterns shift materially.</w:t>
      </w:r>
    </w:p>
    <w:p>
      <w:pPr>
        <w:pStyle w:val="Heading1"/>
      </w:pPr>
      <w:r>
        <w:t>Deliverable Readiness</w:t>
      </w:r>
    </w:p>
    <w:p>
      <w:pPr>
        <w:pStyle w:val="ListBullet"/>
      </w:pPr>
      <w:r>
        <w:t>EDA notebook includes clean code, plots, quality metrics, and short business insights.</w:t>
      </w:r>
    </w:p>
    <w:p>
      <w:pPr>
        <w:pStyle w:val="ListBullet"/>
      </w:pPr>
      <w:r>
        <w:t>Feature pipeline writes model_table.csv, feature_schema.json, and drift_summary.csv under data_outputs/.</w:t>
      </w:r>
    </w:p>
    <w:p>
      <w:pPr>
        <w:pStyle w:val="ListBullet"/>
      </w:pPr>
      <w:r>
        <w:t>FastAPI source, deployment runbook, and sample request/response documentation are available in the repository.</w:t>
      </w:r>
    </w:p>
    <w:p>
      <w:pPr>
        <w:pStyle w:val="ListBullet"/>
      </w:pPr>
      <w:r>
        <w:t>Phase 3 saves model artifacts and a modeling feature schema under model_artifacts/.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