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Reflective Journal #4: Indigenous Knowledge and ICIP</w:t>
      </w:r>
    </w:p>
    <w:p>
      <w:pPr>
        <w:pStyle w:val="Heading1"/>
      </w:pPr>
      <w:r>
        <w:t>1. What is Indigenous Knowledge (IK)?</w:t>
      </w:r>
    </w:p>
    <w:p>
      <w:r>
        <w:t>Indigenous Knowledge (IK) encompasses the living, evolving body of knowledge created, maintained, and passed down by Indigenous Australians. As outlined in the Canvas materials, IK is deeply rooted in cultural connection and the relationship between people, land, identity, and cosmology. It is not static; it dynamically adapts over generations. IK is broadly divided into two interrelated categories: Traditional Knowledge—which encompasses innovations, practices, and skills across fields such as ecology, agriculture, medicine, and science—and Cultural Expressions, which include both tangible and intangible forms like languages, storytelling, visual arts, dances, and rituals. Crucially, IK involves complex rules of communal ownership, where individuals hold roles and responsibilities as custodians to protect, respect, and pass on this knowledge, including secret or sacred knowledge that must remain confidential.</w:t>
      </w:r>
    </w:p>
    <w:p>
      <w:pPr>
        <w:pStyle w:val="Heading1"/>
      </w:pPr>
      <w:r>
        <w:t>2. Why must a designer be aware of Indigenous Cultural and Intellectual Property (ICIP)?</w:t>
      </w:r>
    </w:p>
    <w:p>
      <w:r>
        <w:t>Designers and data scientists must be acutely aware of ICIP because current Australian Intellectual Property (IP) laws are often inadequate to protect Indigenous heritage. Australian law prioritizes individual, time-bound ownership (e.g., copyright expires 70 years after an author's death) and tangible materials, which fundamentally clashes with the communal, perpetual, and often oral nature of ICIP. Because the law fails to protect ideas, cultural sites, styles of art, and unrecorded performances, designers have a moral and ethical obligation to bridge this gap. Respecting ICIP is rooted in the right to self-determination. Without ICIP awareness, designers risk committing cultural appropriation, misrepresenting sacred knowledge, or causing cultural harm through derogatory or unconsented use. By understanding ICIP—such as Terri Janke’s True Tracks principles—designers ensure that Indigenous Australians maintain authority over their cultural expressions, receive proper attribution, and share in the benefits of any commercialization.</w:t>
      </w:r>
    </w:p>
    <w:p>
      <w:pPr>
        <w:pStyle w:val="Heading1"/>
      </w:pPr>
      <w:r>
        <w:t>3. If you were to complete this subject again and focus on Indigenous Australian data, what ethical practices would you apply to the project?</w:t>
      </w:r>
    </w:p>
    <w:p>
      <w:r>
        <w:t>If I were to focus on Indigenous Australian data, my project would strictly adhere to the CARE Data Principles (Collective Benefit, Authority to Control, Responsibility, and Ethics) alongside the True Tracks framework. Firstly, I would prioritize Communication, Co-design, and Consent by seeking Free, Prior, and Informed Consent (FPIC) at the project's inception, ensuring Indigenous representatives shape the research questions so the project yields a Collective Benefit to their community. Secondly, I would ensure Authority to Control by recognizing Indigenous people as the primary guardians and interpreters of their data, perhaps by establishing an advisory steering committee to oversee how data is collected, anonymized, and contextually applied. Finally, I would prioritize Cultural Integrity and Ethics by ensuring data integration practices minimize harm (e.g., protecting the identity of local groups) and actively seeking advice on cultural restrictions to respect secret and sacred privacy.</w:t>
      </w:r>
    </w:p>
    <w:p>
      <w:pPr>
        <w:pStyle w:val="Heading1"/>
      </w:pPr>
      <w:r>
        <w:t>4. In your future professional work, how might you apply ethical practices and protocols to protect ICIP when designing with and for Indigenous Australians?</w:t>
      </w:r>
    </w:p>
    <w:p>
      <w:r>
        <w:t>In future professional design work, I will adopt a proactive, culturally sensitive approach to data sovereignty and ICIP protection by embedding ethical protocols directly into my workflow. I will implement mandatory Community Consultation, ensuring that Indigenous stakeholders are co-designers rather than mere subjects, and that ongoing feedback loops are maintained before any public dissemination or translation of data. I will operationalize Attribution and Benefit Sharing by explicitly attributing Indigenous custodians in all publications using their preferred phrasing, and by negotiating contracts that include formal ICIP clauses to ensure economic or social benefits flow back to the source communities. Additionally, I will use written releases and establish clear avenues for Indigenous communities to review, control, or embargo the dissemination of their knowledge. By advocating for these robust institutional policies, I will ensure my professional practice champions Indigenous self-determination and protects cultural heritage beyond the limits of standard IP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