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by </w:t>
      </w:r>
      <w:r>
        <w:rPr>
          <w:b/>
        </w:rPr>
        <w:t>42 percent</w:t>
      </w:r>
      <w:r>
        <w:t> in Q3.</w:t>
      </w:r>
    </w:p>
    <w:p>
      <w:r>
        <w:t>Regional sales:</w:t>
      </w:r>
    </w:p>
    <w:tbl>
      <w:tblPr>
        <w:tblW w:w="0" w:type="auto"/>
      </w:tblPr>
      <w:tblGrid>
        <w:gridCol w:w="4320"/>
        <w:gridCol w:w="4320"/>
      </w:tblGrid>
      <w:tr>
        <w:trPr>
          <w:tblHeader w:val="on"/>
        </w:trPr>
        <w:tc>
          <w:tcPr/>
          <w:p>
            <w:r>
              <w:t>Product</w:t>
            </w:r>
          </w:p>
        </w:tc>
        <w:tc>
          <w:tcPr/>
          <w:p>
            <w:r>
              <w:t>Sales</w:t>
            </w:r>
          </w:p>
        </w:tc>
      </w:tr>
      <w:tr>
        <w:tc>
          <w:tcPr/>
          <w:p>
            <w:r>
              <w:t>Anvil</w:t>
            </w:r>
          </w:p>
        </w:tc>
        <w:tc>
          <w:tcPr/>
          <w:p>
            <w:r>
              <w:t>1200</w:t>
            </w:r>
          </w:p>
        </w:tc>
      </w:tr>
    </w:tbl>
    <w:sectPr>
      <w:pgSz w:w="11906" w:h="16838"/>
      <w:pgMar w:top="1440" w:right="1440" w:bottom="1440" w:left="1440"/>
    </w:sectPr>
  </w:body>
</w:document>
</file>