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0"/>
        </w:rPr>
        <w:t>ClauseChain — Technical Memo</w:t>
      </w:r>
    </w:p>
    <w:p>
      <w:pPr>
        <w:jc w:val="center"/>
      </w:pPr>
      <w:r>
        <w:rPr>
          <w:i/>
          <w:color w:val="555B66"/>
          <w:sz w:val="20"/>
        </w:rPr>
        <w:t>Hash-Anchored Regulatory Evidence for Digital Trade  |  UN Global Hackathon: AI for Digital Trade Regulatory Analysis  |  RDTII Pillars 6 &amp; 7</w:t>
      </w:r>
    </w:p>
    <w:p>
      <w:r>
        <w:t>ClauseChain is an open-source AI pipeline that discovers, extracts, and maps digital trade regulations to the UN RDTII framework. Hallucination resistance is structural, not prompted: every classification is bound to a verbatim, hash-anchored citation from an authoritative source and passes a three-gate Cite-Verify-Reject (CVR) loop. A failed gate rejects rather than softens.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B66"/>
          <w:sz w:val="18"/>
        </w:rPr>
        <w:t>Figure 1 — Workspace dashboard: coverage, KPIs, and pipeline health.</w:t>
      </w:r>
    </w:p>
    <w:p>
      <w:pPr>
        <w:pStyle w:val="Heading1"/>
      </w:pPr>
      <w:r>
        <w:t>1. System Architecture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8495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0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49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B66"/>
          <w:sz w:val="18"/>
        </w:rPr>
        <w:t>Figure 0 — System architecture: pipeline stages and CVR loop with local/cloud routing.</w:t>
      </w:r>
    </w:p>
    <w:p>
      <w:r>
        <w:t>ClauseChain implements six stages: Collect, Extract, Classify, Explain, Cite, Export. A seed registry drives Crawl4AI across official gazettes and statute databases. A file-type router dispatches HTML to a legal-structure parser, native PDFs to Docling, and scanned PDFs to dual-engine OCR (Qwen2-VL + Tesseract, consensus), emitting canonical JSON with character offsets and bounding boxes. Clauses embed into Qdrant via BGE-M3; Llama 3.1 fills a constrained JSON schema — no free prose, no paraphrase.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Stage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Discovery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crawled documents, source confidence-scored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Extraction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canonical JSON with hierarchy, char offsets, bbox, SHA-256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Indexing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BGE-M3 embeddings → Qdrant hybrid index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Mapping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constrained schema: pillar, verbatim_span, rule, exceptions, confidence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CVR Verification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three-gate pass/reject with gate scores logged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Export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JSONL / CSV / provenance bundle for independent re-verification</w:t>
            </w:r>
          </w:p>
        </w:tc>
      </w:tr>
    </w:tbl>
    <w:p/>
    <w:p>
      <w:r>
        <w:t>The nine-page interface — dashboard, jurisdiction detail, audit view, RDTII matrix, pipeline ledger, crawl console, harvest triage, extraction workspace, mapping run — is a working Next.js / React prototype.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ipeline_step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B66"/>
          <w:sz w:val="18"/>
        </w:rPr>
        <w:t>Figure 2 — Nine-stage pipeline stepper (Discover → Export) shown across all pipeline pages.</w:t>
      </w:r>
    </w:p>
    <w:p>
      <w:pPr>
        <w:pStyle w:val="Heading1"/>
      </w:pPr>
      <w:r>
        <w:t>2. Tools, Models, and Methods</w:t>
      </w:r>
    </w:p>
    <w:p>
      <w:r>
        <w:t>ClauseChain defaults to self-hosted open-weight models on a single 24 GB GPU, with optional per-task cloud routing to OpenAI or Anthropic, capped by a per-run token budget.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20"/>
              </w:rPr>
              <w:t>Task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Local default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Cloud (optional)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Crawling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Crawl4AI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HTML parsing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markdown + legal-structure parser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PDF extraction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Docling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OCR (scanned PDF)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Qwen2-VL 7B + Tesseract (consensus)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Embeddings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BGE-M3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text-embedding-3-large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LLM classification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Llama 3.1 8B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gpt-4.1 / claude-sonnet-4-6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NLI verification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DeBERTa-v3 (MNLI/FEVER)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gpt-4o / claude-sonnet-4-6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Output structuring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Outlines / Pydantic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n/a</w:t>
            </w:r>
          </w:p>
        </w:tc>
      </w:tr>
    </w:tbl>
    <w:p/>
    <w:p>
      <w:r>
        <w:t>Serving: vLLM · FastAPI · Qdrant · Postgres · MinIO · Docker Compose. Orchestration: Prefect 2.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rawl_cons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B66"/>
          <w:sz w:val="18"/>
        </w:rPr>
        <w:t>Figure 3 — Crawl Console: candidate documents with type tags and discovery confidence.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harvest_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B66"/>
          <w:sz w:val="18"/>
        </w:rPr>
        <w:t>Figure 4 — Harvest Review: human keep/discard triage before extraction begins.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extraction_ocr_di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B66"/>
          <w:sz w:val="18"/>
        </w:rPr>
        <w:t>Figure 5 — Extraction Workspace: dual-engine OCR diff (Qwen2-VL vs. Tesseract) on a scanned Bengali page.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mapping_ru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B66"/>
          <w:sz w:val="18"/>
        </w:rPr>
        <w:t>Figure 6 — Mapping Run: autonomy selector (L0–L3) and CVR gates streaming in real time.</w:t>
      </w:r>
    </w:p>
    <w:p>
      <w:pPr>
        <w:pStyle w:val="Heading1"/>
      </w:pPr>
      <w:r>
        <w:t>3. Accuracy, Transparency, and Cost-Efficiency</w:t>
      </w:r>
    </w:p>
    <w:p>
      <w:pPr>
        <w:pStyle w:val="Heading2"/>
      </w:pPr>
      <w:r>
        <w:t>Accuracy — CVR Loop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607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cvr_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0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B66"/>
          <w:sz w:val="18"/>
        </w:rPr>
        <w:t>Figure 9 — CVR loop: every claim passes G1 Span, G2 Entailment, and G3 Structure before export.</w:t>
      </w:r>
    </w:p>
    <w:p>
      <w:r>
        <w:t>Every claim passes three sequential gates. G1 Span Match: verbatim span present character-for-character in source (length-proportional fuzzy tolerance in OCR regions only; edit distance logged). G2 NLI Entailment: DeBERTa-v3 confirms the span entails the classification above a gold-set-calibrated threshold. G3 Structural Plausibility: cited section exists, rubric operative predicates present, clause role is operative not definitional. Any gate failure rejects or routes to human review. Autonomy (L0–L3) controls human gating; CVR gates always run.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source_tr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B66"/>
          <w:sz w:val="18"/>
        </w:rPr>
        <w:t>Figure 7 — Source Trace: dual-panel sync between extracted clauses and original source, with per-gate results.</w:t>
      </w:r>
    </w:p>
    <w:p>
      <w:r>
        <w:t>A hand-labeled gold set (~20 clauses per jurisdiction, BD / TH / SG) benchmarks classification F1 (target ≥ 0.75) and citation accuracy (target ≥ 0.95). The same set runs against a naive frontier-model baseline to quantify the value of verification. CVR rejection rate and inter-annotator agreement (Cohen's κ) are also reported.</w:t>
      </w:r>
    </w:p>
    <w:p>
      <w:pPr>
        <w:pStyle w:val="Heading2"/>
      </w:pPr>
      <w:r>
        <w:t>Transparency — Provenance Bundle</w:t>
      </w:r>
    </w:p>
    <w:p>
      <w:r>
        <w:t>Every record carries: source URL, SHA-256, retrieval timestamp, section, page, char offsets, bbox, verbatim quote, and model identity. Any third party can re-verify any claim by fetching the source, recomputing the hash, and re-running NLI locally from the provenance bundle.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export_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B66"/>
          <w:sz w:val="18"/>
        </w:rPr>
        <w:t>Figure 8 — Export Output: JSONL / CSV records with discovery tags, CVR gate results, and verbatim citations.</w:t>
      </w:r>
    </w:p>
    <w:p>
      <w:pPr>
        <w:pStyle w:val="Heading2"/>
      </w:pPr>
      <w:r>
        <w:t>Cost-Efficiency</w:t>
      </w:r>
    </w:p>
    <w:p>
      <w:r>
        <w:t>Self-hosted default incurs zero per-token cost. VLM repair runs only on low-confidence OCR regions. Cloud escalation is opt-in, per-task, and budget-capped; on cap the pipeline falls back to local and logs the event. Per-run cost is reported by task and provider.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