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092" w:rsidRDefault="00A44092" w:rsidP="00505527">
      <w:pPr>
        <w:contextualSpacing/>
      </w:pPr>
      <w:r>
        <w:t>Week 3: Money and Macroeconomic S</w:t>
      </w:r>
      <w:r w:rsidRPr="00A44092">
        <w:t xml:space="preserve">tability </w:t>
      </w:r>
    </w:p>
    <w:p w:rsidR="00505527" w:rsidRDefault="00505527" w:rsidP="00505527">
      <w:pPr>
        <w:pStyle w:val="ListParagraph"/>
        <w:numPr>
          <w:ilvl w:val="0"/>
          <w:numId w:val="2"/>
        </w:numPr>
      </w:pPr>
      <w:r>
        <w:t>1990 Soviet Union broke up 1978 China first reform: rural infrastructure, 1994 second reform:</w:t>
      </w:r>
      <w:r w:rsidR="00010654">
        <w:t xml:space="preserve"> </w:t>
      </w:r>
      <w:r>
        <w:t xml:space="preserve">SOEs </w:t>
      </w:r>
      <w:r w:rsidR="00010654">
        <w:t>privatized</w:t>
      </w:r>
    </w:p>
    <w:p w:rsidR="00505527" w:rsidRDefault="00505527" w:rsidP="00505527">
      <w:pPr>
        <w:pStyle w:val="ListParagraph"/>
        <w:numPr>
          <w:ilvl w:val="0"/>
          <w:numId w:val="2"/>
        </w:numPr>
      </w:pPr>
      <w:r>
        <w:t>Second reform had bigger impact</w:t>
      </w:r>
    </w:p>
    <w:p w:rsidR="00505527" w:rsidRDefault="00010654" w:rsidP="00505527">
      <w:pPr>
        <w:pStyle w:val="ListParagraph"/>
        <w:numPr>
          <w:ilvl w:val="0"/>
          <w:numId w:val="2"/>
        </w:numPr>
      </w:pPr>
      <w:r>
        <w:t>Second reform created t</w:t>
      </w:r>
      <w:r w:rsidR="00505527">
        <w:t xml:space="preserve">hree </w:t>
      </w:r>
      <w:r>
        <w:t xml:space="preserve">economic </w:t>
      </w:r>
      <w:r w:rsidR="00505527">
        <w:t>entities: Firm</w:t>
      </w:r>
      <w:r>
        <w:t>s</w:t>
      </w:r>
      <w:r w:rsidR="00505527">
        <w:t>, Government and Households</w:t>
      </w:r>
    </w:p>
    <w:p w:rsidR="00AE34E2" w:rsidRDefault="00AE34E2" w:rsidP="00505527">
      <w:pPr>
        <w:pStyle w:val="ListParagraph"/>
        <w:numPr>
          <w:ilvl w:val="0"/>
          <w:numId w:val="2"/>
        </w:numPr>
      </w:pPr>
      <w:r w:rsidRPr="00AE34E2">
        <w:rPr>
          <w:noProof/>
        </w:rPr>
        <w:drawing>
          <wp:inline distT="0" distB="0" distL="0" distR="0">
            <wp:extent cx="5941060" cy="405384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4E2" w:rsidRDefault="00AE34E2" w:rsidP="00AE34E2">
      <w:pPr>
        <w:pStyle w:val="ListParagraph"/>
        <w:numPr>
          <w:ilvl w:val="0"/>
          <w:numId w:val="2"/>
        </w:numPr>
      </w:pPr>
      <w:r>
        <w:t xml:space="preserve">Investment as a GDP percentage by the Chinese government has always been high </w:t>
      </w:r>
    </w:p>
    <w:p w:rsidR="00505527" w:rsidRDefault="00AE34E2" w:rsidP="00AE34E2">
      <w:pPr>
        <w:pStyle w:val="ListParagraph"/>
        <w:numPr>
          <w:ilvl w:val="0"/>
          <w:numId w:val="2"/>
        </w:numPr>
      </w:pPr>
      <w:r>
        <w:t>Central government uses money for investment</w:t>
      </w:r>
    </w:p>
    <w:p w:rsidR="00AE34E2" w:rsidRDefault="00AE34E2" w:rsidP="00AE34E2">
      <w:pPr>
        <w:pStyle w:val="ListParagraph"/>
        <w:numPr>
          <w:ilvl w:val="0"/>
          <w:numId w:val="2"/>
        </w:numPr>
      </w:pPr>
      <w:r>
        <w:t>Consumption as a percentage of GDP has always been lower than other countries</w:t>
      </w:r>
    </w:p>
    <w:p w:rsidR="00AE34E2" w:rsidRDefault="00AE34E2" w:rsidP="00AE34E2">
      <w:pPr>
        <w:pStyle w:val="ListParagraph"/>
        <w:numPr>
          <w:ilvl w:val="0"/>
          <w:numId w:val="2"/>
        </w:numPr>
      </w:pPr>
      <w:r>
        <w:t>Driving force for growth is always government investment dependent, even to today</w:t>
      </w:r>
    </w:p>
    <w:p w:rsidR="00AE34E2" w:rsidRDefault="00AE34E2" w:rsidP="00AE34E2">
      <w:pPr>
        <w:pStyle w:val="ListParagraph"/>
        <w:numPr>
          <w:ilvl w:val="0"/>
          <w:numId w:val="2"/>
        </w:numPr>
      </w:pPr>
      <w:r>
        <w:t>Money for investment used to come from SOEs during government control. SOE profits transferred to government which used the money for investment</w:t>
      </w:r>
    </w:p>
    <w:p w:rsidR="00AE34E2" w:rsidRDefault="00AE34E2" w:rsidP="00AE34E2">
      <w:pPr>
        <w:pStyle w:val="ListParagraph"/>
        <w:numPr>
          <w:ilvl w:val="0"/>
          <w:numId w:val="2"/>
        </w:numPr>
      </w:pPr>
      <w:r>
        <w:t>After reform SOEs became uncompetitive and money losing, consequent sharp drop in government revenue since 1978</w:t>
      </w:r>
    </w:p>
    <w:p w:rsidR="00AE34E2" w:rsidRDefault="00AE34E2" w:rsidP="00AE34E2">
      <w:pPr>
        <w:pStyle w:val="ListParagraph"/>
        <w:numPr>
          <w:ilvl w:val="0"/>
          <w:numId w:val="2"/>
        </w:numPr>
      </w:pPr>
      <w:r>
        <w:t>Household savings in banks, government borrows household savings for paying for investments</w:t>
      </w:r>
    </w:p>
    <w:p w:rsidR="00AE34E2" w:rsidRDefault="00AE34E2" w:rsidP="00AE34E2">
      <w:pPr>
        <w:pStyle w:val="ListParagraph"/>
        <w:numPr>
          <w:ilvl w:val="0"/>
          <w:numId w:val="2"/>
        </w:numPr>
      </w:pPr>
      <w:r>
        <w:t xml:space="preserve">More household savings with banks and less SOE income =&gt; central </w:t>
      </w:r>
      <w:r w:rsidR="000637FC">
        <w:t>government</w:t>
      </w:r>
      <w:r>
        <w:t xml:space="preserve"> resorts to borrow money for financing its activities =&gt; central </w:t>
      </w:r>
      <w:r w:rsidR="000637FC">
        <w:t>government</w:t>
      </w:r>
      <w:r>
        <w:t xml:space="preserve"> in debt =&gt; affects fiscal responsibility =&gt; tax and corporate reforms</w:t>
      </w:r>
    </w:p>
    <w:p w:rsidR="00AE34E2" w:rsidRDefault="00AE34E2" w:rsidP="00AE34E2">
      <w:pPr>
        <w:pStyle w:val="ListParagraph"/>
        <w:numPr>
          <w:ilvl w:val="0"/>
          <w:numId w:val="2"/>
        </w:numPr>
      </w:pPr>
      <w:r>
        <w:t>Second fiscal reform largely replaced the traditional revenue remittance system with a tax system</w:t>
      </w:r>
    </w:p>
    <w:p w:rsidR="00122860" w:rsidRDefault="00122860" w:rsidP="00AE34E2">
      <w:pPr>
        <w:pStyle w:val="ListParagraph"/>
        <w:numPr>
          <w:ilvl w:val="0"/>
          <w:numId w:val="2"/>
        </w:numPr>
      </w:pPr>
      <w:r>
        <w:t xml:space="preserve">Central government comes from corporate tax, personal tax, VAT 17, corporate profit tax 33%, consumption </w:t>
      </w:r>
      <w:proofErr w:type="spellStart"/>
      <w:r>
        <w:t>tax:cigarette</w:t>
      </w:r>
      <w:proofErr w:type="spellEnd"/>
      <w:r>
        <w:t>, alcohol</w:t>
      </w:r>
    </w:p>
    <w:p w:rsidR="005140C4" w:rsidRDefault="005140C4" w:rsidP="005140C4"/>
    <w:p w:rsidR="005140C4" w:rsidRDefault="005140C4" w:rsidP="005140C4">
      <w:pPr>
        <w:pStyle w:val="ListParagraph"/>
        <w:numPr>
          <w:ilvl w:val="0"/>
          <w:numId w:val="2"/>
        </w:numPr>
      </w:pPr>
      <w:r w:rsidRPr="005140C4">
        <w:t>Effective decentralization</w:t>
      </w:r>
      <w:r>
        <w:t xml:space="preserve"> </w:t>
      </w:r>
      <w:r w:rsidRPr="005140C4">
        <w:t>requires (a) accountability of local government, (b) autonomy of local government</w:t>
      </w:r>
      <w:r>
        <w:t xml:space="preserve"> </w:t>
      </w:r>
      <w:r w:rsidRPr="005140C4">
        <w:t>operation, (c) clarity and transparency of central government mandates</w:t>
      </w:r>
      <w:r>
        <w:t xml:space="preserve"> </w:t>
      </w:r>
      <w:r w:rsidRPr="005140C4">
        <w:t>and entitlements given to local government, and (d) capacity of local</w:t>
      </w:r>
      <w:r>
        <w:t xml:space="preserve"> </w:t>
      </w:r>
      <w:r w:rsidRPr="005140C4">
        <w:t>government to collect revenues and deliver services efficiently, combined with</w:t>
      </w:r>
      <w:r>
        <w:t xml:space="preserve"> </w:t>
      </w:r>
      <w:r w:rsidRPr="005140C4">
        <w:t xml:space="preserve">central government capacity to monitor and audit. </w:t>
      </w:r>
    </w:p>
    <w:p w:rsidR="005140C4" w:rsidRDefault="005140C4" w:rsidP="005140C4">
      <w:pPr>
        <w:pStyle w:val="ListParagraph"/>
        <w:ind w:left="360"/>
      </w:pPr>
    </w:p>
    <w:p w:rsidR="005140C4" w:rsidRPr="005140C4" w:rsidRDefault="005140C4" w:rsidP="005140C4">
      <w:pPr>
        <w:pStyle w:val="ListParagraph"/>
        <w:ind w:left="360"/>
      </w:pPr>
    </w:p>
    <w:p w:rsidR="00122860" w:rsidRDefault="00122860" w:rsidP="00AE34E2">
      <w:pPr>
        <w:pStyle w:val="ListParagraph"/>
        <w:numPr>
          <w:ilvl w:val="0"/>
          <w:numId w:val="2"/>
        </w:numPr>
      </w:pPr>
      <w:r w:rsidRPr="00122860">
        <w:rPr>
          <w:b/>
        </w:rPr>
        <w:t>Factor for instability:</w:t>
      </w:r>
      <w:r>
        <w:t xml:space="preserve"> SOEs become non-competitive resulting in government inability to execute fiscal policies</w:t>
      </w:r>
    </w:p>
    <w:p w:rsidR="00122860" w:rsidRDefault="00122860" w:rsidP="00122860">
      <w:pPr>
        <w:pStyle w:val="ListParagraph"/>
        <w:numPr>
          <w:ilvl w:val="0"/>
          <w:numId w:val="2"/>
        </w:numPr>
      </w:pPr>
      <w:r>
        <w:t>Government spends about 30% of all income</w:t>
      </w:r>
    </w:p>
    <w:p w:rsidR="005140C4" w:rsidRDefault="00CA12AC" w:rsidP="005140C4">
      <w:pPr>
        <w:pStyle w:val="ListParagraph"/>
        <w:numPr>
          <w:ilvl w:val="0"/>
          <w:numId w:val="2"/>
        </w:numPr>
      </w:pPr>
      <w:r>
        <w:t>Final local government revenue is 70% of total revenue. Central government percentage of total revenue is 30%</w:t>
      </w:r>
    </w:p>
    <w:p w:rsidR="00CA12AC" w:rsidRDefault="00CA12AC" w:rsidP="00122860">
      <w:pPr>
        <w:pStyle w:val="ListParagraph"/>
        <w:numPr>
          <w:ilvl w:val="0"/>
          <w:numId w:val="2"/>
        </w:numPr>
      </w:pPr>
      <w:r w:rsidRPr="00CA12AC">
        <w:rPr>
          <w:b/>
        </w:rPr>
        <w:t>Factor for instability:</w:t>
      </w:r>
      <w:r>
        <w:t xml:space="preserve"> Centralization and decentralization of authority and revenue collection process</w:t>
      </w:r>
    </w:p>
    <w:p w:rsidR="00D254A6" w:rsidRDefault="00D254A6" w:rsidP="00D254A6">
      <w:pPr>
        <w:pStyle w:val="ListParagraph"/>
        <w:numPr>
          <w:ilvl w:val="0"/>
          <w:numId w:val="2"/>
        </w:numPr>
      </w:pPr>
      <w:r w:rsidRPr="00D254A6">
        <w:t xml:space="preserve">Causes of instability: </w:t>
      </w:r>
    </w:p>
    <w:p w:rsidR="00D254A6" w:rsidRDefault="00D254A6" w:rsidP="00D254A6">
      <w:pPr>
        <w:pStyle w:val="ListParagraph"/>
        <w:numPr>
          <w:ilvl w:val="1"/>
          <w:numId w:val="2"/>
        </w:numPr>
      </w:pPr>
      <w:r w:rsidRPr="00D254A6">
        <w:t xml:space="preserve">economic reform, </w:t>
      </w:r>
    </w:p>
    <w:p w:rsidR="00D254A6" w:rsidRDefault="00D254A6" w:rsidP="00D254A6">
      <w:pPr>
        <w:pStyle w:val="ListParagraph"/>
        <w:numPr>
          <w:ilvl w:val="1"/>
          <w:numId w:val="2"/>
        </w:numPr>
      </w:pPr>
      <w:r w:rsidRPr="00D254A6">
        <w:t xml:space="preserve">high savings high </w:t>
      </w:r>
      <w:r>
        <w:t>investments,</w:t>
      </w:r>
      <w:r w:rsidRPr="00D254A6">
        <w:t xml:space="preserve"> and growth rate which later turns into non-performing debt(controlling the rat</w:t>
      </w:r>
      <w:r>
        <w:t>io of investment to the economy)</w:t>
      </w:r>
      <w:r w:rsidRPr="00D254A6">
        <w:t xml:space="preserve"> </w:t>
      </w:r>
    </w:p>
    <w:p w:rsidR="00D254A6" w:rsidRDefault="00D254A6" w:rsidP="00D254A6">
      <w:pPr>
        <w:pStyle w:val="ListParagraph"/>
        <w:numPr>
          <w:ilvl w:val="1"/>
          <w:numId w:val="2"/>
        </w:numPr>
      </w:pPr>
      <w:r w:rsidRPr="00D254A6">
        <w:t>bank dominated financial sector(operate for their own benefit, don’t care about financial stability: make sure commercial banks operate in interest of the full economy)</w:t>
      </w:r>
    </w:p>
    <w:p w:rsidR="00D254A6" w:rsidRDefault="00D254A6" w:rsidP="00D254A6">
      <w:pPr>
        <w:pStyle w:val="ListParagraph"/>
        <w:numPr>
          <w:ilvl w:val="1"/>
          <w:numId w:val="2"/>
        </w:numPr>
      </w:pPr>
      <w:r>
        <w:t xml:space="preserve">huge money stock: Financial banks have a lot of money to lend </w:t>
      </w:r>
      <w:r w:rsidR="00B448F2">
        <w:t>especially</w:t>
      </w:r>
      <w:r>
        <w:t xml:space="preserve"> to non-performing projects  (monetary policy: central bank</w:t>
      </w:r>
      <w:r w:rsidR="00A44F25">
        <w:t>(People’s Bank of China=US FED)</w:t>
      </w:r>
      <w:r>
        <w:t xml:space="preserve"> must control </w:t>
      </w:r>
      <w:r w:rsidR="00A44F25">
        <w:t xml:space="preserve">commercial bank </w:t>
      </w:r>
      <w:r>
        <w:t>liquidity</w:t>
      </w:r>
      <w:r w:rsidR="00A44F25">
        <w:t>, control inflation</w:t>
      </w:r>
      <w:r>
        <w:t>)</w:t>
      </w:r>
    </w:p>
    <w:p w:rsidR="00D254A6" w:rsidRDefault="00A44F25" w:rsidP="00D254A6">
      <w:pPr>
        <w:pStyle w:val="ListParagraph"/>
        <w:numPr>
          <w:ilvl w:val="0"/>
          <w:numId w:val="2"/>
        </w:numPr>
      </w:pPr>
      <w:r>
        <w:t>The objective of the Chinese monetary policy is three-fold: to maintain sustainable growth rather than short-</w:t>
      </w:r>
      <w:r w:rsidR="00543AFC">
        <w:t>term</w:t>
      </w:r>
      <w:r>
        <w:t xml:space="preserve"> economic performance; to maintain price stability; and to maintain the stability of the financial system</w:t>
      </w:r>
    </w:p>
    <w:p w:rsidR="00A44F25" w:rsidRDefault="00B67964" w:rsidP="00D254A6">
      <w:pPr>
        <w:pStyle w:val="ListParagraph"/>
        <w:numPr>
          <w:ilvl w:val="0"/>
          <w:numId w:val="2"/>
        </w:numPr>
      </w:pPr>
      <w:r>
        <w:t>Control over the credit growth</w:t>
      </w:r>
    </w:p>
    <w:p w:rsidR="00B67964" w:rsidRDefault="00B67964" w:rsidP="00D254A6">
      <w:pPr>
        <w:pStyle w:val="ListParagraph"/>
        <w:numPr>
          <w:ilvl w:val="0"/>
          <w:numId w:val="2"/>
        </w:numPr>
      </w:pPr>
      <w:r>
        <w:t>Government bonds</w:t>
      </w:r>
    </w:p>
    <w:p w:rsidR="00B67964" w:rsidRDefault="00B67964" w:rsidP="00D254A6">
      <w:pPr>
        <w:pStyle w:val="ListParagraph"/>
        <w:numPr>
          <w:ilvl w:val="0"/>
          <w:numId w:val="2"/>
        </w:numPr>
      </w:pPr>
      <w:r>
        <w:t>New financing through trusts and wealth management products</w:t>
      </w:r>
    </w:p>
    <w:p w:rsidR="00B67964" w:rsidRDefault="00B67964" w:rsidP="00D254A6">
      <w:pPr>
        <w:pStyle w:val="ListParagraph"/>
        <w:numPr>
          <w:ilvl w:val="0"/>
          <w:numId w:val="2"/>
        </w:numPr>
      </w:pPr>
      <w:r>
        <w:t>Central bank uses interest rates to control borrowing costs and therefore the financing of projects for investments</w:t>
      </w:r>
    </w:p>
    <w:p w:rsidR="00E67DF7" w:rsidRDefault="00E67DF7" w:rsidP="00D254A6">
      <w:pPr>
        <w:pStyle w:val="ListParagraph"/>
        <w:numPr>
          <w:ilvl w:val="0"/>
          <w:numId w:val="2"/>
        </w:numPr>
      </w:pPr>
      <w:r>
        <w:t>Nonperforming Loans in the banking sector</w:t>
      </w:r>
    </w:p>
    <w:p w:rsidR="00E67DF7" w:rsidRDefault="00E67DF7" w:rsidP="00D254A6">
      <w:pPr>
        <w:pStyle w:val="ListParagraph"/>
        <w:numPr>
          <w:ilvl w:val="0"/>
          <w:numId w:val="2"/>
        </w:numPr>
      </w:pPr>
      <w:r>
        <w:t>Commercial bank will go bankrupt, remedy: to be decided</w:t>
      </w:r>
    </w:p>
    <w:p w:rsidR="00E67DF7" w:rsidRDefault="00E67DF7" w:rsidP="00D254A6">
      <w:pPr>
        <w:pStyle w:val="ListParagraph"/>
        <w:numPr>
          <w:ilvl w:val="0"/>
          <w:numId w:val="2"/>
        </w:numPr>
      </w:pPr>
      <w:r>
        <w:t xml:space="preserve">Future instability factor: still very low, hot money financial crisis, implies remedy for financial crisis </w:t>
      </w:r>
    </w:p>
    <w:p w:rsidR="00E67DF7" w:rsidRDefault="00E67DF7" w:rsidP="00D254A6">
      <w:pPr>
        <w:pStyle w:val="ListParagraph"/>
        <w:numPr>
          <w:ilvl w:val="0"/>
          <w:numId w:val="2"/>
        </w:numPr>
      </w:pPr>
      <w:r>
        <w:t xml:space="preserve">Forthcoming instability factor: </w:t>
      </w:r>
    </w:p>
    <w:p w:rsidR="00E67DF7" w:rsidRDefault="00E67DF7" w:rsidP="00E67DF7">
      <w:pPr>
        <w:pStyle w:val="ListParagraph"/>
        <w:numPr>
          <w:ilvl w:val="0"/>
          <w:numId w:val="2"/>
        </w:numPr>
      </w:pPr>
      <w:r>
        <w:t>Fast wage increase in China implies high potential of inflation: Remedy to be decided</w:t>
      </w:r>
    </w:p>
    <w:p w:rsidR="00E67DF7" w:rsidRDefault="00D056BB" w:rsidP="00D056BB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5939155" cy="330517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6BB" w:rsidRDefault="00D056BB" w:rsidP="00E67DF7">
      <w:pPr>
        <w:pStyle w:val="ListParagraph"/>
        <w:numPr>
          <w:ilvl w:val="0"/>
          <w:numId w:val="2"/>
        </w:numPr>
      </w:pPr>
      <w:r>
        <w:t>Slide 1: Background and features of economic growth</w:t>
      </w:r>
    </w:p>
    <w:p w:rsidR="00D056BB" w:rsidRDefault="00D056BB" w:rsidP="00D056BB">
      <w:pPr>
        <w:pStyle w:val="ListParagraph"/>
        <w:numPr>
          <w:ilvl w:val="1"/>
          <w:numId w:val="2"/>
        </w:numPr>
      </w:pPr>
      <w:r>
        <w:t>Growth pushed by investment</w:t>
      </w:r>
    </w:p>
    <w:p w:rsidR="00D056BB" w:rsidRDefault="00D056BB" w:rsidP="00D056BB">
      <w:pPr>
        <w:pStyle w:val="ListParagraph"/>
        <w:numPr>
          <w:ilvl w:val="1"/>
          <w:numId w:val="2"/>
        </w:numPr>
      </w:pPr>
      <w:r>
        <w:t>1978-2010 Correlation between GDP growth rate and inflation rate</w:t>
      </w:r>
    </w:p>
    <w:p w:rsidR="00D056BB" w:rsidRDefault="00D056BB" w:rsidP="00D056BB">
      <w:pPr>
        <w:pStyle w:val="ListParagraph"/>
        <w:numPr>
          <w:ilvl w:val="1"/>
          <w:numId w:val="2"/>
        </w:numPr>
      </w:pPr>
      <w:r>
        <w:t>Fiscal Policy is very effective in boosting economic growth and overcoming inflation/deflation</w:t>
      </w:r>
    </w:p>
    <w:p w:rsidR="00D056BB" w:rsidRDefault="004C2AC9" w:rsidP="004C2AC9">
      <w:pPr>
        <w:pStyle w:val="ListParagraph"/>
        <w:numPr>
          <w:ilvl w:val="0"/>
          <w:numId w:val="2"/>
        </w:numPr>
      </w:pPr>
      <w:r w:rsidRPr="004C2AC9">
        <w:t>First, China’s growth in the past two decades is mainly driven by investment. The increase</w:t>
      </w:r>
      <w:r>
        <w:t xml:space="preserve"> </w:t>
      </w:r>
      <w:r w:rsidRPr="004C2AC9">
        <w:t>in the growth rate of investment normally will persist until serious overheating occurs. The</w:t>
      </w:r>
      <w:r>
        <w:t xml:space="preserve"> </w:t>
      </w:r>
      <w:r w:rsidRPr="004C2AC9">
        <w:t>overheating develops in two stages: GDP grows at a rate higher than potential growth rate first</w:t>
      </w:r>
      <w:r>
        <w:t xml:space="preserve"> </w:t>
      </w:r>
      <w:r w:rsidRPr="004C2AC9">
        <w:t>and then inflation worsens.</w:t>
      </w:r>
    </w:p>
    <w:p w:rsidR="004C2AC9" w:rsidRDefault="004C2AC9" w:rsidP="004C2AC9">
      <w:pPr>
        <w:pStyle w:val="ListParagraph"/>
        <w:numPr>
          <w:ilvl w:val="0"/>
          <w:numId w:val="2"/>
        </w:numPr>
      </w:pPr>
      <w:r w:rsidRPr="004C2AC9">
        <w:t>Whenever the growth rate of GDP surpasses the potential growth rate, inflation would rise</w:t>
      </w:r>
      <w:r>
        <w:t xml:space="preserve"> </w:t>
      </w:r>
      <w:r w:rsidRPr="004C2AC9">
        <w:t>at an accelerating pace several quarters later. Whenever GDP growth slows, inflation will fall</w:t>
      </w:r>
      <w:r>
        <w:t xml:space="preserve"> with similar time lags. </w:t>
      </w:r>
    </w:p>
    <w:p w:rsidR="004C2AC9" w:rsidRDefault="004C2AC9" w:rsidP="004C2AC9">
      <w:pPr>
        <w:pStyle w:val="ListParagraph"/>
        <w:numPr>
          <w:ilvl w:val="0"/>
          <w:numId w:val="2"/>
        </w:numPr>
      </w:pPr>
      <w:r w:rsidRPr="004C2AC9">
        <w:t>However, because the availability of credit is the most important</w:t>
      </w:r>
      <w:r>
        <w:t xml:space="preserve"> </w:t>
      </w:r>
      <w:r w:rsidRPr="004C2AC9">
        <w:t>prerequisite to investment growth and hence GDP growth, in some extreme circumstances,</w:t>
      </w:r>
      <w:r>
        <w:t xml:space="preserve"> </w:t>
      </w:r>
      <w:r w:rsidRPr="004C2AC9">
        <w:t>despite side effects, targeting credit and using “moral persuasion” to achieve the credit target is</w:t>
      </w:r>
      <w:r>
        <w:t xml:space="preserve"> </w:t>
      </w:r>
      <w:r w:rsidRPr="004C2AC9">
        <w:t>more effective than control through money supply.</w:t>
      </w:r>
    </w:p>
    <w:p w:rsidR="004C2AC9" w:rsidRDefault="004C2AC9" w:rsidP="004C2AC9">
      <w:pPr>
        <w:pStyle w:val="ListParagraph"/>
        <w:numPr>
          <w:ilvl w:val="0"/>
          <w:numId w:val="2"/>
        </w:numPr>
      </w:pPr>
      <w:r>
        <w:t>Fiscal policy is very effective in boosting economic growth and overcoming deflation</w:t>
      </w:r>
    </w:p>
    <w:p w:rsidR="004C2AC9" w:rsidRPr="00505527" w:rsidRDefault="004C2AC9" w:rsidP="004C2AC9">
      <w:pPr>
        <w:pStyle w:val="ListParagraph"/>
        <w:numPr>
          <w:ilvl w:val="0"/>
          <w:numId w:val="2"/>
        </w:numPr>
      </w:pPr>
      <w:r w:rsidRPr="004C2AC9">
        <w:t>China’s M2-to-GDP ratio has reached 180 percent, the highest among major</w:t>
      </w:r>
      <w:r>
        <w:t xml:space="preserve"> </w:t>
      </w:r>
      <w:r w:rsidRPr="004C2AC9">
        <w:t>economies in the world. This extremely high degree of monetization of the economy implies</w:t>
      </w:r>
      <w:r>
        <w:t xml:space="preserve"> </w:t>
      </w:r>
      <w:r w:rsidRPr="004C2AC9">
        <w:t>that it will become increasingly difficult for the PBOC to control the liquidity of the economy</w:t>
      </w:r>
      <w:r>
        <w:t xml:space="preserve"> </w:t>
      </w:r>
      <w:r w:rsidRPr="004C2AC9">
        <w:t>v</w:t>
      </w:r>
      <w:r>
        <w:t xml:space="preserve">ia changes in money supply. </w:t>
      </w:r>
    </w:p>
    <w:sectPr w:rsidR="004C2AC9" w:rsidRPr="00505527" w:rsidSect="00B80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B6E13"/>
    <w:multiLevelType w:val="hybridMultilevel"/>
    <w:tmpl w:val="0F0C8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320450">
      <w:start w:val="1"/>
      <w:numFmt w:val="bullet"/>
      <w:lvlText w:val="o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6137E6"/>
    <w:multiLevelType w:val="hybridMultilevel"/>
    <w:tmpl w:val="42784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44092"/>
    <w:rsid w:val="00010654"/>
    <w:rsid w:val="000637FC"/>
    <w:rsid w:val="000D78D8"/>
    <w:rsid w:val="00122860"/>
    <w:rsid w:val="001E6FE1"/>
    <w:rsid w:val="004C2AC9"/>
    <w:rsid w:val="00505527"/>
    <w:rsid w:val="005140C4"/>
    <w:rsid w:val="00543AFC"/>
    <w:rsid w:val="006058FD"/>
    <w:rsid w:val="00A44092"/>
    <w:rsid w:val="00A44F25"/>
    <w:rsid w:val="00A5516E"/>
    <w:rsid w:val="00AE34E2"/>
    <w:rsid w:val="00B448F2"/>
    <w:rsid w:val="00B47359"/>
    <w:rsid w:val="00B67964"/>
    <w:rsid w:val="00B80755"/>
    <w:rsid w:val="00CA12AC"/>
    <w:rsid w:val="00D056BB"/>
    <w:rsid w:val="00D254A6"/>
    <w:rsid w:val="00DA628D"/>
    <w:rsid w:val="00E07504"/>
    <w:rsid w:val="00E33F1B"/>
    <w:rsid w:val="00E67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7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0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0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5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shuwanglo</dc:creator>
  <cp:lastModifiedBy>shuwanglo</cp:lastModifiedBy>
  <cp:revision>5</cp:revision>
  <dcterms:created xsi:type="dcterms:W3CDTF">2018-01-28T12:15:00Z</dcterms:created>
  <dcterms:modified xsi:type="dcterms:W3CDTF">2018-01-31T10:12:00Z</dcterms:modified>
</cp:coreProperties>
</file>