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9.png" ContentType="image/png"/>
  <Override PartName="/word/media/rId42.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Geomorphometric</w:t>
      </w:r>
      <w:r>
        <w:t xml:space="preserve"> </w:t>
      </w:r>
      <w:r>
        <w:t xml:space="preserve">analysis</w:t>
      </w:r>
      <w:r>
        <w:t xml:space="preserve"> </w:t>
      </w:r>
      <w:r>
        <w:t xml:space="preserve">of</w:t>
      </w:r>
      <w:r>
        <w:t xml:space="preserve"> </w:t>
      </w:r>
      <w:r>
        <w:t xml:space="preserve">wildfire</w:t>
      </w:r>
      <w:r>
        <w:t xml:space="preserve"> </w:t>
      </w:r>
      <w:r>
        <w:t xml:space="preserve">occurrence</w:t>
      </w:r>
      <w:r>
        <w:t xml:space="preserve"> </w:t>
      </w:r>
      <w:r>
        <w:t xml:space="preserve">in</w:t>
      </w:r>
      <w:r>
        <w:t xml:space="preserve"> </w:t>
      </w:r>
      <w:r>
        <w:t xml:space="preserve">a</w:t>
      </w:r>
      <w:r>
        <w:t xml:space="preserve"> </w:t>
      </w:r>
      <w:r>
        <w:t xml:space="preserve">humid</w:t>
      </w:r>
      <w:r>
        <w:t xml:space="preserve"> </w:t>
      </w:r>
      <w:r>
        <w:t xml:space="preserve">tropical</w:t>
      </w:r>
      <w:r>
        <w:t xml:space="preserve"> </w:t>
      </w:r>
      <w:r>
        <w:t xml:space="preserve">protected</w:t>
      </w:r>
      <w:r>
        <w:t xml:space="preserve"> </w:t>
      </w:r>
      <w:r>
        <w:t xml:space="preserve">area:</w:t>
      </w:r>
      <w:r>
        <w:t xml:space="preserve"> </w:t>
      </w:r>
      <w:r>
        <w:t xml:space="preserve">a</w:t>
      </w:r>
      <w:r>
        <w:t xml:space="preserve"> </w:t>
      </w:r>
      <w:r>
        <w:t xml:space="preserve">case</w:t>
      </w:r>
      <w:r>
        <w:t xml:space="preserve"> </w:t>
      </w:r>
      <w:r>
        <w:t xml:space="preserve">study</w:t>
      </w:r>
      <w:r>
        <w:t xml:space="preserve"> </w:t>
      </w:r>
      <w:r>
        <w:t xml:space="preserve">in</w:t>
      </w:r>
      <w:r>
        <w:t xml:space="preserve"> </w:t>
      </w:r>
      <w:r>
        <w:t xml:space="preserve">Southern</w:t>
      </w:r>
      <w:r>
        <w:t xml:space="preserve"> </w:t>
      </w:r>
      <w:r>
        <w:t xml:space="preserve">Pacific</w:t>
      </w:r>
      <w:r>
        <w:t xml:space="preserve"> </w:t>
      </w:r>
      <w:r>
        <w:t xml:space="preserve">Costa</w:t>
      </w:r>
      <w:r>
        <w:t xml:space="preserve"> </w:t>
      </w:r>
      <w:r>
        <w:t xml:space="preserve">Rica</w:t>
      </w:r>
    </w:p>
    <w:p>
      <w:pPr>
        <w:pStyle w:val="Author"/>
      </w:pPr>
      <w:r>
        <w:t xml:space="preserve">Shu</w:t>
      </w:r>
      <w:r>
        <w:t xml:space="preserve"> </w:t>
      </w:r>
      <w:r>
        <w:t xml:space="preserve">Wei</w:t>
      </w:r>
      <w:r>
        <w:t xml:space="preserve"> </w:t>
      </w:r>
      <w:r>
        <w:t xml:space="preserve">Chou-Chen</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Adolfo</w:t>
      </w:r>
      <w:r>
        <w:t xml:space="preserve"> </w:t>
      </w:r>
      <w:r>
        <w:t xml:space="preserve">Quesada-Román</w:t>
      </w:r>
      <w:r>
        <w:rPr>
          <w:vertAlign w:val="superscript"/>
        </w:rPr>
        <w:t xml:space="preserve">2</w:t>
      </w:r>
      <w:r>
        <w:t xml:space="preserve">,</w:t>
      </w:r>
      <w:r>
        <w:t xml:space="preserve"> </w:t>
      </w:r>
      <w:r>
        <w:t xml:space="preserve">and</w:t>
      </w:r>
      <w:r>
        <w:t xml:space="preserve"> </w:t>
      </w:r>
      <w:r>
        <w:t xml:space="preserve">Daniela</w:t>
      </w:r>
      <w:r>
        <w:t xml:space="preserve"> </w:t>
      </w:r>
      <w:r>
        <w:t xml:space="preserve">Vargas-Sanabria</w:t>
      </w:r>
      <w:r>
        <w:rPr>
          <w:vertAlign w:val="superscript"/>
        </w:rPr>
        <w:t xml:space="preserve">3</w:t>
      </w:r>
    </w:p>
    <w:p>
      <w:pPr>
        <w:pStyle w:val="FirstParagraph"/>
      </w:pPr>
      <w:r>
        <w:rPr>
          <w:vertAlign w:val="superscript"/>
        </w:rPr>
        <w:t xml:space="preserve">1</w:t>
      </w:r>
      <w:r>
        <w:t xml:space="preserve"> </w:t>
      </w:r>
      <w:r>
        <w:t xml:space="preserve">Escuela de Estadística, Universidad de Costa Rica</w:t>
      </w:r>
      <w:r>
        <w:br/>
      </w:r>
      <w:r>
        <w:rPr>
          <w:vertAlign w:val="superscript"/>
        </w:rPr>
        <w:t xml:space="preserve">2</w:t>
      </w:r>
      <w:r>
        <w:t xml:space="preserve"> </w:t>
      </w:r>
      <w:r>
        <w:t xml:space="preserve">Physical Geography Lab, School of Geography, University of Costa Rica</w:t>
      </w:r>
      <w:r>
        <w:br/>
      </w:r>
      <w:r>
        <w:rPr>
          <w:vertAlign w:val="superscript"/>
        </w:rPr>
        <w:t xml:space="preserve">3</w:t>
      </w:r>
      <w:r>
        <w:t xml:space="preserve"> </w:t>
      </w:r>
      <w:r>
        <w:t xml:space="preserve">Laboratorio de Investigacion e Innovación Tecnológica. Universidad Estatal a Distancia, Costa Rica.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Shu Wei Chou-Chen &lt;shuwei.chou@ucr.ac.cr&gt;</w:t>
        </w:r>
      </w:hyperlink>
    </w:p>
    <w:bookmarkStart w:id="21" w:name="introduction"/>
    <w:p>
      <w:pPr>
        <w:pStyle w:val="Heading1"/>
      </w:pPr>
      <w:r>
        <w:t xml:space="preserve">1. Introduction</w:t>
      </w:r>
    </w:p>
    <w:p>
      <w:pPr>
        <w:pStyle w:val="FirstParagraph"/>
      </w:pPr>
      <w:r>
        <w:t xml:space="preserve">…</w:t>
      </w:r>
    </w:p>
    <w:bookmarkEnd w:id="21"/>
    <w:bookmarkStart w:id="25" w:name="sec-metod"/>
    <w:p>
      <w:pPr>
        <w:pStyle w:val="Heading1"/>
      </w:pPr>
      <w:r>
        <w:t xml:space="preserve">2. Methods</w:t>
      </w:r>
    </w:p>
    <w:bookmarkStart w:id="22" w:name="data"/>
    <w:p>
      <w:pPr>
        <w:pStyle w:val="Heading2"/>
      </w:pPr>
      <w:r>
        <w:t xml:space="preserve">2.1 Data</w:t>
      </w:r>
    </w:p>
    <w:p>
      <w:pPr>
        <w:pStyle w:val="FirstParagraph"/>
      </w:pPr>
      <w:r>
        <w:t xml:space="preserve">Data description…</w:t>
      </w:r>
    </w:p>
    <w:p>
      <w:pPr>
        <w:pStyle w:val="BodyText"/>
      </w:pPr>
      <w:r>
        <w:t xml:space="preserve">The explanatory variables, FA and TRI, are logarithmically transformed as</w:t>
      </w:r>
      <w:r>
        <w:t xml:space="preserve"> </w:t>
      </w:r>
      <m:oMath>
        <m:d>
          <m:dPr>
            <m:begChr m:val="("/>
            <m:endChr m:val=")"/>
            <m:sepChr m:val=""/>
            <m:grow/>
          </m:dPr>
          <m:e>
            <m:r>
              <m:t>l</m:t>
            </m:r>
            <m:r>
              <m:t>o</m:t>
            </m:r>
            <m:r>
              <m:t>g</m:t>
            </m:r>
            <m:d>
              <m:dPr>
                <m:begChr m:val="("/>
                <m:endChr m:val=")"/>
                <m:sepChr m:val=""/>
                <m:grow/>
              </m:dPr>
              <m:e>
                <m:r>
                  <m:t>x</m:t>
                </m:r>
                <m:r>
                  <m:rPr>
                    <m:sty m:val="p"/>
                  </m:rPr>
                  <m:t>+</m:t>
                </m:r>
                <m:r>
                  <m:t>0.1</m:t>
                </m:r>
              </m:e>
            </m:d>
          </m:e>
        </m:d>
      </m:oMath>
      <w:r>
        <w:t xml:space="preserve"> </w:t>
      </w:r>
      <w:r>
        <w:t xml:space="preserve">to address their asymmetry and to avoid undefined values for</w:t>
      </w:r>
      <w:r>
        <w:t xml:space="preserve"> </w:t>
      </w:r>
      <m:oMath>
        <m:r>
          <m:t>l</m:t>
        </m:r>
        <m:r>
          <m:t>o</m:t>
        </m:r>
        <m:r>
          <m:t>g</m:t>
        </m:r>
        <m:d>
          <m:dPr>
            <m:begChr m:val="("/>
            <m:endChr m:val=")"/>
            <m:sepChr m:val=""/>
            <m:grow/>
          </m:dPr>
          <m:e>
            <m:r>
              <m:t>0</m:t>
            </m:r>
          </m:e>
        </m:d>
      </m:oMath>
      <w:r>
        <w:t xml:space="preserve">. Subsequently, all covariates (DAH, logFA, LST, logLSF, SLOPE, logTRI, TWI, WE, and WExpo) are scaled using z-scores to enable the comparison of their standardized contributions.</w:t>
      </w:r>
    </w:p>
    <w:bookmarkEnd w:id="22"/>
    <w:bookmarkStart w:id="24" w:name="statistical-models-and-analysis-approach"/>
    <w:p>
      <w:pPr>
        <w:pStyle w:val="Heading2"/>
      </w:pPr>
      <w:r>
        <w:t xml:space="preserve">2.2 Statistical models and analysis approach</w:t>
      </w:r>
    </w:p>
    <w:p>
      <w:pPr>
        <w:pStyle w:val="FirstParagraph"/>
      </w:pPr>
      <w:r>
        <w:t xml:space="preserve">The goal is to model a count variable (INC), which ranges from 0 to 6 and has a high percentage of zeros (</w:t>
      </w:r>
      <m:oMath>
        <m:r>
          <m:t>74.8</m:t>
        </m:r>
      </m:oMath>
      <w:r>
        <w:t xml:space="preserve">). Therefore, we considered count models, such as Poisson and Negative Binomial regression, as well as the zero-inflated count regression models. There are different ways in R</w:t>
      </w:r>
      <w:r>
        <w:t xml:space="preserve"> </w:t>
      </w:r>
      <w:r>
        <w:t xml:space="preserve">(R Core Team 2023)</w:t>
      </w:r>
      <w:r>
        <w:t xml:space="preserve"> </w:t>
      </w:r>
      <w:r>
        <w:t xml:space="preserve">that implement zero-inflated count models throughout different packages</w:t>
      </w:r>
      <w:r>
        <w:t xml:space="preserve"> </w:t>
      </w:r>
      <w:r>
        <w:t xml:space="preserve">(Zeileis, Kleiber, and Jackman 2008)</w:t>
      </w:r>
      <w:r>
        <w:t xml:space="preserve">. We performed all the statistical modeling by using a flexible statistical framework called Generalized Additive Models for Location, Scale, and Shape (GAMLSS), since all these models are special cases within this model class. All the statistical analysis in this paper was conducted using the</w:t>
      </w:r>
      <w:r>
        <w:t xml:space="preserve"> </w:t>
      </w:r>
      <w:r>
        <w:rPr>
          <w:rStyle w:val="VerbatimChar"/>
        </w:rPr>
        <w:t xml:space="preserve">gamlss</w:t>
      </w:r>
      <w:r>
        <w:t xml:space="preserve"> </w:t>
      </w:r>
      <w:r>
        <w:t xml:space="preserve">package</w:t>
      </w:r>
      <w:r>
        <w:t xml:space="preserve"> </w:t>
      </w:r>
      <w:r>
        <w:t xml:space="preserve">(R. A. Rigby and D. M. Stasinopoulos 2005)</w:t>
      </w:r>
      <w:r>
        <w:t xml:space="preserve">. Although this model allows for non-linear effects from the covariates, we retain the model with linear covariates for simplicity.</w:t>
      </w:r>
    </w:p>
    <w:p>
      <w:pPr>
        <w:pStyle w:val="BodyText"/>
      </w:pPr>
      <w:r>
        <w:t xml:space="preserve">Let</w:t>
      </w:r>
      <w:r>
        <w:t xml:space="preserve"> </w:t>
      </w:r>
      <m:oMath>
        <m:sSub>
          <m:e>
            <m:r>
              <m:t>Y</m:t>
            </m:r>
          </m:e>
          <m:sub>
            <m:r>
              <m:t>i</m:t>
            </m:r>
          </m:sub>
        </m:sSub>
      </m:oMath>
      <w:r>
        <w:t xml:space="preserve"> </w:t>
      </w:r>
      <w:r>
        <w:t xml:space="preserve">be the INC of location</w:t>
      </w:r>
      <w:r>
        <w:t xml:space="preserve"> </w:t>
      </w:r>
      <m:oMath>
        <m:r>
          <m:t>i</m:t>
        </m:r>
        <m:r>
          <m:rPr>
            <m:sty m:val="p"/>
          </m:rPr>
          <m:t>=</m:t>
        </m:r>
        <m:r>
          <m:t>1</m:t>
        </m:r>
        <m:r>
          <m:rPr>
            <m:sty m:val="p"/>
          </m:rPr>
          <m:t>,</m:t>
        </m:r>
        <m:r>
          <m:rPr>
            <m:sty m:val="p"/>
          </m:rPr>
          <m:t>.</m:t>
        </m:r>
        <m:r>
          <m:rPr>
            <m:sty m:val="p"/>
          </m:rPr>
          <m:t>.</m:t>
        </m:r>
        <m:r>
          <m:rPr>
            <m:sty m:val="p"/>
          </m:rPr>
          <m:t>.</m:t>
        </m:r>
        <m:r>
          <m:rPr>
            <m:sty m:val="p"/>
          </m:rPr>
          <m:t>,</m:t>
        </m:r>
        <m:r>
          <m:t>n</m:t>
        </m:r>
      </m:oMath>
      <w:r>
        <w:t xml:space="preserve">. The count regression models described above are represented by either one-, two-, or three-parameter GAMLSS models:</w:t>
      </w:r>
    </w:p>
    <w:p>
      <w:pPr>
        <w:pStyle w:val="BodyText"/>
      </w:pPr>
      <w:bookmarkStart w:id="23" w:name="eq-gamlss"/>
      <m:oMathPara>
        <m:oMathParaPr>
          <m:jc m:val="center"/>
        </m:oMathParaPr>
        <m:oMath>
          <m:m>
            <m:mPr>
              <m:baseJc m:val="center"/>
              <m:plcHide m:val="on"/>
              <m:mcs>
                <m:mc>
                  <m:mcPr>
                    <m:mcJc m:val="right"/>
                    <m:count m:val="1"/>
                  </m:mcPr>
                </m:mc>
                <m:mc>
                  <m:mcPr>
                    <m:mcJc m:val="left"/>
                    <m:count m:val="1"/>
                  </m:mcPr>
                </m:mc>
              </m:mcs>
            </m:mPr>
            <m:mr>
              <m:e>
                <m:sSub>
                  <m:e>
                    <m:r>
                      <m:t>Y</m:t>
                    </m:r>
                  </m:e>
                  <m:sub>
                    <m:r>
                      <m:t>i</m:t>
                    </m:r>
                  </m:sub>
                </m:sSub>
              </m:e>
              <m:e>
                <m:limUpp>
                  <m:e>
                    <m:r>
                      <m:rPr>
                        <m:sty m:val="p"/>
                      </m:rPr>
                      <m:t>∼</m:t>
                    </m:r>
                  </m:e>
                  <m:lim>
                    <m:r>
                      <m:t>i</m:t>
                    </m:r>
                    <m:r>
                      <m:t>n</m:t>
                    </m:r>
                    <m:r>
                      <m:t>d</m:t>
                    </m:r>
                  </m:lim>
                </m:limUpp>
                <m:r>
                  <m:rPr>
                    <m:sty m:val="p"/>
                    <m:scr m:val="script"/>
                  </m:rPr>
                  <m:t>D</m:t>
                </m:r>
                <m:d>
                  <m:dPr>
                    <m:begChr m:val="("/>
                    <m:endChr m:val=")"/>
                    <m:sepChr m:val=""/>
                    <m:grow/>
                  </m:dPr>
                  <m:e>
                    <m:r>
                      <m:t>μ</m:t>
                    </m:r>
                    <m:r>
                      <m:rPr>
                        <m:sty m:val="p"/>
                      </m:rPr>
                      <m:t>,</m:t>
                    </m:r>
                    <m:r>
                      <m:t>σ</m:t>
                    </m:r>
                    <m:r>
                      <m:rPr>
                        <m:sty m:val="p"/>
                      </m:rPr>
                      <m:t>,</m:t>
                    </m:r>
                    <m:r>
                      <m:t>ν</m:t>
                    </m:r>
                  </m:e>
                </m:d>
                <m:r>
                  <m:rPr>
                    <m:sty m:val="p"/>
                  </m:rPr>
                  <m:t>,</m:t>
                </m:r>
              </m:e>
            </m:mr>
            <m:mr>
              <m:e>
                <m:sSub>
                  <m:e>
                    <m:r>
                      <m:t>g</m:t>
                    </m:r>
                  </m:e>
                  <m:sub>
                    <m:r>
                      <m:t>1</m:t>
                    </m:r>
                  </m:sub>
                </m:sSub>
                <m:d>
                  <m:dPr>
                    <m:begChr m:val="("/>
                    <m:endChr m:val=")"/>
                    <m:sepChr m:val=""/>
                    <m:grow/>
                  </m:dPr>
                  <m:e>
                    <m:r>
                      <m:t>μ</m:t>
                    </m:r>
                  </m:e>
                </m:d>
              </m:e>
              <m:e>
                <m:r>
                  <m:rPr>
                    <m:sty m:val="p"/>
                  </m:rPr>
                  <m:t>=</m:t>
                </m:r>
                <m:sSub>
                  <m:e>
                    <m:r>
                      <m:t>β</m:t>
                    </m:r>
                  </m:e>
                  <m:sub>
                    <m:r>
                      <m:t>10</m:t>
                    </m:r>
                  </m:sub>
                </m:sSub>
                <m:r>
                  <m:rPr>
                    <m:sty m:val="p"/>
                  </m:rPr>
                  <m:t>+</m:t>
                </m:r>
                <m:nary>
                  <m:naryPr>
                    <m:chr m:val="∑"/>
                    <m:limLoc m:val="undOvr"/>
                    <m:subHide m:val="off"/>
                    <m:supHide m:val="off"/>
                  </m:naryPr>
                  <m:sub>
                    <m:r>
                      <m:t>j</m:t>
                    </m:r>
                    <m:r>
                      <m:rPr>
                        <m:sty m:val="p"/>
                      </m:rPr>
                      <m:t>=</m:t>
                    </m:r>
                    <m:r>
                      <m:t>1</m:t>
                    </m:r>
                  </m:sub>
                  <m:sup>
                    <m:r>
                      <m:t>J</m:t>
                    </m:r>
                  </m:sup>
                  <m:e>
                    <m:sSub>
                      <m:e>
                        <m:r>
                          <m:t>β</m:t>
                        </m:r>
                      </m:e>
                      <m:sub>
                        <m:r>
                          <m:t>1</m:t>
                        </m:r>
                        <m:r>
                          <m:t>j</m:t>
                        </m:r>
                      </m:sub>
                    </m:sSub>
                  </m:e>
                </m:nary>
                <m:sSub>
                  <m:e>
                    <m:r>
                      <m:t>X</m:t>
                    </m:r>
                  </m:e>
                  <m:sub>
                    <m:r>
                      <m:t>i</m:t>
                    </m:r>
                    <m:r>
                      <m:t>j</m:t>
                    </m:r>
                  </m:sub>
                </m:sSub>
                <m:r>
                  <m:rPr>
                    <m:sty m:val="p"/>
                  </m:rPr>
                  <m:t>,</m:t>
                </m:r>
              </m:e>
            </m:mr>
            <m:mr>
              <m:e>
                <m:sSub>
                  <m:e>
                    <m:r>
                      <m:t>g</m:t>
                    </m:r>
                  </m:e>
                  <m:sub>
                    <m:r>
                      <m:t>2</m:t>
                    </m:r>
                  </m:sub>
                </m:sSub>
                <m:d>
                  <m:dPr>
                    <m:begChr m:val="("/>
                    <m:endChr m:val=")"/>
                    <m:sepChr m:val=""/>
                    <m:grow/>
                  </m:dPr>
                  <m:e>
                    <m:r>
                      <m:t>σ</m:t>
                    </m:r>
                  </m:e>
                </m:d>
              </m:e>
              <m:e>
                <m:r>
                  <m:rPr>
                    <m:sty m:val="p"/>
                  </m:rPr>
                  <m:t>=</m:t>
                </m:r>
                <m:sSub>
                  <m:e>
                    <m:r>
                      <m:t>β</m:t>
                    </m:r>
                  </m:e>
                  <m:sub>
                    <m:r>
                      <m:t>20</m:t>
                    </m:r>
                  </m:sub>
                </m:sSub>
                <m:r>
                  <m:rPr>
                    <m:sty m:val="p"/>
                  </m:rPr>
                  <m:t>+</m:t>
                </m:r>
                <m:nary>
                  <m:naryPr>
                    <m:chr m:val="∑"/>
                    <m:limLoc m:val="undOvr"/>
                    <m:subHide m:val="off"/>
                    <m:supHide m:val="off"/>
                  </m:naryPr>
                  <m:sub>
                    <m:r>
                      <m:t>j</m:t>
                    </m:r>
                    <m:r>
                      <m:rPr>
                        <m:sty m:val="p"/>
                      </m:rPr>
                      <m:t>=</m:t>
                    </m:r>
                    <m:r>
                      <m:t>1</m:t>
                    </m:r>
                  </m:sub>
                  <m:sup>
                    <m:r>
                      <m:t>J</m:t>
                    </m:r>
                  </m:sup>
                  <m:e>
                    <m:sSub>
                      <m:e>
                        <m:r>
                          <m:t>β</m:t>
                        </m:r>
                      </m:e>
                      <m:sub>
                        <m:r>
                          <m:t>2</m:t>
                        </m:r>
                        <m:r>
                          <m:t>j</m:t>
                        </m:r>
                      </m:sub>
                    </m:sSub>
                  </m:e>
                </m:nary>
                <m:sSub>
                  <m:e>
                    <m:r>
                      <m:t>X</m:t>
                    </m:r>
                  </m:e>
                  <m:sub>
                    <m:r>
                      <m:t>i</m:t>
                    </m:r>
                    <m:r>
                      <m:t>j</m:t>
                    </m:r>
                  </m:sub>
                </m:sSub>
                <m:r>
                  <m:rPr>
                    <m:sty m:val="p"/>
                  </m:rPr>
                  <m:t>,</m:t>
                </m:r>
              </m:e>
            </m:mr>
            <m:mr>
              <m:e>
                <m:sSub>
                  <m:e>
                    <m:r>
                      <m:t>g</m:t>
                    </m:r>
                  </m:e>
                  <m:sub>
                    <m:r>
                      <m:t>3</m:t>
                    </m:r>
                  </m:sub>
                </m:sSub>
                <m:d>
                  <m:dPr>
                    <m:begChr m:val="("/>
                    <m:endChr m:val=")"/>
                    <m:sepChr m:val=""/>
                    <m:grow/>
                  </m:dPr>
                  <m:e>
                    <m:r>
                      <m:t>ν</m:t>
                    </m:r>
                  </m:e>
                </m:d>
              </m:e>
              <m:e>
                <m:r>
                  <m:rPr>
                    <m:sty m:val="p"/>
                  </m:rPr>
                  <m:t>=</m:t>
                </m:r>
                <m:sSub>
                  <m:e>
                    <m:r>
                      <m:t>β</m:t>
                    </m:r>
                  </m:e>
                  <m:sub>
                    <m:r>
                      <m:t>30</m:t>
                    </m:r>
                  </m:sub>
                </m:sSub>
                <m:r>
                  <m:rPr>
                    <m:sty m:val="p"/>
                  </m:rPr>
                  <m:t>+</m:t>
                </m:r>
                <m:nary>
                  <m:naryPr>
                    <m:chr m:val="∑"/>
                    <m:limLoc m:val="undOvr"/>
                    <m:subHide m:val="off"/>
                    <m:supHide m:val="off"/>
                  </m:naryPr>
                  <m:sub>
                    <m:r>
                      <m:t>j</m:t>
                    </m:r>
                    <m:r>
                      <m:rPr>
                        <m:sty m:val="p"/>
                      </m:rPr>
                      <m:t>=</m:t>
                    </m:r>
                    <m:r>
                      <m:t>1</m:t>
                    </m:r>
                  </m:sub>
                  <m:sup>
                    <m:r>
                      <m:t>J</m:t>
                    </m:r>
                  </m:sup>
                  <m:e>
                    <m:sSub>
                      <m:e>
                        <m:r>
                          <m:t>β</m:t>
                        </m:r>
                      </m:e>
                      <m:sub>
                        <m:r>
                          <m:t>3</m:t>
                        </m:r>
                        <m:r>
                          <m:t>j</m:t>
                        </m:r>
                      </m:sub>
                    </m:sSub>
                  </m:e>
                </m:nary>
                <m:sSub>
                  <m:e>
                    <m:r>
                      <m:t>X</m:t>
                    </m:r>
                  </m:e>
                  <m:sub>
                    <m:r>
                      <m:t>i</m:t>
                    </m:r>
                    <m:r>
                      <m:t>j</m:t>
                    </m:r>
                  </m:sub>
                </m:sSub>
                <m:r>
                  <m:rPr>
                    <m:sty m:val="p"/>
                  </m:rPr>
                  <m:t>,</m:t>
                </m:r>
              </m:e>
            </m:mr>
          </m:m>
          <m:r>
            <m:t>  </m:t>
          </m:r>
          <m:d>
            <m:dPr>
              <m:begChr m:val="("/>
              <m:endChr m:val=")"/>
              <m:sepChr m:val=""/>
              <m:grow/>
            </m:dPr>
            <m:e>
              <m:r>
                <m:t>1</m:t>
              </m:r>
            </m:e>
          </m:d>
        </m:oMath>
      </m:oMathPara>
      <w:bookmarkEnd w:id="23"/>
    </w:p>
    <w:p>
      <w:pPr>
        <w:pStyle w:val="FirstParagraph"/>
      </w:pPr>
      <w:r>
        <w:t xml:space="preserve">where the response variable</w:t>
      </w:r>
      <w:r>
        <w:t xml:space="preserve"> </w:t>
      </w:r>
      <m:oMath>
        <m:sSub>
          <m:e>
            <m:r>
              <m:t>Y</m:t>
            </m:r>
          </m:e>
          <m:sub>
            <m:r>
              <m:t>i</m:t>
            </m:r>
          </m:sub>
        </m:sSub>
      </m:oMath>
      <w:r>
        <w:t xml:space="preserve"> </w:t>
      </w:r>
      <w:r>
        <w:t xml:space="preserve">(INC) is distributed as a two-parameter or three-parameter distribution</w:t>
      </w:r>
      <w:r>
        <w:t xml:space="preserve"> </w:t>
      </w:r>
      <m:oMath>
        <m:r>
          <m:rPr>
            <m:sty m:val="p"/>
            <m:scr m:val="script"/>
          </m:rPr>
          <m:t>D</m:t>
        </m:r>
      </m:oMath>
      <w:r>
        <w:t xml:space="preserve">: the location or mean (</w:t>
      </w:r>
      <m:oMath>
        <m:r>
          <m:t>μ</m:t>
        </m:r>
      </m:oMath>
      <w:r>
        <w:t xml:space="preserve">), the scale (</w:t>
      </w:r>
      <m:oMath>
        <m:r>
          <m:t>σ</m:t>
        </m:r>
      </m:oMath>
      <w:r>
        <w:t xml:space="preserve">), and a parameter related to the skewness of the distribution (</w:t>
      </w:r>
      <m:oMath>
        <m:r>
          <m:t>ν</m:t>
        </m:r>
      </m:oMath>
      <w:r>
        <w:t xml:space="preserve">), as well as the link functions (</w:t>
      </w:r>
      <m:oMath>
        <m:sSub>
          <m:e>
            <m:r>
              <m:t>g</m:t>
            </m:r>
          </m:e>
          <m:sub>
            <m:r>
              <m:t>k</m:t>
            </m:r>
          </m:sub>
        </m:sSub>
      </m:oMath>
      <w:r>
        <w:t xml:space="preserve"> </w:t>
      </w:r>
      <w:r>
        <w:t xml:space="preserve">for</w:t>
      </w:r>
      <w:r>
        <w:t xml:space="preserve"> </w:t>
      </w:r>
      <m:oMath>
        <m:r>
          <m:t>k</m:t>
        </m:r>
        <m:r>
          <m:rPr>
            <m:sty m:val="p"/>
          </m:rPr>
          <m:t>=</m:t>
        </m:r>
        <m:r>
          <m:t>1</m:t>
        </m:r>
        <m:r>
          <m:rPr>
            <m:sty m:val="p"/>
          </m:rPr>
          <m:t>,</m:t>
        </m:r>
        <m:r>
          <m:t>2</m:t>
        </m:r>
        <m:r>
          <m:rPr>
            <m:sty m:val="p"/>
          </m:rPr>
          <m:t>,</m:t>
        </m:r>
        <m:r>
          <m:t>3</m:t>
        </m:r>
      </m:oMath>
      <w:r>
        <w:t xml:space="preserve">) for each parameter, and</w:t>
      </w:r>
      <w:r>
        <w:t xml:space="preserve"> </w:t>
      </w:r>
      <m:oMath>
        <m:sSub>
          <m:e>
            <m:r>
              <m:t>β</m:t>
            </m:r>
          </m:e>
          <m:sub>
            <m:r>
              <m:t>k</m:t>
            </m:r>
            <m:r>
              <m:t>j</m:t>
            </m:r>
          </m:sub>
        </m:sSub>
      </m:oMath>
      <w:r>
        <w:t xml:space="preserve"> </w:t>
      </w:r>
      <w:r>
        <w:t xml:space="preserve">are the regression coefficients of the</w:t>
      </w:r>
      <w:r>
        <w:t xml:space="preserve"> </w:t>
      </w:r>
      <m:oMath>
        <m:r>
          <m:t>j</m:t>
        </m:r>
        <m:r>
          <m:rPr>
            <m:sty m:val="p"/>
          </m:rPr>
          <m:t>−</m:t>
        </m:r>
        <m:r>
          <m:t>t</m:t>
        </m:r>
        <m:r>
          <m:t>h</m:t>
        </m:r>
      </m:oMath>
      <w:r>
        <w:t xml:space="preserve"> </w:t>
      </w:r>
      <w:r>
        <w:t xml:space="preserve">covariate</w:t>
      </w:r>
      <w:r>
        <w:t xml:space="preserve"> </w:t>
      </w:r>
      <m:oMath>
        <m:sSub>
          <m:e>
            <m:r>
              <m:t>X</m:t>
            </m:r>
          </m:e>
          <m:sub>
            <m:r>
              <m:t>i</m:t>
            </m:r>
          </m:sub>
        </m:sSub>
        <m:r>
          <m:t>j</m:t>
        </m:r>
        <m:r>
          <m:rPr>
            <m:sty m:val="p"/>
          </m:rPr>
          <m:t>,</m:t>
        </m:r>
        <m:r>
          <m:t>j</m:t>
        </m:r>
        <m:r>
          <m:rPr>
            <m:sty m:val="p"/>
          </m:rPr>
          <m:t>=</m:t>
        </m:r>
        <m:r>
          <m:t>0</m:t>
        </m:r>
        <m:r>
          <m:rPr>
            <m:sty m:val="p"/>
          </m:rPr>
          <m:t>,</m:t>
        </m:r>
        <m:r>
          <m:rPr>
            <m:sty m:val="p"/>
          </m:rPr>
          <m:t>.</m:t>
        </m:r>
        <m:r>
          <m:rPr>
            <m:sty m:val="p"/>
          </m:rPr>
          <m:t>.</m:t>
        </m:r>
        <m:r>
          <m:rPr>
            <m:sty m:val="p"/>
          </m:rPr>
          <m:t>.</m:t>
        </m:r>
        <m:r>
          <m:rPr>
            <m:sty m:val="p"/>
          </m:rPr>
          <m:t>,</m:t>
        </m:r>
        <m:r>
          <m:t>J</m:t>
        </m:r>
      </m:oMath>
      <w:r>
        <w:t xml:space="preserve">, measured at location</w:t>
      </w:r>
      <w:r>
        <w:t xml:space="preserve"> </w:t>
      </w:r>
      <m:oMath>
        <m:r>
          <m:t>i</m:t>
        </m:r>
      </m:oMath>
      <w:r>
        <w:t xml:space="preserve">, for each parameter function</w:t>
      </w:r>
      <w:r>
        <w:t xml:space="preserve"> </w:t>
      </w:r>
      <m:oMath>
        <m:r>
          <m:t>k</m:t>
        </m:r>
        <m:r>
          <m:rPr>
            <m:sty m:val="p"/>
          </m:rPr>
          <m:t>=</m:t>
        </m:r>
        <m:r>
          <m:t>1</m:t>
        </m:r>
        <m:r>
          <m:rPr>
            <m:sty m:val="p"/>
          </m:rPr>
          <m:t>,</m:t>
        </m:r>
        <m:r>
          <m:t>2</m:t>
        </m:r>
        <m:r>
          <m:rPr>
            <m:sty m:val="p"/>
          </m:rPr>
          <m:t>,</m:t>
        </m:r>
        <m:r>
          <m:t>3</m:t>
        </m:r>
      </m:oMath>
      <w:r>
        <w:t xml:space="preserve">.</w:t>
      </w:r>
    </w:p>
    <w:p>
      <w:pPr>
        <w:pStyle w:val="BodyText"/>
      </w:pPr>
      <w:r>
        <w:t xml:space="preserve">Where the response variable</w:t>
      </w:r>
      <w:r>
        <w:t xml:space="preserve"> </w:t>
      </w:r>
      <m:oMath>
        <m:sSub>
          <m:e>
            <m:r>
              <m:t>Y</m:t>
            </m:r>
          </m:e>
          <m:sub>
            <m:r>
              <m:t>i</m:t>
            </m:r>
          </m:sub>
        </m:sSub>
      </m:oMath>
      <w:r>
        <w:t xml:space="preserve"> </w:t>
      </w:r>
      <w:r>
        <w:t xml:space="preserve">(INC) is distributed as a two-parameter or three-parameter distribution</w:t>
      </w:r>
      <w:r>
        <w:t xml:space="preserve"> </w:t>
      </w:r>
      <m:oMath>
        <m:r>
          <m:rPr>
            <m:sty m:val="p"/>
            <m:scr m:val="script"/>
          </m:rPr>
          <m:t>D</m:t>
        </m:r>
      </m:oMath>
      <w:r>
        <w:t xml:space="preserve">: the location or mean (</w:t>
      </w:r>
      <m:oMath>
        <m:r>
          <m:t>μ</m:t>
        </m:r>
      </m:oMath>
      <w:r>
        <w:t xml:space="preserve">), the scale (</w:t>
      </w:r>
      <m:oMath>
        <m:r>
          <m:t>σ</m:t>
        </m:r>
      </m:oMath>
      <w:r>
        <w:t xml:space="preserve">), and a parameter related to the skewness of the distribution (</w:t>
      </w:r>
      <m:oMath>
        <m:r>
          <m:t>ν</m:t>
        </m:r>
      </m:oMath>
      <w:r>
        <w:t xml:space="preserve">), as well as the link functions (</w:t>
      </w:r>
      <m:oMath>
        <m:sSub>
          <m:e>
            <m:r>
              <m:t>g</m:t>
            </m:r>
          </m:e>
          <m:sub>
            <m:r>
              <m:t>k</m:t>
            </m:r>
          </m:sub>
        </m:sSub>
      </m:oMath>
      <w:r>
        <w:t xml:space="preserve"> </w:t>
      </w:r>
      <w:r>
        <w:t xml:space="preserve">for</w:t>
      </w:r>
      <w:r>
        <w:t xml:space="preserve"> </w:t>
      </w:r>
      <m:oMath>
        <m:r>
          <m:t>k</m:t>
        </m:r>
        <m:r>
          <m:rPr>
            <m:sty m:val="p"/>
          </m:rPr>
          <m:t>=</m:t>
        </m:r>
        <m:r>
          <m:t>1</m:t>
        </m:r>
        <m:r>
          <m:rPr>
            <m:sty m:val="p"/>
          </m:rPr>
          <m:t>,</m:t>
        </m:r>
        <m:r>
          <m:t>2</m:t>
        </m:r>
        <m:r>
          <m:rPr>
            <m:sty m:val="p"/>
          </m:rPr>
          <m:t>,</m:t>
        </m:r>
        <m:r>
          <m:t>3</m:t>
        </m:r>
      </m:oMath>
      <w:r>
        <w:t xml:space="preserve">) for each parameter, and</w:t>
      </w:r>
      <w:r>
        <w:t xml:space="preserve"> </w:t>
      </w:r>
      <m:oMath>
        <m:sSub>
          <m:e>
            <m:r>
              <m:t>β</m:t>
            </m:r>
          </m:e>
          <m:sub>
            <m:r>
              <m:t>k</m:t>
            </m:r>
            <m:r>
              <m:t>j</m:t>
            </m:r>
          </m:sub>
        </m:sSub>
      </m:oMath>
      <w:r>
        <w:t xml:space="preserve"> </w:t>
      </w:r>
      <w:r>
        <w:t xml:space="preserve">are the regression coefficients of the</w:t>
      </w:r>
      <w:r>
        <w:t xml:space="preserve"> </w:t>
      </w:r>
      <m:oMath>
        <m:r>
          <m:t>j</m:t>
        </m:r>
      </m:oMath>
      <w:r>
        <w:t xml:space="preserve">-th covariate</w:t>
      </w:r>
      <w:r>
        <w:t xml:space="preserve"> </w:t>
      </w:r>
      <m:oMath>
        <m:sSub>
          <m:e>
            <m:r>
              <m:t>X</m:t>
            </m:r>
          </m:e>
          <m:sub>
            <m:r>
              <m:t>i</m:t>
            </m:r>
          </m:sub>
        </m:sSub>
        <m:r>
          <m:t>j</m:t>
        </m:r>
        <m:r>
          <m:rPr>
            <m:sty m:val="p"/>
          </m:rPr>
          <m:t>,</m:t>
        </m:r>
        <m:r>
          <m:t>j</m:t>
        </m:r>
        <m:r>
          <m:rPr>
            <m:sty m:val="p"/>
          </m:rPr>
          <m:t>=</m:t>
        </m:r>
        <m:r>
          <m:t>0</m:t>
        </m:r>
        <m:r>
          <m:rPr>
            <m:sty m:val="p"/>
          </m:rPr>
          <m:t>,</m:t>
        </m:r>
        <m:r>
          <m:rPr>
            <m:sty m:val="p"/>
          </m:rPr>
          <m:t>.</m:t>
        </m:r>
        <m:r>
          <m:rPr>
            <m:sty m:val="p"/>
          </m:rPr>
          <m:t>.</m:t>
        </m:r>
        <m:r>
          <m:rPr>
            <m:sty m:val="p"/>
          </m:rPr>
          <m:t>.</m:t>
        </m:r>
        <m:r>
          <m:rPr>
            <m:sty m:val="p"/>
          </m:rPr>
          <m:t>,</m:t>
        </m:r>
        <m:r>
          <m:t>J</m:t>
        </m:r>
      </m:oMath>
      <w:r>
        <w:t xml:space="preserve">, measured at location</w:t>
      </w:r>
      <w:r>
        <w:t xml:space="preserve"> </w:t>
      </w:r>
      <m:oMath>
        <m:r>
          <m:t>i</m:t>
        </m:r>
      </m:oMath>
      <w:r>
        <w:t xml:space="preserve">, for each parameter function</w:t>
      </w:r>
      <w:r>
        <w:t xml:space="preserve"> </w:t>
      </w:r>
      <m:oMath>
        <m:r>
          <m:t>k</m:t>
        </m:r>
        <m:r>
          <m:rPr>
            <m:sty m:val="p"/>
          </m:rPr>
          <m:t>=</m:t>
        </m:r>
        <m:r>
          <m:t>1</m:t>
        </m:r>
        <m:r>
          <m:rPr>
            <m:sty m:val="p"/>
          </m:rPr>
          <m:t>,</m:t>
        </m:r>
        <m:r>
          <m:t>2</m:t>
        </m:r>
        <m:r>
          <m:rPr>
            <m:sty m:val="p"/>
          </m:rPr>
          <m:t>,</m:t>
        </m:r>
        <m:r>
          <m:t>3</m:t>
        </m:r>
      </m:oMath>
      <w:r>
        <w:t xml:space="preserve">.</w:t>
      </w:r>
    </w:p>
    <w:p>
      <w:pPr>
        <w:pStyle w:val="BodyText"/>
      </w:pPr>
      <w:r>
        <w:t xml:space="preserve">Regarding to the specification of</w:t>
      </w:r>
      <w:r>
        <w:t xml:space="preserve"> </w:t>
      </w:r>
      <m:oMath>
        <m:r>
          <m:rPr>
            <m:sty m:val="p"/>
            <m:scr m:val="script"/>
          </m:rPr>
          <m:t>D</m:t>
        </m:r>
      </m:oMath>
      <w:r>
        <w:t xml:space="preserve">, the Poisson regression model (PO) includes only one parameter</w:t>
      </w:r>
      <w:r>
        <w:t xml:space="preserve"> </w:t>
      </w:r>
      <m:oMath>
        <m:r>
          <m:t>μ</m:t>
        </m:r>
      </m:oMath>
      <w:r>
        <w:t xml:space="preserve"> </w:t>
      </w:r>
      <w:r>
        <w:t xml:space="preserve">with link function</w:t>
      </w:r>
      <w:r>
        <w:t xml:space="preserve"> </w:t>
      </w:r>
      <m:oMath>
        <m:sSub>
          <m:e>
            <m:r>
              <m:t>g</m:t>
            </m:r>
          </m:e>
          <m:sub>
            <m:r>
              <m:t>1</m:t>
            </m:r>
          </m:sub>
        </m:sSub>
        <m:d>
          <m:dPr>
            <m:begChr m:val="("/>
            <m:endChr m:val=")"/>
            <m:sepChr m:val=""/>
            <m:grow/>
          </m:dPr>
          <m:e>
            <m:r>
              <m:rPr>
                <m:sty m:val="p"/>
              </m:rPr>
              <m:t>⋅</m:t>
            </m:r>
          </m:e>
        </m:d>
        <m:r>
          <m:rPr>
            <m:sty m:val="p"/>
          </m:rPr>
          <m:t>=</m:t>
        </m:r>
        <m:r>
          <m:t>l</m:t>
        </m:r>
        <m:r>
          <m:t>o</m:t>
        </m:r>
        <m:r>
          <m:t>g</m:t>
        </m:r>
        <m:d>
          <m:dPr>
            <m:begChr m:val="("/>
            <m:endChr m:val=")"/>
            <m:sepChr m:val=""/>
            <m:grow/>
          </m:dPr>
          <m:e>
            <m:r>
              <m:rPr>
                <m:sty m:val="p"/>
              </m:rPr>
              <m:t>⋅</m:t>
            </m:r>
          </m:e>
        </m:d>
      </m:oMath>
      <w:r>
        <w:t xml:space="preserve">. Then, Negative Binomial model (NB) fits two parameters</w:t>
      </w:r>
      <w:r>
        <w:t xml:space="preserve"> </w:t>
      </w:r>
      <m:oMath>
        <m:r>
          <m:t>μ</m:t>
        </m:r>
      </m:oMath>
      <w:r>
        <w:t xml:space="preserve"> </w:t>
      </w:r>
      <w:r>
        <w:t xml:space="preserve">and</w:t>
      </w:r>
      <w:r>
        <w:t xml:space="preserve"> </w:t>
      </w:r>
      <m:oMath>
        <m:r>
          <m:t>σ</m:t>
        </m:r>
      </m:oMath>
      <w:r>
        <w:t xml:space="preserve">, with link functions</w:t>
      </w:r>
      <w:r>
        <w:t xml:space="preserve"> </w:t>
      </w:r>
      <m:oMath>
        <m:sSub>
          <m:e>
            <m:r>
              <m:t>g</m:t>
            </m:r>
          </m:e>
          <m:sub>
            <m:r>
              <m:t>1</m:t>
            </m:r>
          </m:sub>
        </m:sSub>
        <m:d>
          <m:dPr>
            <m:begChr m:val="("/>
            <m:endChr m:val=")"/>
            <m:sepChr m:val=""/>
            <m:grow/>
          </m:dPr>
          <m:e>
            <m:r>
              <m:rPr>
                <m:sty m:val="p"/>
              </m:rPr>
              <m:t>⋅</m:t>
            </m:r>
          </m:e>
        </m:d>
        <m:r>
          <m:rPr>
            <m:sty m:val="p"/>
          </m:rPr>
          <m:t>=</m:t>
        </m:r>
        <m:r>
          <m:t>l</m:t>
        </m:r>
        <m:r>
          <m:t>o</m:t>
        </m:r>
        <m:r>
          <m:t>g</m:t>
        </m:r>
        <m:d>
          <m:dPr>
            <m:begChr m:val="("/>
            <m:endChr m:val=")"/>
            <m:sepChr m:val=""/>
            <m:grow/>
          </m:dPr>
          <m:e>
            <m:r>
              <m:rPr>
                <m:sty m:val="p"/>
              </m:rPr>
              <m:t>⋅</m:t>
            </m:r>
          </m:e>
        </m:d>
      </m:oMath>
      <w:r>
        <w:t xml:space="preserve"> </w:t>
      </w:r>
      <w:r>
        <w:t xml:space="preserve">and</w:t>
      </w:r>
      <w:r>
        <w:t xml:space="preserve"> </w:t>
      </w:r>
      <m:oMath>
        <m:sSub>
          <m:e>
            <m:r>
              <m:t>g</m:t>
            </m:r>
          </m:e>
          <m:sub>
            <m:r>
              <m:t>2</m:t>
            </m:r>
          </m:sub>
        </m:sSub>
        <m:d>
          <m:dPr>
            <m:begChr m:val="("/>
            <m:endChr m:val=")"/>
            <m:sepChr m:val=""/>
            <m:grow/>
          </m:dPr>
          <m:e>
            <m:r>
              <m:rPr>
                <m:sty m:val="p"/>
              </m:rPr>
              <m:t>⋅</m:t>
            </m:r>
          </m:e>
        </m:d>
        <m:r>
          <m:rPr>
            <m:sty m:val="p"/>
          </m:rPr>
          <m:t>=</m:t>
        </m:r>
        <m:r>
          <m:t>l</m:t>
        </m:r>
        <m:r>
          <m:t>o</m:t>
        </m:r>
        <m:r>
          <m:t>g</m:t>
        </m:r>
        <m:d>
          <m:dPr>
            <m:begChr m:val="("/>
            <m:endChr m:val=")"/>
            <m:sepChr m:val=""/>
            <m:grow/>
          </m:dPr>
          <m:e>
            <m:r>
              <m:rPr>
                <m:sty m:val="p"/>
              </m:rPr>
              <m:t>⋅</m:t>
            </m:r>
          </m:e>
        </m:d>
      </m:oMath>
      <w:r>
        <w:t xml:space="preserve">.</w:t>
      </w:r>
    </w:p>
    <w:p>
      <w:pPr>
        <w:pStyle w:val="BodyText"/>
      </w:pPr>
      <w:r>
        <w:t xml:space="preserve">For the zero-inflated models, a finite mixture distribution of a point mass at zero and a count distribution</w:t>
      </w:r>
      <w:r>
        <w:t xml:space="preserve"> </w:t>
      </w:r>
      <m:oMath>
        <m:sSub>
          <m:e>
            <m:r>
              <m:t>f</m:t>
            </m:r>
          </m:e>
          <m:sub>
            <m:r>
              <m:t>Z</m:t>
            </m:r>
          </m:sub>
        </m:sSub>
        <m:d>
          <m:dPr>
            <m:begChr m:val="("/>
            <m:endChr m:val=")"/>
            <m:sepChr m:val=""/>
            <m:grow/>
          </m:dPr>
          <m:e>
            <m:r>
              <m:rPr>
                <m:sty m:val="p"/>
              </m:rPr>
              <m:t>⋅</m:t>
            </m:r>
          </m:e>
        </m:d>
      </m:oMath>
      <w:r>
        <w:t xml:space="preserve"> </w:t>
      </w:r>
      <w:r>
        <w:t xml:space="preserve">is specified as follows:</w:t>
      </w:r>
    </w:p>
    <w:p>
      <w:pPr>
        <w:pStyle w:val="BodyText"/>
      </w:pPr>
      <m:oMathPara>
        <m:oMathParaPr>
          <m:jc m:val="center"/>
        </m:oMathParaPr>
        <m:oMath>
          <m:sSub>
            <m:e>
              <m:r>
                <m:t>f</m:t>
              </m:r>
            </m:e>
            <m:sub>
              <m:r>
                <m:t>Y</m:t>
              </m:r>
            </m:sub>
          </m:sSub>
          <m:d>
            <m:dPr>
              <m:begChr m:val="("/>
              <m:endChr m:val=")"/>
              <m:sepChr m:val=""/>
              <m:grow/>
            </m:dPr>
            <m:e>
              <m:r>
                <m:t>y</m:t>
              </m:r>
            </m:e>
          </m:d>
          <m:r>
            <m:rPr>
              <m:sty m:val="p"/>
            </m:rPr>
            <m:t>=</m:t>
          </m:r>
          <m:d>
            <m:dPr>
              <m:begChr m:val="{"/>
              <m:endChr m:val=""/>
              <m:sepChr m:val=""/>
              <m:grow/>
            </m:dPr>
            <m:e>
              <m:m>
                <m:mPr>
                  <m:baseJc m:val="center"/>
                  <m:plcHide m:val="on"/>
                  <m:mcs>
                    <m:mc>
                      <m:mcPr>
                        <m:mcJc m:val="left"/>
                        <m:count m:val="1"/>
                      </m:mcPr>
                    </m:mc>
                  </m:mcs>
                </m:mPr>
                <m:mr>
                  <m:e>
                    <m:sSub>
                      <m:e>
                        <m:r>
                          <m:t>p</m:t>
                        </m:r>
                      </m:e>
                      <m:sub>
                        <m:r>
                          <m:t>0</m:t>
                        </m:r>
                      </m:sub>
                    </m:sSub>
                    <m:d>
                      <m:dPr>
                        <m:begChr m:val="("/>
                        <m:endChr m:val=")"/>
                        <m:sepChr m:val=""/>
                        <m:grow/>
                      </m:dPr>
                      <m:e>
                        <m:r>
                          <m:t>y</m:t>
                        </m:r>
                      </m:e>
                    </m:d>
                    <m:r>
                      <m:t> </m:t>
                    </m:r>
                    <m:r>
                      <m:t> </m:t>
                    </m:r>
                    <m:r>
                      <m:t> </m:t>
                    </m:r>
                    <m:r>
                      <m:t> </m:t>
                    </m:r>
                    <m:r>
                      <m:t> </m:t>
                    </m:r>
                    <m:r>
                      <m:t> </m:t>
                    </m:r>
                    <m:r>
                      <m:t> </m:t>
                    </m:r>
                    <m:r>
                      <m:t> </m:t>
                    </m:r>
                    <m:r>
                      <m:t> </m:t>
                    </m:r>
                    <m:r>
                      <m:t> </m:t>
                    </m:r>
                    <m:r>
                      <m:t> </m:t>
                    </m:r>
                    <m:r>
                      <m:t> </m:t>
                    </m:r>
                    <m:r>
                      <m:t> </m:t>
                    </m:r>
                    <m:r>
                      <m:t> </m:t>
                    </m:r>
                    <m:r>
                      <m:t> </m:t>
                    </m:r>
                    <m:r>
                      <m:t> </m:t>
                    </m:r>
                    <m:r>
                      <m:t> </m:t>
                    </m:r>
                    <m:r>
                      <m:t> </m:t>
                    </m:r>
                    <m:r>
                      <m:rPr>
                        <m:nor/>
                        <m:sty m:val="p"/>
                      </m:rPr>
                      <m:t>if</m:t>
                    </m:r>
                    <m:r>
                      <m:t> </m:t>
                    </m:r>
                    <m:r>
                      <m:t>y</m:t>
                    </m:r>
                    <m:r>
                      <m:rPr>
                        <m:sty m:val="p"/>
                      </m:rPr>
                      <m:t>=</m:t>
                    </m:r>
                    <m:r>
                      <m:t>0</m:t>
                    </m:r>
                    <m:r>
                      <m:rPr>
                        <m:sty m:val="p"/>
                      </m:rPr>
                      <m:t>,</m:t>
                    </m:r>
                  </m:e>
                </m:mr>
                <m:mr>
                  <m:e>
                    <m:d>
                      <m:dPr>
                        <m:begChr m:val="["/>
                        <m:endChr m:val="]"/>
                        <m:sepChr m:val=""/>
                        <m:grow/>
                      </m:dPr>
                      <m:e>
                        <m:r>
                          <m:t>1</m:t>
                        </m:r>
                        <m:r>
                          <m:rPr>
                            <m:sty m:val="p"/>
                          </m:rPr>
                          <m:t>−</m:t>
                        </m:r>
                        <m:sSub>
                          <m:e>
                            <m:r>
                              <m:t>p</m:t>
                            </m:r>
                          </m:e>
                          <m:sub>
                            <m:r>
                              <m:t>0</m:t>
                            </m:r>
                          </m:sub>
                        </m:sSub>
                        <m:d>
                          <m:dPr>
                            <m:begChr m:val="("/>
                            <m:endChr m:val=")"/>
                            <m:sepChr m:val=""/>
                            <m:grow/>
                          </m:dPr>
                          <m:e>
                            <m:r>
                              <m:t>y</m:t>
                            </m:r>
                          </m:e>
                        </m:d>
                      </m:e>
                    </m:d>
                    <m:sSub>
                      <m:e>
                        <m:r>
                          <m:t>f</m:t>
                        </m:r>
                      </m:e>
                      <m:sub>
                        <m:r>
                          <m:t>Z</m:t>
                        </m:r>
                      </m:sub>
                    </m:sSub>
                    <m:d>
                      <m:dPr>
                        <m:begChr m:val="("/>
                        <m:endChr m:val=")"/>
                        <m:sepChr m:val=""/>
                        <m:grow/>
                      </m:dPr>
                      <m:e>
                        <m:r>
                          <m:t>y</m:t>
                        </m:r>
                      </m:e>
                    </m:d>
                    <m:r>
                      <m:t> </m:t>
                    </m:r>
                    <m:r>
                      <m:t> </m:t>
                    </m:r>
                    <m:r>
                      <m:t> </m:t>
                    </m:r>
                    <m:r>
                      <m:rPr>
                        <m:nor/>
                        <m:sty m:val="p"/>
                      </m:rPr>
                      <m:t>,if</m:t>
                    </m:r>
                    <m:r>
                      <m:t> </m:t>
                    </m:r>
                    <m:r>
                      <m:t>y</m:t>
                    </m:r>
                    <m:r>
                      <m:rPr>
                        <m:sty m:val="p"/>
                      </m:rPr>
                      <m:t>=</m:t>
                    </m:r>
                    <m:r>
                      <m:t>1</m:t>
                    </m:r>
                    <m:r>
                      <m:rPr>
                        <m:sty m:val="p"/>
                      </m:rPr>
                      <m:t>,</m:t>
                    </m:r>
                    <m:r>
                      <m:t>2</m:t>
                    </m:r>
                    <m:r>
                      <m:rPr>
                        <m:sty m:val="p"/>
                      </m:rPr>
                      <m:t>,</m:t>
                    </m:r>
                    <m:r>
                      <m:t>3</m:t>
                    </m:r>
                    <m:r>
                      <m:rPr>
                        <m:sty m:val="p"/>
                      </m:rPr>
                      <m:t>,</m:t>
                    </m:r>
                    <m:r>
                      <m:rPr>
                        <m:sty m:val="p"/>
                      </m:rPr>
                      <m:t>.</m:t>
                    </m:r>
                    <m:r>
                      <m:rPr>
                        <m:sty m:val="p"/>
                      </m:rPr>
                      <m:t>.</m:t>
                    </m:r>
                    <m:r>
                      <m:rPr>
                        <m:sty m:val="p"/>
                      </m:rPr>
                      <m:t>.</m:t>
                    </m:r>
                    <m:r>
                      <m:rPr>
                        <m:sty m:val="p"/>
                      </m:rPr>
                      <m:t>,</m:t>
                    </m:r>
                  </m:e>
                </m:mr>
              </m:m>
            </m:e>
          </m:d>
        </m:oMath>
      </m:oMathPara>
    </w:p>
    <w:p>
      <w:pPr>
        <w:pStyle w:val="FirstParagraph"/>
      </w:pPr>
      <w:r>
        <w:t xml:space="preserve">where</w:t>
      </w:r>
      <w:r>
        <w:t xml:space="preserve"> </w:t>
      </w:r>
      <m:oMath>
        <m:sSub>
          <m:e>
            <m:r>
              <m:t>p</m:t>
            </m:r>
          </m:e>
          <m:sub>
            <m:r>
              <m:t>0</m:t>
            </m:r>
          </m:sub>
        </m:sSub>
        <m:d>
          <m:dPr>
            <m:begChr m:val="("/>
            <m:endChr m:val=")"/>
            <m:sepChr m:val=""/>
            <m:grow/>
          </m:dPr>
          <m:e>
            <m:r>
              <m:t>y</m:t>
            </m:r>
          </m:e>
        </m:d>
      </m:oMath>
      <w:r>
        <w:t xml:space="preserve"> </w:t>
      </w:r>
      <w:r>
        <w:t xml:space="preserve">represents the probability of observing</w:t>
      </w:r>
      <w:r>
        <w:t xml:space="preserve"> </w:t>
      </w:r>
      <m:oMath>
        <m:r>
          <m:t>Y</m:t>
        </m:r>
        <m:r>
          <m:rPr>
            <m:sty m:val="p"/>
          </m:rPr>
          <m:t>=</m:t>
        </m:r>
        <m:r>
          <m:t>0</m:t>
        </m:r>
      </m:oMath>
      <w:r>
        <w:t xml:space="preserve">, and</w:t>
      </w:r>
      <w:r>
        <w:t xml:space="preserve"> </w:t>
      </w:r>
      <m:oMath>
        <m:sSub>
          <m:e>
            <m:r>
              <m:t>f</m:t>
            </m:r>
          </m:e>
          <m:sub>
            <m:r>
              <m:t>Z</m:t>
            </m:r>
          </m:sub>
        </m:sSub>
        <m:d>
          <m:dPr>
            <m:begChr m:val="("/>
            <m:endChr m:val=")"/>
            <m:sepChr m:val=""/>
            <m:grow/>
          </m:dPr>
          <m:e>
            <m:r>
              <m:t>y</m:t>
            </m:r>
          </m:e>
        </m:d>
      </m:oMath>
      <w:r>
        <w:t xml:space="preserve"> </w:t>
      </w:r>
      <w:r>
        <w:t xml:space="preserve">is the probability function of a count distribution (either Poisson or Negative Binomial). In this way, zero-inflated models add an additional parameter to the GAMLSS framework.”</w:t>
      </w:r>
    </w:p>
    <w:p>
      <w:pPr>
        <w:pStyle w:val="BodyText"/>
      </w:pPr>
      <w:r>
        <w:t xml:space="preserve">That is, the Poisson Zero-Inflated model (ZIP) includes two parameters, with</w:t>
      </w:r>
      <w:r>
        <w:t xml:space="preserve"> </w:t>
      </w:r>
      <m:oMath>
        <m:sSub>
          <m:e>
            <m:r>
              <m:t>g</m:t>
            </m:r>
          </m:e>
          <m:sub>
            <m:r>
              <m:t>1</m:t>
            </m:r>
          </m:sub>
        </m:sSub>
        <m:d>
          <m:dPr>
            <m:begChr m:val="("/>
            <m:endChr m:val=")"/>
            <m:sepChr m:val=""/>
            <m:grow/>
          </m:dPr>
          <m:e>
            <m:r>
              <m:rPr>
                <m:sty m:val="p"/>
              </m:rPr>
              <m:t>⋅</m:t>
            </m:r>
          </m:e>
        </m:d>
        <m:r>
          <m:rPr>
            <m:sty m:val="p"/>
          </m:rPr>
          <m:t>=</m:t>
        </m:r>
        <m:r>
          <m:rPr>
            <m:sty m:val="p"/>
          </m:rPr>
          <m:t>log</m:t>
        </m:r>
        <m:d>
          <m:dPr>
            <m:begChr m:val="("/>
            <m:endChr m:val=")"/>
            <m:sepChr m:val=""/>
            <m:grow/>
          </m:dPr>
          <m:e>
            <m:r>
              <m:rPr>
                <m:sty m:val="p"/>
              </m:rPr>
              <m:t>⋅</m:t>
            </m:r>
          </m:e>
        </m:d>
      </m:oMath>
      <w:r>
        <w:t xml:space="preserve"> </w:t>
      </w:r>
      <w:r>
        <w:t xml:space="preserve">and</w:t>
      </w:r>
      <w:r>
        <w:t xml:space="preserve"> </w:t>
      </w:r>
      <m:oMath>
        <m:sSub>
          <m:e>
            <m:r>
              <m:t>g</m:t>
            </m:r>
          </m:e>
          <m:sub>
            <m:r>
              <m:t>2</m:t>
            </m:r>
          </m:sub>
        </m:sSub>
        <m:d>
          <m:dPr>
            <m:begChr m:val="("/>
            <m:endChr m:val=")"/>
            <m:sepChr m:val=""/>
            <m:grow/>
          </m:dPr>
          <m:e>
            <m:r>
              <m:rPr>
                <m:sty m:val="p"/>
              </m:rPr>
              <m:t>⋅</m:t>
            </m:r>
          </m:e>
        </m:d>
        <m:r>
          <m:rPr>
            <m:sty m:val="p"/>
          </m:rPr>
          <m:t>=</m:t>
        </m:r>
        <m:r>
          <m:rPr>
            <m:nor/>
            <m:sty m:val="p"/>
          </m:rPr>
          <m:t>logit</m:t>
        </m:r>
        <m:d>
          <m:dPr>
            <m:begChr m:val="("/>
            <m:endChr m:val=")"/>
            <m:sepChr m:val=""/>
            <m:grow/>
          </m:dPr>
          <m:e>
            <m:r>
              <m:rPr>
                <m:sty m:val="p"/>
              </m:rPr>
              <m:t>⋅</m:t>
            </m:r>
          </m:e>
        </m:d>
      </m:oMath>
      <w:r>
        <w:t xml:space="preserve">. Finally, the Zero-Inflated Negative Binomial model (ZINB) fits three parameters, with</w:t>
      </w:r>
      <w:r>
        <w:t xml:space="preserve"> </w:t>
      </w:r>
      <m:oMath>
        <m:sSub>
          <m:e>
            <m:r>
              <m:t>g</m:t>
            </m:r>
          </m:e>
          <m:sub>
            <m:r>
              <m:t>1</m:t>
            </m:r>
          </m:sub>
        </m:sSub>
        <m:d>
          <m:dPr>
            <m:begChr m:val="("/>
            <m:endChr m:val=")"/>
            <m:sepChr m:val=""/>
            <m:grow/>
          </m:dPr>
          <m:e>
            <m:r>
              <m:rPr>
                <m:sty m:val="p"/>
              </m:rPr>
              <m:t>⋅</m:t>
            </m:r>
          </m:e>
        </m:d>
        <m:r>
          <m:rPr>
            <m:sty m:val="p"/>
          </m:rPr>
          <m:t>=</m:t>
        </m:r>
        <m:r>
          <m:rPr>
            <m:sty m:val="p"/>
          </m:rPr>
          <m:t>log</m:t>
        </m:r>
        <m:d>
          <m:dPr>
            <m:begChr m:val="("/>
            <m:endChr m:val=")"/>
            <m:sepChr m:val=""/>
            <m:grow/>
          </m:dPr>
          <m:e>
            <m:r>
              <m:rPr>
                <m:sty m:val="p"/>
              </m:rPr>
              <m:t>⋅</m:t>
            </m:r>
          </m:e>
        </m:d>
      </m:oMath>
      <w:r>
        <w:t xml:space="preserve">,</w:t>
      </w:r>
      <w:r>
        <w:t xml:space="preserve"> </w:t>
      </w:r>
      <m:oMath>
        <m:sSub>
          <m:e>
            <m:r>
              <m:t>g</m:t>
            </m:r>
          </m:e>
          <m:sub>
            <m:r>
              <m:t>2</m:t>
            </m:r>
          </m:sub>
        </m:sSub>
        <m:d>
          <m:dPr>
            <m:begChr m:val="("/>
            <m:endChr m:val=")"/>
            <m:sepChr m:val=""/>
            <m:grow/>
          </m:dPr>
          <m:e>
            <m:r>
              <m:rPr>
                <m:sty m:val="p"/>
              </m:rPr>
              <m:t>⋅</m:t>
            </m:r>
          </m:e>
        </m:d>
        <m:r>
          <m:rPr>
            <m:sty m:val="p"/>
          </m:rPr>
          <m:t>=</m:t>
        </m:r>
        <m:r>
          <m:rPr>
            <m:nor/>
            <m:sty m:val="p"/>
          </m:rPr>
          <m:t>logit</m:t>
        </m:r>
        <m:d>
          <m:dPr>
            <m:begChr m:val="("/>
            <m:endChr m:val=")"/>
            <m:sepChr m:val=""/>
            <m:grow/>
          </m:dPr>
          <m:e>
            <m:r>
              <m:rPr>
                <m:sty m:val="p"/>
              </m:rPr>
              <m:t>⋅</m:t>
            </m:r>
          </m:e>
        </m:d>
      </m:oMath>
      <w:r>
        <w:t xml:space="preserve">, and</w:t>
      </w:r>
      <w:r>
        <w:t xml:space="preserve"> </w:t>
      </w:r>
      <m:oMath>
        <m:sSub>
          <m:e>
            <m:r>
              <m:t>g</m:t>
            </m:r>
          </m:e>
          <m:sub>
            <m:r>
              <m:t>3</m:t>
            </m:r>
          </m:sub>
        </m:sSub>
        <m:d>
          <m:dPr>
            <m:begChr m:val="("/>
            <m:endChr m:val=")"/>
            <m:sepChr m:val=""/>
            <m:grow/>
          </m:dPr>
          <m:e>
            <m:r>
              <m:rPr>
                <m:sty m:val="p"/>
              </m:rPr>
              <m:t>⋅</m:t>
            </m:r>
          </m:e>
        </m:d>
        <m:r>
          <m:rPr>
            <m:sty m:val="p"/>
          </m:rPr>
          <m:t>=</m:t>
        </m:r>
        <m:r>
          <m:rPr>
            <m:nor/>
            <m:sty m:val="p"/>
          </m:rPr>
          <m:t>logit</m:t>
        </m:r>
        <m:d>
          <m:dPr>
            <m:begChr m:val="("/>
            <m:endChr m:val=")"/>
            <m:sepChr m:val=""/>
            <m:grow/>
          </m:dPr>
          <m:e>
            <m:r>
              <m:rPr>
                <m:sty m:val="p"/>
              </m:rPr>
              <m:t>⋅</m:t>
            </m:r>
          </m:e>
        </m:d>
      </m:oMath>
      <w:r>
        <w:t xml:space="preserve">. Note that the second parameter of ZIP and the third parameter of ZINB model the probability that a given location has zero wildfires, similar to a logistic regression.</w:t>
      </w:r>
    </w:p>
    <w:p>
      <w:pPr>
        <w:pStyle w:val="BodyText"/>
      </w:pPr>
      <w:r>
        <w:t xml:space="preserve">Additionally, due to the large number of data points (60,484 locations), we conducted the analysis using a training-testing approach</w:t>
      </w:r>
      <w:r>
        <w:t xml:space="preserve"> </w:t>
      </w:r>
      <w:r>
        <w:t xml:space="preserve">(R. A. Rigby and D. M. Stasinopoulos 2005)</w:t>
      </w:r>
      <w:r>
        <w:t xml:space="preserve">. In other words, we divided the data into two subsets: a training set comprising 70% (42,213 locations), used for model development and selection, and a testing set comprising 30% (18,271 locations), utilized for out-of-sample validation.</w:t>
      </w:r>
    </w:p>
    <w:p>
      <w:pPr>
        <w:pStyle w:val="BodyText"/>
      </w:pPr>
      <w:r>
        <w:t xml:space="preserve">The analysis strategy and the selection of the final model are as follows. First, we considered the models’ mean</w:t>
      </w:r>
      <w:r>
        <w:t xml:space="preserve"> </w:t>
      </w:r>
      <m:oMath>
        <m:r>
          <m:t>μ</m:t>
        </m:r>
      </m:oMath>
      <w:r>
        <w:t xml:space="preserve">: PO, NB, ZIP, and ZINB, with full specifications of the location function, while holding other parameters constant. Next, by applying the stepwise algorithm in both directions, we obtained reduced models (PO-red, NB-red, ZIP-red, and ZINB-red). Since the zero-inflated models yielded better results, in the third step, we applied the stepwise algorithm again to add</w:t>
      </w:r>
      <w:r>
        <w:t xml:space="preserve"> </w:t>
      </w:r>
      <m:oMath>
        <m:r>
          <m:t>σ</m:t>
        </m:r>
      </m:oMath>
      <w:r>
        <w:t xml:space="preserve"> </w:t>
      </w:r>
      <w:r>
        <w:t xml:space="preserve">to ZIP-red and both</w:t>
      </w:r>
      <w:r>
        <w:t xml:space="preserve"> </w:t>
      </w:r>
      <m:oMath>
        <m:r>
          <m:t>σ</m:t>
        </m:r>
      </m:oMath>
      <w:r>
        <w:t xml:space="preserve"> </w:t>
      </w:r>
      <w:r>
        <w:t xml:space="preserve">and</w:t>
      </w:r>
      <w:r>
        <w:t xml:space="preserve"> </w:t>
      </w:r>
      <m:oMath>
        <m:r>
          <m:t>ν</m:t>
        </m:r>
      </m:oMath>
      <w:r>
        <w:t xml:space="preserve"> </w:t>
      </w:r>
      <w:r>
        <w:t xml:space="preserve">to ZINB-red, resulting in the final models, ZIP-red-final and ZINB-red-final.”</w:t>
      </w:r>
    </w:p>
    <w:p>
      <w:pPr>
        <w:pStyle w:val="BodyText"/>
      </w:pPr>
      <w:r>
        <w:t xml:space="preserve">Finally, the best model is selected based on several metrics and an assessment of model adequacy. The Akaike Information Criterion (AIC) and Bayesian Information Criterion (BIC), along with pseudo-</w:t>
      </w:r>
      <m:oMath>
        <m:sSup>
          <m:e>
            <m:r>
              <m:t>R</m:t>
            </m:r>
          </m:e>
          <m:sup>
            <m:r>
              <m:t>2</m:t>
            </m:r>
          </m:sup>
        </m:sSup>
      </m:oMath>
      <w:r>
        <w:t xml:space="preserve"> </w:t>
      </w:r>
      <w:r>
        <w:t xml:space="preserve">(Cox-Snell and Cragg-Uhler), are computed for the training set, while the validation global deviance (VGD) is calculated for the testing set (out-of-sample validation).</w:t>
      </w:r>
    </w:p>
    <w:bookmarkEnd w:id="24"/>
    <w:bookmarkEnd w:id="25"/>
    <w:bookmarkStart w:id="48" w:name="sec-result"/>
    <w:p>
      <w:pPr>
        <w:pStyle w:val="Heading1"/>
      </w:pPr>
      <w:r>
        <w:t xml:space="preserve">3. Results</w:t>
      </w:r>
    </w:p>
    <w:bookmarkStart w:id="26" w:name="descriptive-analysis"/>
    <w:p>
      <w:pPr>
        <w:pStyle w:val="Heading2"/>
      </w:pPr>
      <w:r>
        <w:t xml:space="preserve">3.1 Descriptive analysis</w:t>
      </w:r>
    </w:p>
    <w:bookmarkEnd w:id="26"/>
    <w:bookmarkStart w:id="47" w:name="section"/>
    <w:p>
      <w:pPr>
        <w:pStyle w:val="Heading2"/>
      </w:pPr>
      <w:r>
        <w:t xml:space="preserve">3.2</w:t>
      </w:r>
      <w:r>
        <w:t xml:space="preserve"> </w:t>
      </w:r>
    </w:p>
    <w:p>
      <w:pPr>
        <w:pStyle w:val="FirstParagraph"/>
      </w:pPr>
      <w:hyperlink w:anchor="tbl-ICmodels">
        <w:r>
          <w:rPr>
            <w:rStyle w:val="Hyperlink"/>
          </w:rPr>
          <w:t xml:space="preserve">Table 1</w:t>
        </w:r>
      </w:hyperlink>
      <w:r>
        <w:t xml:space="preserve"> </w:t>
      </w:r>
      <w:r>
        <w:t xml:space="preserve">shows the goodness of fit measures for the fitted models. Akaike Information Criteria (AIC) and Bayesian Information Criteria (BIC) evaluate the goodness of fit for the training set, while Validated Globa Deviance (VGD) measures how well the fitted models perform for predicting the out-of-sample data (validation data). All three criterion shows that the best model is ZIP_red_final. On the other hand, note that the generalized pseudo r-squared (CoxSmell and Cragg Uhler) show that PO_red are higher among all models, but the assumptions of this model are not satisfied. On other other hand, all assumptions of ZIP_red_final are satisfied and present the best measures (</w:t>
      </w:r>
      <w:r>
        <w:rPr>
          <w:b/>
          <w:bCs/>
        </w:rPr>
        <w:t xml:space="preserve">aquí falta presentar los diagnósticos del modelo y pregunto si para artículos en su área, esto se presenta en el cuerpo del artículo o generalmente no lo toman con tanta importancia y podría ponerlos en anexo</w:t>
      </w:r>
      <w:r>
        <w:t xml:space="preserve">).</w:t>
      </w:r>
    </w:p>
    <w:tbl>
      <w:tblPr>
        <w:tblStyle w:val="Table"/>
        <w:tblW w:type="pct" w:w="5000"/>
        <w:tblLayout w:type="fixed"/>
        <w:tblLook w:firstRow="0" w:lastRow="0" w:firstColumn="0" w:lastColumn="0" w:noHBand="0" w:noVBand="0" w:val="0000"/>
      </w:tblPr>
      <w:tblGrid>
        <w:gridCol w:w="7920"/>
      </w:tblGrid>
      <w:tr>
        <w:tc>
          <w:tcPr/>
          <w:bookmarkStart w:id="27" w:name="tbl-ICmodels"/>
          <w:p>
            <w:pPr>
              <w:jc w:val="center"/>
            </w:pPr>
            <w:pPr>
              <w:jc w:val="start"/>
              <w:spacing w:before="200"/>
              <w:pStyle w:val="ImageCaption"/>
            </w:pPr>
            <w:r>
              <w:t xml:space="preserve">Table 1: Goodness of fit measures for the fitted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VGD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R2-CoxSnell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R2-Cragg Uhler</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79,265.66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79,360.82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34,836.93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0.3065</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NBII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70,882.70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70,986.50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31,089.78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0.1812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73,309.74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73,413.55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32,133.96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ZINBI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76,092.71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76,205.17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33,380.19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0.0261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PO_red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79,269.74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79,356.24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34,842.41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0.3063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NBII_red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70,881.29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70,976.45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31,090.24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0.1812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ZIP_red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73,308.00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73,403.16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32,134.62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ZINBI_red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72,903.31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72,981.16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31,869.63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0.1108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ZIP_red_final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69,754.09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69,892.50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30,790.78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0.1931</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ZINBI_red_final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69,532.61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69,688.32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30,566.35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0.1942</w:t>
                  </w:r>
                </w:p>
              </w:tc>
            </w:tr>
          </w:tbl>
          <w:bookmarkEnd w:id="27"/>
        </w:tc>
      </w:tr>
    </w:tbl>
    <w:p>
      <w:pPr>
        <w:pStyle w:val="BodyText"/>
      </w:pPr>
      <w:hyperlink w:anchor="tbl-ZIPmodels">
        <w:r>
          <w:rPr>
            <w:rStyle w:val="Hyperlink"/>
          </w:rPr>
          <w:t xml:space="preserve">Table 2</w:t>
        </w:r>
      </w:hyperlink>
      <w:r>
        <w:t xml:space="preserve"> </w:t>
      </w:r>
      <w:r>
        <w:t xml:space="preserve">describes the model estimates. The equation for Mu fits the wildfire counts, while the equation for Sigma models the probability of observing zero wildfires in a given centroid. We observe that all these variables are statistically significant, except for WE in the Mu equation.</w:t>
      </w:r>
    </w:p>
    <w:p>
      <w:pPr>
        <w:pStyle w:val="SourceCode"/>
      </w:pPr>
      <w:r>
        <w:rPr>
          <w:rStyle w:val="VerbatimChar"/>
        </w:rPr>
        <w:t xml:space="preserve">******************************************************************</w:t>
      </w:r>
      <w:r>
        <w:br/>
      </w:r>
      <w:r>
        <w:rPr>
          <w:rStyle w:val="VerbatimChar"/>
        </w:rPr>
        <w:t xml:space="preserve">Family:  c("ZIP", "Poisson Zero Inflated") </w:t>
      </w:r>
      <w:r>
        <w:br/>
      </w:r>
      <w:r>
        <w:br/>
      </w:r>
      <w:r>
        <w:rPr>
          <w:rStyle w:val="VerbatimChar"/>
        </w:rPr>
        <w:t xml:space="preserve">Call:  gamlss(formula = formula, sigma.formula = sigma.formula,  </w:t>
      </w:r>
      <w:r>
        <w:br/>
      </w:r>
      <w:r>
        <w:rPr>
          <w:rStyle w:val="VerbatimChar"/>
        </w:rPr>
        <w:t xml:space="preserve">    nu.formula = nu.formula, tau.formula = tau.formula,  </w:t>
      </w:r>
      <w:r>
        <w:br/>
      </w:r>
      <w:r>
        <w:rPr>
          <w:rStyle w:val="VerbatimChar"/>
        </w:rPr>
        <w:t xml:space="preserve">    family = "ZIP", data = data, control = control) </w:t>
      </w:r>
      <w:r>
        <w:br/>
      </w:r>
      <w:r>
        <w:br/>
      </w:r>
      <w:r>
        <w:rPr>
          <w:rStyle w:val="VerbatimChar"/>
        </w:rPr>
        <w:t xml:space="preserve">Fitting method: RS() </w:t>
      </w:r>
      <w:r>
        <w:br/>
      </w:r>
      <w:r>
        <w:br/>
      </w:r>
      <w:r>
        <w:rPr>
          <w:rStyle w:val="VerbatimChar"/>
        </w:rPr>
        <w:t xml:space="preserve">------------------------------------------------------------------</w:t>
      </w:r>
      <w:r>
        <w:br/>
      </w:r>
      <w:r>
        <w:rPr>
          <w:rStyle w:val="VerbatimChar"/>
        </w:rPr>
        <w:t xml:space="preserve">Mu link function:  log</w:t>
      </w:r>
      <w:r>
        <w:br/>
      </w:r>
      <w:r>
        <w:rPr>
          <w:rStyle w:val="VerbatimChar"/>
        </w:rPr>
        <w:t xml:space="preserve">Mu Coefficients:</w:t>
      </w:r>
      <w:r>
        <w:br/>
      </w:r>
      <w:r>
        <w:rPr>
          <w:rStyle w:val="VerbatimChar"/>
        </w:rPr>
        <w:t xml:space="preserve">             Estimate Std. Error t value Pr(&gt;|t|)    </w:t>
      </w:r>
      <w:r>
        <w:br/>
      </w:r>
      <w:r>
        <w:rPr>
          <w:rStyle w:val="VerbatimChar"/>
        </w:rPr>
        <w:t xml:space="preserve">(Intercept)  0.165197   0.013430  12.301  &lt; 2e-16 ***</w:t>
      </w:r>
      <w:r>
        <w:br/>
      </w:r>
      <w:r>
        <w:rPr>
          <w:rStyle w:val="VerbatimChar"/>
        </w:rPr>
        <w:t xml:space="preserve">DAH         -0.027644   0.007724  -3.579 0.000346 ***</w:t>
      </w:r>
      <w:r>
        <w:br/>
      </w:r>
      <w:r>
        <w:rPr>
          <w:rStyle w:val="VerbatimChar"/>
        </w:rPr>
        <w:t xml:space="preserve">LST         -0.405316   0.024243 -16.719  &lt; 2e-16 ***</w:t>
      </w:r>
      <w:r>
        <w:br/>
      </w:r>
      <w:r>
        <w:rPr>
          <w:rStyle w:val="VerbatimChar"/>
        </w:rPr>
        <w:t xml:space="preserve">logLSF       0.394362   0.024090  16.371  &lt; 2e-16 ***</w:t>
      </w:r>
      <w:r>
        <w:br/>
      </w:r>
      <w:r>
        <w:rPr>
          <w:rStyle w:val="VerbatimChar"/>
        </w:rPr>
        <w:t xml:space="preserve">SLOPE       -0.384874   0.026021 -14.791  &lt; 2e-16 ***</w:t>
      </w:r>
      <w:r>
        <w:br/>
      </w:r>
      <w:r>
        <w:rPr>
          <w:rStyle w:val="VerbatimChar"/>
        </w:rPr>
        <w:t xml:space="preserve">logTRI      -0.001229   0.029799  -0.041 0.967095    </w:t>
      </w:r>
      <w:r>
        <w:br/>
      </w:r>
      <w:r>
        <w:rPr>
          <w:rStyle w:val="VerbatimChar"/>
        </w:rPr>
        <w:t xml:space="preserve">TWI         -0.461550   0.023897 -19.314  &lt; 2e-16 ***</w:t>
      </w:r>
      <w:r>
        <w:br/>
      </w:r>
      <w:r>
        <w:rPr>
          <w:rStyle w:val="VerbatimChar"/>
        </w:rPr>
        <w:t xml:space="preserve">WE          -0.011984   0.013139  -0.912 0.361688    </w:t>
      </w:r>
      <w:r>
        <w:br/>
      </w:r>
      <w:r>
        <w:rPr>
          <w:rStyle w:val="VerbatimChar"/>
        </w:rPr>
        <w:t xml:space="preserve">WExpo       -0.199283   0.017533 -11.366  &lt; 2e-16 ***</w:t>
      </w:r>
      <w:r>
        <w:br/>
      </w:r>
      <w:r>
        <w:rPr>
          <w:rStyle w:val="VerbatimChar"/>
        </w:rPr>
        <w:t xml:space="preserve">sabanaTRUE   0.471340   0.018106  26.033  &lt; 2e-16 ***</w:t>
      </w:r>
      <w:r>
        <w:br/>
      </w:r>
      <w:r>
        <w:rPr>
          <w:rStyle w:val="VerbatimChar"/>
        </w:rPr>
        <w:t xml:space="preserve">---</w:t>
      </w:r>
      <w:r>
        <w:br/>
      </w:r>
      <w:r>
        <w:rPr>
          <w:rStyle w:val="VerbatimChar"/>
        </w:rPr>
        <w:t xml:space="preserve">Signif. codes:  0 '***' 0.001 '**' 0.01 '*' 0.05 '.' 0.1 ' ' 1</w:t>
      </w:r>
      <w:r>
        <w:br/>
      </w:r>
      <w:r>
        <w:br/>
      </w:r>
      <w:r>
        <w:rPr>
          <w:rStyle w:val="VerbatimChar"/>
        </w:rPr>
        <w:t xml:space="preserve">------------------------------------------------------------------</w:t>
      </w:r>
      <w:r>
        <w:br/>
      </w:r>
      <w:r>
        <w:rPr>
          <w:rStyle w:val="VerbatimChar"/>
        </w:rPr>
        <w:t xml:space="preserve">Sigma link function:  logit</w:t>
      </w:r>
      <w:r>
        <w:br/>
      </w:r>
      <w:r>
        <w:rPr>
          <w:rStyle w:val="VerbatimChar"/>
        </w:rPr>
        <w:t xml:space="preserve">Sigma Coefficients:</w:t>
      </w:r>
      <w:r>
        <w:br/>
      </w:r>
      <w:r>
        <w:rPr>
          <w:rStyle w:val="VerbatimChar"/>
        </w:rPr>
        <w:t xml:space="preserve">            Estimate Std. Error t value Pr(&gt;|t|)    </w:t>
      </w:r>
      <w:r>
        <w:br/>
      </w:r>
      <w:r>
        <w:rPr>
          <w:rStyle w:val="VerbatimChar"/>
        </w:rPr>
        <w:t xml:space="preserve">(Intercept)  0.84043    0.02063  40.741   &lt;2e-16 ***</w:t>
      </w:r>
      <w:r>
        <w:br/>
      </w:r>
      <w:r>
        <w:rPr>
          <w:rStyle w:val="VerbatimChar"/>
        </w:rPr>
        <w:t xml:space="preserve">sabanaTRUE  -2.48439    0.06582 -37.747   &lt;2e-16 ***</w:t>
      </w:r>
      <w:r>
        <w:br/>
      </w:r>
      <w:r>
        <w:rPr>
          <w:rStyle w:val="VerbatimChar"/>
        </w:rPr>
        <w:t xml:space="preserve">LST         -0.31938    0.03054 -10.458   &lt;2e-16 ***</w:t>
      </w:r>
      <w:r>
        <w:br/>
      </w:r>
      <w:r>
        <w:rPr>
          <w:rStyle w:val="VerbatimChar"/>
        </w:rPr>
        <w:t xml:space="preserve">WE           0.19459    0.02106   9.240   &lt;2e-16 ***</w:t>
      </w:r>
      <w:r>
        <w:br/>
      </w:r>
      <w:r>
        <w:rPr>
          <w:rStyle w:val="VerbatimChar"/>
        </w:rPr>
        <w:t xml:space="preserve">TWI          0.25136    0.02478  10.144   &lt;2e-16 ***</w:t>
      </w:r>
      <w:r>
        <w:br/>
      </w:r>
      <w:r>
        <w:rPr>
          <w:rStyle w:val="VerbatimChar"/>
        </w:rPr>
        <w:t xml:space="preserve">WExpo        0.25461    0.03096   8.224   &lt;2e-16 ***</w:t>
      </w:r>
      <w:r>
        <w:br/>
      </w:r>
      <w:r>
        <w:rPr>
          <w:rStyle w:val="VerbatimChar"/>
        </w:rPr>
        <w:t xml:space="preserve">---</w:t>
      </w:r>
      <w:r>
        <w:br/>
      </w:r>
      <w:r>
        <w:rPr>
          <w:rStyle w:val="VerbatimChar"/>
        </w:rPr>
        <w:t xml:space="preserve">Signif. codes:  0 '***' 0.001 '**' 0.01 '*' 0.05 '.' 0.1 ' ' 1</w:t>
      </w:r>
      <w:r>
        <w:br/>
      </w:r>
      <w:r>
        <w:br/>
      </w:r>
      <w:r>
        <w:rPr>
          <w:rStyle w:val="VerbatimChar"/>
        </w:rPr>
        <w:t xml:space="preserve">------------------------------------------------------------------</w:t>
      </w:r>
      <w:r>
        <w:br/>
      </w:r>
      <w:r>
        <w:rPr>
          <w:rStyle w:val="VerbatimChar"/>
        </w:rPr>
        <w:t xml:space="preserve">No. of observations in the fit:  42213 </w:t>
      </w:r>
      <w:r>
        <w:br/>
      </w:r>
      <w:r>
        <w:rPr>
          <w:rStyle w:val="VerbatimChar"/>
        </w:rPr>
        <w:t xml:space="preserve">Degrees of Freedom for the fit:  16</w:t>
      </w:r>
      <w:r>
        <w:br/>
      </w:r>
      <w:r>
        <w:rPr>
          <w:rStyle w:val="VerbatimChar"/>
        </w:rPr>
        <w:t xml:space="preserve">      Residual Deg. of Freedom:  42197 </w:t>
      </w:r>
      <w:r>
        <w:br/>
      </w:r>
      <w:r>
        <w:rPr>
          <w:rStyle w:val="VerbatimChar"/>
        </w:rPr>
        <w:t xml:space="preserve">                      at cycle:  18 </w:t>
      </w:r>
      <w:r>
        <w:br/>
      </w:r>
      <w:r>
        <w:rPr>
          <w:rStyle w:val="VerbatimChar"/>
        </w:rPr>
        <w:t xml:space="preserve"> </w:t>
      </w:r>
      <w:r>
        <w:br/>
      </w:r>
      <w:r>
        <w:rPr>
          <w:rStyle w:val="VerbatimChar"/>
        </w:rPr>
        <w:t xml:space="preserve">Global Deviance:     69722.09 </w:t>
      </w:r>
      <w:r>
        <w:br/>
      </w:r>
      <w:r>
        <w:rPr>
          <w:rStyle w:val="VerbatimChar"/>
        </w:rPr>
        <w:t xml:space="preserve">            AIC:     69754.09 </w:t>
      </w:r>
      <w:r>
        <w:br/>
      </w:r>
      <w:r>
        <w:rPr>
          <w:rStyle w:val="VerbatimChar"/>
        </w:rPr>
        <w:t xml:space="preserve">            SBC:     69892.5 </w:t>
      </w:r>
      <w:r>
        <w:br/>
      </w:r>
      <w:r>
        <w:rPr>
          <w:rStyle w:val="VerbatimChar"/>
        </w:rPr>
        <w:t xml:space="preserve">******************************************************************</w:t>
      </w:r>
    </w:p>
    <w:tbl>
      <w:tblPr>
        <w:tblStyle w:val="Table"/>
        <w:tblW w:type="pct" w:w="5000"/>
        <w:tblLayout w:type="fixed"/>
        <w:tblLook w:firstRow="0" w:lastRow="0" w:firstColumn="0" w:lastColumn="0" w:noHBand="0" w:noVBand="0" w:val="0000"/>
      </w:tblPr>
      <w:tblGrid>
        <w:gridCol w:w="7920"/>
      </w:tblGrid>
      <w:tr>
        <w:tc>
          <w:tcPr/>
          <w:bookmarkStart w:id="28" w:name="tbl-ZIPmodels"/>
          <w:p>
            <w:pPr>
              <w:jc w:val="center"/>
            </w:pPr>
            <w:pPr>
              <w:jc w:val="start"/>
              <w:spacing w:before="200"/>
              <w:pStyle w:val="ImageCaption"/>
            </w:pPr>
            <w:r>
              <w:t xml:space="preserve">Table 2: Parameter estimates of the fitted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Covariate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 Error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 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Pr(&gt;|t|)</w:t>
                  </w:r>
                </w:p>
              </w:tc>
            </w:tr>
            <w:tr>
              <w:trPr>
                <w:trHeight w:val="360" w:hRule="auto"/>
              </w:trPr>
              body 1
              <w:tc>
                <w:tcPr>
                  <w:tcBorders>
                    <w:bottom w:val="single" w:sz="1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Mu</w:t>
                  </w:r>
                </w:p>
              </w:tc>
              <w:tc>
                <w:tcPr>
                  <w:tcBorders>
                    <w:bottom w:val="single" w:sz="1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0.1652</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0.0134</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12.3008</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logLSF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SLOPE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-14.7907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logTRI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0.9671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-19.3145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0.3617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WExpo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body11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sabanaTRUE</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0.4713</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0.0181</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26.0327</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body12
              <w:tc>
                <w:tcPr>
                  <w:tcBorders>
                    <w:bottom w:val="single" w:sz="16"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Sigma</w:t>
                  </w:r>
                </w:p>
              </w:tc>
              <w:tc>
                <w:tcPr>
                  <w:tcBorders>
                    <w:bottom w:val="single" w:sz="16"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0.8404</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0.0206</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40.7412</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sabanaTRUE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-37.7473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WExpo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8.2237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bl>
          <w:bookmarkEnd w:id="28"/>
        </w:tc>
      </w:tr>
    </w:tbl>
    <w:p>
      <w:pPr>
        <w:pStyle w:val="BodyText"/>
      </w:pPr>
      <w:r>
        <w:t xml:space="preserve">Finall,</w:t>
      </w:r>
      <w:r>
        <w:t xml:space="preserve"> </w:t>
      </w:r>
      <w:hyperlink w:anchor="fig-ZIPmusigma">
        <w:r>
          <w:rPr>
            <w:rStyle w:val="Hyperlink"/>
          </w:rPr>
          <w:t xml:space="preserve">Figure 1</w:t>
        </w:r>
      </w:hyperlink>
      <w:r>
        <w:t xml:space="preserve"> </w:t>
      </w:r>
      <w:r>
        <w:t xml:space="preserve">presents the fitted</w:t>
      </w:r>
      <w:r>
        <w:t xml:space="preserve"> </w:t>
      </w:r>
      <m:oMath>
        <m:r>
          <m:t>μ</m:t>
        </m:r>
      </m:oMath>
      <w:r>
        <w:t xml:space="preserve"> </w:t>
      </w:r>
      <w:r>
        <w:t xml:space="preserve">and</w:t>
      </w:r>
      <w:r>
        <w:t xml:space="preserve"> </w:t>
      </w:r>
      <m:oMath>
        <m:r>
          <m:t>σ</m:t>
        </m:r>
      </m:oMath>
      <w:r>
        <w:t xml:space="preserve">, which represent wildfire mean of each centroid and the probability of no wildfire, respectively. Those figures are difficult to assess due to the fact that</w:t>
      </w:r>
      <w:r>
        <w:t xml:space="preserve"> </w:t>
      </w:r>
      <w:hyperlink w:anchor="fig-ZIPmu">
        <w:r>
          <w:rPr>
            <w:rStyle w:val="Hyperlink"/>
          </w:rPr>
          <w:t xml:space="preserve">Figure 1 (a)</w:t>
        </w:r>
      </w:hyperlink>
      <w:r>
        <w:t xml:space="preserve"> </w:t>
      </w:r>
      <w:r>
        <w:t xml:space="preserve">shows higher fitted wildfire mean for northern parts of the region. However, if we take into account that the model fits a centroid with</w:t>
      </w:r>
      <w:r>
        <w:t xml:space="preserve"> </w:t>
      </w:r>
      <m:oMath>
        <m:r>
          <m:t>σ</m:t>
        </m:r>
        <m:r>
          <m:rPr>
            <m:sty m:val="p"/>
          </m:rPr>
          <m:t>&gt;</m:t>
        </m:r>
        <m:r>
          <m:t>0.5</m:t>
        </m:r>
      </m:oMath>
      <w:r>
        <w:t xml:space="preserve">, meaning this centroid has greater probability to not have wildfire, we can filter out those centroids, and only consider those centroid with</w:t>
      </w:r>
      <w:r>
        <w:t xml:space="preserve"> </w:t>
      </w:r>
      <m:oMath>
        <m:r>
          <m:t>σ</m:t>
        </m:r>
        <m:r>
          <m:rPr>
            <m:sty m:val="p"/>
          </m:rPr>
          <m:t>&lt;</m:t>
        </m:r>
        <m:r>
          <m:t>0.5</m:t>
        </m:r>
      </m:oMath>
      <w:r>
        <w:t xml:space="preserve">, that is, those places will have more than 50% of chance to have more than zero wildfires, then plot the fitted</w:t>
      </w:r>
      <w:r>
        <w:t xml:space="preserve"> </w:t>
      </w:r>
      <m:oMath>
        <m:r>
          <m:t>μ</m:t>
        </m:r>
      </m:oMath>
      <w:r>
        <w:t xml:space="preserve"> </w:t>
      </w:r>
      <w:r>
        <w:t xml:space="preserve">(</w:t>
      </w:r>
      <w:hyperlink w:anchor="fig-ZIPmu_sigma">
        <w:r>
          <w:rPr>
            <w:rStyle w:val="Hyperlink"/>
          </w:rPr>
          <w:t xml:space="preserve">Figure 2 (b)</w:t>
        </w:r>
      </w:hyperlink>
      <w:r>
        <w:t xml:space="preserve">). We can observe that the places with higher wildfire count mean are similar to the observed INC (fig-INC).</w:t>
      </w:r>
    </w:p>
    <w:p>
      <w:pPr>
        <w:pStyle w:val="BodyText"/>
      </w:pPr>
      <w:r>
        <w:t xml:space="preserve">Finally,</w:t>
      </w:r>
      <w:r>
        <w:t xml:space="preserve"> </w:t>
      </w:r>
      <w:hyperlink w:anchor="fig-ZIPmusigma">
        <w:r>
          <w:rPr>
            <w:rStyle w:val="Hyperlink"/>
          </w:rPr>
          <w:t xml:space="preserve">Figure 1</w:t>
        </w:r>
      </w:hyperlink>
      <w:r>
        <w:t xml:space="preserve"> </w:t>
      </w:r>
      <w:r>
        <w:t xml:space="preserve">presents the fitted</w:t>
      </w:r>
      <w:r>
        <w:t xml:space="preserve"> </w:t>
      </w:r>
      <m:oMath>
        <m:r>
          <m:t>μ</m:t>
        </m:r>
      </m:oMath>
      <w:r>
        <w:t xml:space="preserve"> </w:t>
      </w:r>
      <w:r>
        <w:t xml:space="preserve">and</w:t>
      </w:r>
      <w:r>
        <w:t xml:space="preserve"> </w:t>
      </w:r>
      <m:oMath>
        <m:r>
          <m:t>σ</m:t>
        </m:r>
      </m:oMath>
      <w:r>
        <w:t xml:space="preserve">, which represent the mean wildfire count for each centroid and the probability of no wildfire, respectively. These figures can be challenging to interpret, as</w:t>
      </w:r>
      <w:r>
        <w:t xml:space="preserve"> </w:t>
      </w:r>
      <w:hyperlink w:anchor="fig-ZIPmu">
        <w:r>
          <w:rPr>
            <w:rStyle w:val="Hyperlink"/>
          </w:rPr>
          <w:t xml:space="preserve">Figure 1 (a)</w:t>
        </w:r>
      </w:hyperlink>
      <w:r>
        <w:t xml:space="preserve"> </w:t>
      </w:r>
      <w:r>
        <w:t xml:space="preserve">shows a higher fitted wildfire mean in the northern parts of the region, which have high probability to not observe wildfire. However, if we consider that the model fits a centroid with</w:t>
      </w:r>
      <w:r>
        <w:t xml:space="preserve"> </w:t>
      </w:r>
      <m:oMath>
        <m:r>
          <m:t>σ</m:t>
        </m:r>
        <m:r>
          <m:rPr>
            <m:sty m:val="p"/>
          </m:rPr>
          <m:t>&gt;</m:t>
        </m:r>
        <m:r>
          <m:t>0.5</m:t>
        </m:r>
      </m:oMath>
      <w:r>
        <w:t xml:space="preserve">, indicating a greater probability of no wildfire, we can filter out those centroids and focus only on those with</w:t>
      </w:r>
      <w:r>
        <w:t xml:space="preserve"> </w:t>
      </w:r>
      <m:oMath>
        <m:r>
          <m:t>σ</m:t>
        </m:r>
        <m:r>
          <m:rPr>
            <m:sty m:val="p"/>
          </m:rPr>
          <m:t>&lt;</m:t>
        </m:r>
        <m:r>
          <m:t>0.5</m:t>
        </m:r>
      </m:oMath>
      <w:r>
        <w:t xml:space="preserve">. This means that these locations have more than a 50% chance of experiencing at least one wildfire. We can then plot the fitted</w:t>
      </w:r>
      <w:r>
        <w:t xml:space="preserve"> </w:t>
      </w:r>
      <m:oMath>
        <m:r>
          <m:t>μ</m:t>
        </m:r>
      </m:oMath>
      <w:r>
        <w:t xml:space="preserve"> </w:t>
      </w:r>
      <w:r>
        <w:t xml:space="preserve">(</w:t>
      </w:r>
      <w:hyperlink w:anchor="fig-ZIPmu_sigma">
        <w:r>
          <w:rPr>
            <w:rStyle w:val="Hyperlink"/>
          </w:rPr>
          <w:t xml:space="preserve">Figure 2 (b)</w:t>
        </w:r>
      </w:hyperlink>
      <w:r>
        <w:t xml:space="preserve">). Notably, the areas with higher mean wildfire counts are similar to the observed INC (</w:t>
      </w:r>
      <w:hyperlink w:anchor="fig-INC">
        <w:r>
          <w:rPr>
            <w:rStyle w:val="Hyperlink"/>
          </w:rPr>
          <w:t xml:space="preserve">Figure 2 (a)</w:t>
        </w:r>
      </w:hyperlink>
      <w:r>
        <w:t xml:space="preserve">).</w:t>
      </w:r>
    </w:p>
    <w:bookmarkStart w:id="37" w:name="fig-ZIPmusigma"/>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32" w:name="fig-ZIPmu"/>
                <w:p>
                  <w:pPr>
                    <w:pStyle w:val="Compact"/>
                    <w:jc w:val="center"/>
                    <w:jc w:val="left"/>
                  </w:pPr>
                  <w:r>
                    <w:drawing>
                      <wp:inline>
                        <wp:extent cx="2772075" cy="2772075"/>
                        <wp:effectExtent b="0" l="0" r="0" t="0"/>
                        <wp:docPr descr="" title="" id="30" name="Picture"/>
                        <a:graphic>
                          <a:graphicData uri="http://schemas.openxmlformats.org/drawingml/2006/picture">
                            <pic:pic>
                              <pic:nvPicPr>
                                <pic:cNvPr descr="A3_Informe_final---forward_files/figure-docx/fig-ZIPmu-1.png" id="31" name="Picture"/>
                                <pic:cNvPicPr>
                                  <a:picLocks noChangeArrowheads="1" noChangeAspect="1"/>
                                </pic:cNvPicPr>
                              </pic:nvPicPr>
                              <pic:blipFill>
                                <a:blip r:embed="rId29"/>
                                <a:stretch>
                                  <a:fillRect/>
                                </a:stretch>
                              </pic:blipFill>
                              <pic:spPr bwMode="auto">
                                <a:xfrm>
                                  <a:off x="0" y="0"/>
                                  <a:ext cx="2772075" cy="2772075"/>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ZIP mean.</w:t>
                  </w:r>
                </w:p>
                <w:bookmarkEnd w:id="32"/>
              </w:tc>
            </w:tr>
          </w:tbl>
          <w:p/>
        </w:tc>
        <w:tc>
          <w:tcPr/>
          <w:tbl>
            <w:tblPr>
              <w:tblStyle w:val="Table"/>
              <w:tblW w:type="pct" w:w="4900"/>
              <w:tblLayout w:type="fixed"/>
              <w:tblLook w:firstRow="0" w:lastRow="0" w:firstColumn="0" w:lastColumn="0" w:noHBand="0" w:noVBand="0" w:val="0000"/>
            </w:tblPr>
            <w:tblGrid>
              <w:gridCol w:w="7761"/>
            </w:tblGrid>
            <w:tr>
              <w:tc>
                <w:tcPr/>
                <w:bookmarkStart w:id="36" w:name="fig-ZIPsigma"/>
                <w:p>
                  <w:pPr>
                    <w:pStyle w:val="Compact"/>
                    <w:jc w:val="center"/>
                    <w:jc w:val="left"/>
                  </w:pPr>
                  <w:r>
                    <w:drawing>
                      <wp:inline>
                        <wp:extent cx="2772075" cy="2772075"/>
                        <wp:effectExtent b="0" l="0" r="0" t="0"/>
                        <wp:docPr descr="" title="" id="34" name="Picture"/>
                        <a:graphic>
                          <a:graphicData uri="http://schemas.openxmlformats.org/drawingml/2006/picture">
                            <pic:pic>
                              <pic:nvPicPr>
                                <pic:cNvPr descr="A3_Informe_final---forward_files/figure-docx/fig-ZIPsigma-1.png" id="35" name="Picture"/>
                                <pic:cNvPicPr>
                                  <a:picLocks noChangeArrowheads="1" noChangeAspect="1"/>
                                </pic:cNvPicPr>
                              </pic:nvPicPr>
                              <pic:blipFill>
                                <a:blip r:embed="rId33"/>
                                <a:stretch>
                                  <a:fillRect/>
                                </a:stretch>
                              </pic:blipFill>
                              <pic:spPr bwMode="auto">
                                <a:xfrm>
                                  <a:off x="0" y="0"/>
                                  <a:ext cx="2772075" cy="2772075"/>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ZIP sigma.</w:t>
                  </w:r>
                </w:p>
                <w:bookmarkEnd w:id="36"/>
              </w:tc>
            </w:tr>
          </w:tbl>
          <w:p/>
        </w:tc>
      </w:tr>
    </w:tbl>
    <w:p>
      <w:pPr>
        <w:pStyle w:val="BodyText"/>
      </w:pPr>
      <w:pPr>
        <w:spacing w:before="200"/>
        <w:pStyle w:val="ImageCaption"/>
      </w:pPr>
      <w:r>
        <w:t xml:space="preserve">Figure 1: The predicted</w:t>
      </w:r>
      <w:r>
        <w:t xml:space="preserve"> </w:t>
      </w:r>
      <m:oMath>
        <m:r>
          <m:t>μ</m:t>
        </m:r>
      </m:oMath>
      <w:r>
        <w:t xml:space="preserve"> </w:t>
      </w:r>
      <w:r>
        <w:t xml:space="preserve">and</w:t>
      </w:r>
      <w:r>
        <w:t xml:space="preserve"> </w:t>
      </w:r>
      <m:oMath>
        <m:r>
          <m:t>σ</m:t>
        </m:r>
      </m:oMath>
      <w:r>
        <w:t xml:space="preserve"> </w:t>
      </w:r>
      <w:r>
        <w:t xml:space="preserve">of the fitted ZIP model.</w:t>
      </w:r>
    </w:p>
    <w:bookmarkEnd w:id="37"/>
    <w:p>
      <w:pPr>
        <w:pStyle w:val="BodyText"/>
      </w:pPr>
      <w:r>
        <w:t xml:space="preserve"> </w:t>
      </w:r>
    </w:p>
    <w:bookmarkStart w:id="46" w:name="fig-INCZIPmu"/>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1" w:name="fig-INC"/>
                <w:p>
                  <w:pPr>
                    <w:pStyle w:val="Compact"/>
                    <w:jc w:val="center"/>
                    <w:jc w:val="left"/>
                  </w:pPr>
                  <w:r>
                    <w:drawing>
                      <wp:inline>
                        <wp:extent cx="2772075" cy="2772075"/>
                        <wp:effectExtent b="0" l="0" r="0" t="0"/>
                        <wp:docPr descr="" title="" id="39" name="Picture"/>
                        <a:graphic>
                          <a:graphicData uri="http://schemas.openxmlformats.org/drawingml/2006/picture">
                            <pic:pic>
                              <pic:nvPicPr>
                                <pic:cNvPr descr="A3_Informe_final---forward_files/figure-docx/fig-INC-1.png" id="40" name="Picture"/>
                                <pic:cNvPicPr>
                                  <a:picLocks noChangeArrowheads="1" noChangeAspect="1"/>
                                </pic:cNvPicPr>
                              </pic:nvPicPr>
                              <pic:blipFill>
                                <a:blip r:embed="rId38"/>
                                <a:stretch>
                                  <a:fillRect/>
                                </a:stretch>
                              </pic:blipFill>
                              <pic:spPr bwMode="auto">
                                <a:xfrm>
                                  <a:off x="0" y="0"/>
                                  <a:ext cx="2772075" cy="2772075"/>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Wildfire counts.</w:t>
                  </w:r>
                </w:p>
                <w:bookmarkEnd w:id="41"/>
              </w:tc>
            </w:tr>
          </w:tbl>
          <w:p/>
        </w:tc>
        <w:tc>
          <w:tcPr/>
          <w:tbl>
            <w:tblPr>
              <w:tblStyle w:val="Table"/>
              <w:tblW w:type="pct" w:w="4900"/>
              <w:tblLayout w:type="fixed"/>
              <w:tblLook w:firstRow="0" w:lastRow="0" w:firstColumn="0" w:lastColumn="0" w:noHBand="0" w:noVBand="0" w:val="0000"/>
            </w:tblPr>
            <w:tblGrid>
              <w:gridCol w:w="7761"/>
            </w:tblGrid>
            <w:tr>
              <w:tc>
                <w:tcPr/>
                <w:bookmarkStart w:id="45" w:name="fig-ZIPmu_sigma"/>
                <w:p>
                  <w:pPr>
                    <w:pStyle w:val="Compact"/>
                    <w:jc w:val="center"/>
                    <w:jc w:val="left"/>
                  </w:pPr>
                  <w:r>
                    <w:drawing>
                      <wp:inline>
                        <wp:extent cx="2772075" cy="2772075"/>
                        <wp:effectExtent b="0" l="0" r="0" t="0"/>
                        <wp:docPr descr="" title="" id="43" name="Picture"/>
                        <a:graphic>
                          <a:graphicData uri="http://schemas.openxmlformats.org/drawingml/2006/picture">
                            <pic:pic>
                              <pic:nvPicPr>
                                <pic:cNvPr descr="A3_Informe_final---forward_files/figure-docx/fig-ZIPmu_sigma-1.png" id="44" name="Picture"/>
                                <pic:cNvPicPr>
                                  <a:picLocks noChangeArrowheads="1" noChangeAspect="1"/>
                                </pic:cNvPicPr>
                              </pic:nvPicPr>
                              <pic:blipFill>
                                <a:blip r:embed="rId42"/>
                                <a:stretch>
                                  <a:fillRect/>
                                </a:stretch>
                              </pic:blipFill>
                              <pic:spPr bwMode="auto">
                                <a:xfrm>
                                  <a:off x="0" y="0"/>
                                  <a:ext cx="2772075" cy="2772075"/>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Predicted fire count mean, conditional on a probability greater than 0.5 of fire.</w:t>
                  </w:r>
                </w:p>
                <w:bookmarkEnd w:id="45"/>
              </w:tc>
            </w:tr>
          </w:tbl>
          <w:p/>
        </w:tc>
      </w:tr>
    </w:tbl>
    <w:p>
      <w:pPr>
        <w:pStyle w:val="BodyText"/>
      </w:pPr>
      <w:pPr>
        <w:spacing w:before="200"/>
        <w:pStyle w:val="ImageCaption"/>
      </w:pPr>
      <w:r>
        <w:t xml:space="preserve">Figure 2: Observed wildfire counts and the model predicted fire count mean, conditional on a probability greater than 0.5 of occurrence of wildfire.</w:t>
      </w:r>
    </w:p>
    <w:bookmarkEnd w:id="46"/>
    <w:bookmarkEnd w:id="47"/>
    <w:bookmarkEnd w:id="48"/>
    <w:bookmarkStart w:id="49" w:name="sec-conclus"/>
    <w:p>
      <w:pPr>
        <w:pStyle w:val="Heading1"/>
      </w:pPr>
      <w:r>
        <w:t xml:space="preserve">4. Conclusiones</w:t>
      </w:r>
    </w:p>
    <w:p>
      <w:pPr>
        <w:pStyle w:val="FirstParagraph"/>
      </w:pPr>
      <w:r>
        <w:t xml:space="preserve">…</w:t>
      </w:r>
    </w:p>
    <w:bookmarkEnd w:id="49"/>
    <w:bookmarkStart w:id="56" w:name="referencias"/>
    <w:p>
      <w:pPr>
        <w:pStyle w:val="Heading1"/>
      </w:pPr>
      <w:r>
        <w:t xml:space="preserve">5. Referencias</w:t>
      </w:r>
    </w:p>
    <w:bookmarkStart w:id="55" w:name="refs"/>
    <w:bookmarkStart w:id="51" w:name="ref-R2023"/>
    <w:p>
      <w:pPr>
        <w:pStyle w:val="Bibliography"/>
      </w:pPr>
      <w:r>
        <w:t xml:space="preserve">R Core Team. 2023.</w:t>
      </w:r>
      <w:r>
        <w:t xml:space="preserve"> </w:t>
      </w:r>
      <w:r>
        <w:rPr>
          <w:i/>
          <w:iCs/>
        </w:rPr>
        <w:t xml:space="preserve">R: A Language and Environment for Statistical Computing</w:t>
      </w:r>
      <w:r>
        <w:t xml:space="preserve">. Vienna, Austria: R Foundation for Statistical Computing.</w:t>
      </w:r>
      <w:r>
        <w:t xml:space="preserve"> </w:t>
      </w:r>
      <w:hyperlink r:id="rId50">
        <w:r>
          <w:rPr>
            <w:rStyle w:val="Hyperlink"/>
          </w:rPr>
          <w:t xml:space="preserve">https://www.R-project.org/</w:t>
        </w:r>
      </w:hyperlink>
      <w:r>
        <w:t xml:space="preserve">.</w:t>
      </w:r>
    </w:p>
    <w:bookmarkEnd w:id="51"/>
    <w:bookmarkStart w:id="52" w:name="ref-rigby2005_gamlss"/>
    <w:p>
      <w:pPr>
        <w:pStyle w:val="Bibliography"/>
      </w:pPr>
      <w:r>
        <w:t xml:space="preserve">R. A. Rigby, and D. M. Stasinopoulos. 2005.</w:t>
      </w:r>
      <w:r>
        <w:t xml:space="preserve"> </w:t>
      </w:r>
      <w:r>
        <w:t xml:space="preserve">“Generalized Additive Models for Location, Scale and Shape,(with Discussion).”</w:t>
      </w:r>
      <w:r>
        <w:t xml:space="preserve"> </w:t>
      </w:r>
      <w:r>
        <w:rPr>
          <w:i/>
          <w:iCs/>
        </w:rPr>
        <w:t xml:space="preserve">Applied Statistics</w:t>
      </w:r>
      <w:r>
        <w:t xml:space="preserve"> </w:t>
      </w:r>
      <w:r>
        <w:t xml:space="preserve">54.3: 507–54.</w:t>
      </w:r>
    </w:p>
    <w:bookmarkEnd w:id="52"/>
    <w:bookmarkStart w:id="54" w:name="ref-Zeileis2008"/>
    <w:p>
      <w:pPr>
        <w:pStyle w:val="Bibliography"/>
      </w:pPr>
      <w:r>
        <w:t xml:space="preserve">Zeileis, Achim, Christian Kleiber, and Simon Jackman. 2008.</w:t>
      </w:r>
      <w:r>
        <w:t xml:space="preserve"> </w:t>
      </w:r>
      <w:r>
        <w:t xml:space="preserve">“Regression Models for Count Data in r.”</w:t>
      </w:r>
      <w:r>
        <w:t xml:space="preserve"> </w:t>
      </w:r>
      <w:r>
        <w:rPr>
          <w:i/>
          <w:iCs/>
        </w:rPr>
        <w:t xml:space="preserve">Journal of Statistical Software</w:t>
      </w:r>
      <w:r>
        <w:t xml:space="preserve"> </w:t>
      </w:r>
      <w:r>
        <w:t xml:space="preserve">27 (8): 1–25.</w:t>
      </w:r>
      <w:r>
        <w:t xml:space="preserve"> </w:t>
      </w:r>
      <w:hyperlink r:id="rId53">
        <w:r>
          <w:rPr>
            <w:rStyle w:val="Hyperlink"/>
          </w:rPr>
          <w:t xml:space="preserve">https://doi.org/10.18637/jss.v027.i08</w:t>
        </w:r>
      </w:hyperlink>
      <w:r>
        <w:t xml:space="preserve">.</w:t>
      </w:r>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9" Target="media/rId29.png" /><Relationship Type="http://schemas.openxmlformats.org/officeDocument/2006/relationships/image" Id="rId42" Target="media/rId42.png" /><Relationship Type="http://schemas.openxmlformats.org/officeDocument/2006/relationships/image" Id="rId33" Target="media/rId33.png" /><Relationship Type="http://schemas.openxmlformats.org/officeDocument/2006/relationships/hyperlink" Id="rId53" Target="https://doi.org/10.18637/jss.v027.i08" TargetMode="External" /><Relationship Type="http://schemas.openxmlformats.org/officeDocument/2006/relationships/hyperlink" Id="rId50" Target="https://www.R-project.org/" TargetMode="External" /><Relationship Type="http://schemas.openxmlformats.org/officeDocument/2006/relationships/hyperlink" Id="rId20" Target="mailto:shuwei.chou@ucr.ac.cr" TargetMode="External" /></Relationships>
</file>

<file path=word/_rels/footnotes.xml.rels><?xml version="1.0" encoding="UTF-8"?><Relationships xmlns="http://schemas.openxmlformats.org/package/2006/relationships"><Relationship Type="http://schemas.openxmlformats.org/officeDocument/2006/relationships/hyperlink" Id="rId53" Target="https://doi.org/10.18637/jss.v027.i08" TargetMode="External" /><Relationship Type="http://schemas.openxmlformats.org/officeDocument/2006/relationships/hyperlink" Id="rId50" Target="https://www.R-project.org/" TargetMode="External" /><Relationship Type="http://schemas.openxmlformats.org/officeDocument/2006/relationships/hyperlink" Id="rId20" Target="mailto:shuwei.chou@ucr.ac.c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Geomorphometric analysis of wildfire occurrence in a humid tropical protected area: a case study in Southern Pacific Costa Rica</dc:title>
  <dc:creator>Shu Wei Chou-Chen1,✉, Adolfo Quesada-Román2, and Daniela Vargas-Sanabria3</dc:creator>
  <cp:keywords/>
  <dcterms:created xsi:type="dcterms:W3CDTF">2024-11-20T18:07:08Z</dcterms:created>
  <dcterms:modified xsi:type="dcterms:W3CDTF">2024-11-20T18:07:08Z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referencias.bib</vt:lpwstr>
  </property>
  <property fmtid="{D5CDD505-2E9C-101B-9397-08002B2CF9AE}" pid="5" name="bibliographystyle">
    <vt:lpwstr>apa</vt:lpwstr>
  </property>
  <property fmtid="{D5CDD505-2E9C-101B-9397-08002B2CF9AE}" pid="6" name="by-affiliation">
    <vt:lpwstr/>
  </property>
  <property fmtid="{D5CDD505-2E9C-101B-9397-08002B2CF9AE}" pid="7" name="by-author">
    <vt:lpwstr/>
  </property>
  <property fmtid="{D5CDD505-2E9C-101B-9397-08002B2CF9AE}" pid="8" name="editor">
    <vt:lpwstr>visual</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