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A695B" w14:textId="77777777" w:rsidR="002D2D73" w:rsidRDefault="00325E60">
      <w:pPr>
        <w:pStyle w:val="Title"/>
      </w:pPr>
      <w:r>
        <w:t>Geomorphometric analysis of wildfire occurrence in a humid tropical protected area: a case study in Southern Pacific Costa Rica</w:t>
      </w:r>
    </w:p>
    <w:p w14:paraId="53489529" w14:textId="77777777" w:rsidR="002D2D73" w:rsidRDefault="00325E60">
      <w:pPr>
        <w:pStyle w:val="Subtitle"/>
      </w:pPr>
      <w:r>
        <w:t>Primary Results</w:t>
      </w:r>
    </w:p>
    <w:p w14:paraId="228F1C37" w14:textId="77777777" w:rsidR="002D2D73" w:rsidRDefault="00325E60">
      <w:pPr>
        <w:pStyle w:val="Author"/>
      </w:pPr>
      <w:r>
        <w:t>Shu Wei Chou Chen</w:t>
      </w:r>
    </w:p>
    <w:sdt>
      <w:sdtPr>
        <w:rPr>
          <w:rFonts w:asciiTheme="minorHAnsi" w:eastAsiaTheme="minorHAnsi" w:hAnsiTheme="minorHAnsi" w:cstheme="minorBidi"/>
          <w:b w:val="0"/>
          <w:sz w:val="24"/>
          <w:szCs w:val="24"/>
        </w:rPr>
        <w:id w:val="-1757734677"/>
        <w:docPartObj>
          <w:docPartGallery w:val="Table of Contents"/>
          <w:docPartUnique/>
        </w:docPartObj>
      </w:sdtPr>
      <w:sdtEndPr/>
      <w:sdtContent>
        <w:p w14:paraId="673A270C" w14:textId="77777777" w:rsidR="002D2D73" w:rsidRDefault="00325E60">
          <w:pPr>
            <w:pStyle w:val="TOCHeading"/>
          </w:pPr>
          <w:r>
            <w:t>Table of contents</w:t>
          </w:r>
        </w:p>
        <w:p w14:paraId="3CF8D29F" w14:textId="77777777" w:rsidR="00325E60" w:rsidRDefault="00325E60">
          <w:pPr>
            <w:pStyle w:val="TOC1"/>
            <w:tabs>
              <w:tab w:val="right" w:leader="dot" w:pos="9350"/>
            </w:tabs>
            <w:rPr>
              <w:rFonts w:eastAsiaTheme="minorEastAsia"/>
              <w:noProof/>
              <w:kern w:val="2"/>
              <w:lang w:eastAsia="zh-TW"/>
              <w14:ligatures w14:val="standardContextual"/>
            </w:rPr>
          </w:pPr>
          <w:r>
            <w:fldChar w:fldCharType="begin"/>
          </w:r>
          <w:r>
            <w:instrText>TOC \o "1-2" \h \z \u</w:instrText>
          </w:r>
          <w:r>
            <w:fldChar w:fldCharType="separate"/>
          </w:r>
          <w:hyperlink w:anchor="_Toc182056739" w:history="1">
            <w:r w:rsidRPr="008A6069">
              <w:rPr>
                <w:rStyle w:val="Hyperlink"/>
                <w:noProof/>
              </w:rPr>
              <w:t>1. Introduction</w:t>
            </w:r>
            <w:r>
              <w:rPr>
                <w:noProof/>
                <w:webHidden/>
              </w:rPr>
              <w:tab/>
            </w:r>
            <w:r>
              <w:rPr>
                <w:noProof/>
                <w:webHidden/>
              </w:rPr>
              <w:fldChar w:fldCharType="begin"/>
            </w:r>
            <w:r>
              <w:rPr>
                <w:noProof/>
                <w:webHidden/>
              </w:rPr>
              <w:instrText xml:space="preserve"> PAGEREF _Toc182056739 \h </w:instrText>
            </w:r>
            <w:r>
              <w:rPr>
                <w:noProof/>
                <w:webHidden/>
              </w:rPr>
            </w:r>
            <w:r>
              <w:rPr>
                <w:noProof/>
                <w:webHidden/>
              </w:rPr>
              <w:fldChar w:fldCharType="separate"/>
            </w:r>
            <w:r>
              <w:rPr>
                <w:noProof/>
                <w:webHidden/>
              </w:rPr>
              <w:t>1</w:t>
            </w:r>
            <w:r>
              <w:rPr>
                <w:noProof/>
                <w:webHidden/>
              </w:rPr>
              <w:fldChar w:fldCharType="end"/>
            </w:r>
          </w:hyperlink>
        </w:p>
        <w:p w14:paraId="30B500BE" w14:textId="77777777" w:rsidR="00325E60" w:rsidRDefault="00325E60">
          <w:pPr>
            <w:pStyle w:val="TOC1"/>
            <w:tabs>
              <w:tab w:val="right" w:leader="dot" w:pos="9350"/>
            </w:tabs>
            <w:rPr>
              <w:rFonts w:eastAsiaTheme="minorEastAsia"/>
              <w:noProof/>
              <w:kern w:val="2"/>
              <w:lang w:eastAsia="zh-TW"/>
              <w14:ligatures w14:val="standardContextual"/>
            </w:rPr>
          </w:pPr>
          <w:hyperlink w:anchor="_Toc182056740" w:history="1">
            <w:r w:rsidRPr="008A6069">
              <w:rPr>
                <w:rStyle w:val="Hyperlink"/>
                <w:noProof/>
              </w:rPr>
              <w:t>2. Methods</w:t>
            </w:r>
            <w:r>
              <w:rPr>
                <w:noProof/>
                <w:webHidden/>
              </w:rPr>
              <w:tab/>
            </w:r>
            <w:r>
              <w:rPr>
                <w:noProof/>
                <w:webHidden/>
              </w:rPr>
              <w:fldChar w:fldCharType="begin"/>
            </w:r>
            <w:r>
              <w:rPr>
                <w:noProof/>
                <w:webHidden/>
              </w:rPr>
              <w:instrText xml:space="preserve"> PAGEREF _Toc182056740 \h </w:instrText>
            </w:r>
            <w:r>
              <w:rPr>
                <w:noProof/>
                <w:webHidden/>
              </w:rPr>
            </w:r>
            <w:r>
              <w:rPr>
                <w:noProof/>
                <w:webHidden/>
              </w:rPr>
              <w:fldChar w:fldCharType="separate"/>
            </w:r>
            <w:r>
              <w:rPr>
                <w:noProof/>
                <w:webHidden/>
              </w:rPr>
              <w:t>1</w:t>
            </w:r>
            <w:r>
              <w:rPr>
                <w:noProof/>
                <w:webHidden/>
              </w:rPr>
              <w:fldChar w:fldCharType="end"/>
            </w:r>
          </w:hyperlink>
        </w:p>
        <w:p w14:paraId="2AEA50D7" w14:textId="77777777" w:rsidR="00325E60" w:rsidRDefault="00325E60">
          <w:pPr>
            <w:pStyle w:val="TOC1"/>
            <w:tabs>
              <w:tab w:val="right" w:leader="dot" w:pos="9350"/>
            </w:tabs>
            <w:rPr>
              <w:rFonts w:eastAsiaTheme="minorEastAsia"/>
              <w:noProof/>
              <w:kern w:val="2"/>
              <w:lang w:eastAsia="zh-TW"/>
              <w14:ligatures w14:val="standardContextual"/>
            </w:rPr>
          </w:pPr>
          <w:hyperlink w:anchor="_Toc182056741" w:history="1">
            <w:r w:rsidRPr="008A6069">
              <w:rPr>
                <w:rStyle w:val="Hyperlink"/>
                <w:noProof/>
              </w:rPr>
              <w:t>3. Results</w:t>
            </w:r>
            <w:r>
              <w:rPr>
                <w:noProof/>
                <w:webHidden/>
              </w:rPr>
              <w:tab/>
            </w:r>
            <w:r>
              <w:rPr>
                <w:noProof/>
                <w:webHidden/>
              </w:rPr>
              <w:fldChar w:fldCharType="begin"/>
            </w:r>
            <w:r>
              <w:rPr>
                <w:noProof/>
                <w:webHidden/>
              </w:rPr>
              <w:instrText xml:space="preserve"> PAGEREF _Toc182056741 \h </w:instrText>
            </w:r>
            <w:r>
              <w:rPr>
                <w:noProof/>
                <w:webHidden/>
              </w:rPr>
            </w:r>
            <w:r>
              <w:rPr>
                <w:noProof/>
                <w:webHidden/>
              </w:rPr>
              <w:fldChar w:fldCharType="separate"/>
            </w:r>
            <w:r>
              <w:rPr>
                <w:noProof/>
                <w:webHidden/>
              </w:rPr>
              <w:t>2</w:t>
            </w:r>
            <w:r>
              <w:rPr>
                <w:noProof/>
                <w:webHidden/>
              </w:rPr>
              <w:fldChar w:fldCharType="end"/>
            </w:r>
          </w:hyperlink>
        </w:p>
        <w:p w14:paraId="7A2C1D72" w14:textId="77777777" w:rsidR="00325E60" w:rsidRDefault="00325E60">
          <w:pPr>
            <w:pStyle w:val="TOC1"/>
            <w:tabs>
              <w:tab w:val="right" w:leader="dot" w:pos="9350"/>
            </w:tabs>
            <w:rPr>
              <w:rFonts w:eastAsiaTheme="minorEastAsia"/>
              <w:noProof/>
              <w:kern w:val="2"/>
              <w:lang w:eastAsia="zh-TW"/>
              <w14:ligatures w14:val="standardContextual"/>
            </w:rPr>
          </w:pPr>
          <w:hyperlink w:anchor="_Toc182056742" w:history="1">
            <w:r w:rsidRPr="008A6069">
              <w:rPr>
                <w:rStyle w:val="Hyperlink"/>
                <w:noProof/>
              </w:rPr>
              <w:t>4. Conclusiones</w:t>
            </w:r>
            <w:r>
              <w:rPr>
                <w:noProof/>
                <w:webHidden/>
              </w:rPr>
              <w:tab/>
            </w:r>
            <w:r>
              <w:rPr>
                <w:noProof/>
                <w:webHidden/>
              </w:rPr>
              <w:fldChar w:fldCharType="begin"/>
            </w:r>
            <w:r>
              <w:rPr>
                <w:noProof/>
                <w:webHidden/>
              </w:rPr>
              <w:instrText xml:space="preserve"> PAGEREF _Toc182056742 \h </w:instrText>
            </w:r>
            <w:r>
              <w:rPr>
                <w:noProof/>
                <w:webHidden/>
              </w:rPr>
            </w:r>
            <w:r>
              <w:rPr>
                <w:noProof/>
                <w:webHidden/>
              </w:rPr>
              <w:fldChar w:fldCharType="separate"/>
            </w:r>
            <w:r>
              <w:rPr>
                <w:noProof/>
                <w:webHidden/>
              </w:rPr>
              <w:t>6</w:t>
            </w:r>
            <w:r>
              <w:rPr>
                <w:noProof/>
                <w:webHidden/>
              </w:rPr>
              <w:fldChar w:fldCharType="end"/>
            </w:r>
          </w:hyperlink>
        </w:p>
        <w:p w14:paraId="09729A59" w14:textId="77777777" w:rsidR="00325E60" w:rsidRDefault="00325E60">
          <w:pPr>
            <w:pStyle w:val="TOC1"/>
            <w:tabs>
              <w:tab w:val="right" w:leader="dot" w:pos="9350"/>
            </w:tabs>
            <w:rPr>
              <w:rFonts w:eastAsiaTheme="minorEastAsia"/>
              <w:noProof/>
              <w:kern w:val="2"/>
              <w:lang w:eastAsia="zh-TW"/>
              <w14:ligatures w14:val="standardContextual"/>
            </w:rPr>
          </w:pPr>
          <w:hyperlink w:anchor="_Toc182056743" w:history="1">
            <w:r w:rsidRPr="008A6069">
              <w:rPr>
                <w:rStyle w:val="Hyperlink"/>
                <w:noProof/>
              </w:rPr>
              <w:t>5. Referencias</w:t>
            </w:r>
            <w:r>
              <w:rPr>
                <w:noProof/>
                <w:webHidden/>
              </w:rPr>
              <w:tab/>
            </w:r>
            <w:r>
              <w:rPr>
                <w:noProof/>
                <w:webHidden/>
              </w:rPr>
              <w:fldChar w:fldCharType="begin"/>
            </w:r>
            <w:r>
              <w:rPr>
                <w:noProof/>
                <w:webHidden/>
              </w:rPr>
              <w:instrText xml:space="preserve"> PAGEREF _Toc182056743 \h </w:instrText>
            </w:r>
            <w:r>
              <w:rPr>
                <w:noProof/>
                <w:webHidden/>
              </w:rPr>
            </w:r>
            <w:r>
              <w:rPr>
                <w:noProof/>
                <w:webHidden/>
              </w:rPr>
              <w:fldChar w:fldCharType="separate"/>
            </w:r>
            <w:r>
              <w:rPr>
                <w:noProof/>
                <w:webHidden/>
              </w:rPr>
              <w:t>6</w:t>
            </w:r>
            <w:r>
              <w:rPr>
                <w:noProof/>
                <w:webHidden/>
              </w:rPr>
              <w:fldChar w:fldCharType="end"/>
            </w:r>
          </w:hyperlink>
        </w:p>
        <w:p w14:paraId="0C980C98" w14:textId="77777777" w:rsidR="002D2D73" w:rsidRDefault="00325E60">
          <w:r>
            <w:fldChar w:fldCharType="end"/>
          </w:r>
        </w:p>
      </w:sdtContent>
    </w:sdt>
    <w:p w14:paraId="4027E8E7" w14:textId="77777777" w:rsidR="002D2D73" w:rsidRDefault="00325E60">
      <w:pPr>
        <w:pStyle w:val="Heading1"/>
      </w:pPr>
      <w:bookmarkStart w:id="0" w:name="introduction"/>
      <w:bookmarkStart w:id="1" w:name="_Toc182056739"/>
      <w:r>
        <w:t>1. Introduction</w:t>
      </w:r>
      <w:bookmarkEnd w:id="1"/>
    </w:p>
    <w:p w14:paraId="561EBCE9" w14:textId="77777777" w:rsidR="002D2D73" w:rsidRDefault="00325E60">
      <w:pPr>
        <w:pStyle w:val="FirstParagraph"/>
      </w:pPr>
      <w:r>
        <w:t>…</w:t>
      </w:r>
    </w:p>
    <w:p w14:paraId="74420C0F" w14:textId="77777777" w:rsidR="002D2D73" w:rsidRDefault="00325E60">
      <w:pPr>
        <w:pStyle w:val="Heading1"/>
      </w:pPr>
      <w:bookmarkStart w:id="2" w:name="sec-metod"/>
      <w:bookmarkStart w:id="3" w:name="_Toc182056740"/>
      <w:bookmarkEnd w:id="0"/>
      <w:r>
        <w:t>2. Methods</w:t>
      </w:r>
      <w:bookmarkEnd w:id="3"/>
    </w:p>
    <w:p w14:paraId="24D59E5A" w14:textId="77777777" w:rsidR="002D2D73" w:rsidRDefault="00325E60">
      <w:pPr>
        <w:numPr>
          <w:ilvl w:val="0"/>
          <w:numId w:val="3"/>
        </w:numPr>
      </w:pPr>
      <w:r>
        <w:t xml:space="preserve">The explanatory variables, FA and TRI, are transformed logarithmically to address their asymmetry, specifically as </w:t>
      </w:r>
      <m:oMath>
        <m:d>
          <m:dPr>
            <m:ctrlPr>
              <w:rPr>
                <w:rFonts w:ascii="Cambria Math" w:hAnsi="Cambria Math"/>
              </w:rPr>
            </m:ctrlPr>
          </m:dPr>
          <m:e>
            <m:r>
              <w:rPr>
                <w:rFonts w:ascii="Cambria Math" w:hAnsi="Cambria Math"/>
              </w:rPr>
              <m:t>log</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0.1</m:t>
                </m:r>
              </m:e>
            </m:d>
          </m:e>
        </m:d>
      </m:oMath>
      <w:r>
        <w:t>. Subsequently, all covariates (DAH, logFA, LST, logLSF, SLOPE, logTRI, TWI, WE, and WExpo) are scaled using z-scores to allow for comparison of their standardized contributions.</w:t>
      </w:r>
    </w:p>
    <w:p w14:paraId="3228A2C3" w14:textId="77777777" w:rsidR="002D2D73" w:rsidRDefault="00325E60">
      <w:pPr>
        <w:numPr>
          <w:ilvl w:val="0"/>
          <w:numId w:val="3"/>
        </w:numPr>
      </w:pPr>
      <w:r>
        <w:t>In total, 60484 centroids are divided into two datasets: a training set comprising 70% (42213 centroids) and a testing set comprising 30% (18271 centroids) to validate the model fit.</w:t>
      </w:r>
    </w:p>
    <w:p w14:paraId="5BF8D1EE" w14:textId="77777777" w:rsidR="002D2D73" w:rsidRDefault="00325E60">
      <w:pPr>
        <w:numPr>
          <w:ilvl w:val="0"/>
          <w:numId w:val="3"/>
        </w:numPr>
      </w:pPr>
      <w:r>
        <w:t>The goal is to model a count variable (INC), which ranges from 0 to 6 and has a high percentage of zeros (</w:t>
      </w:r>
      <m:oMath>
        <m:r>
          <w:rPr>
            <w:rFonts w:ascii="Cambria Math" w:hAnsi="Cambria Math"/>
          </w:rPr>
          <m:t>74.8</m:t>
        </m:r>
      </m:oMath>
      <w:r>
        <w:t xml:space="preserve">). Therefore, zero-inflated count regression models are considered. These models are special cases within a flexible statistical framework called Generalized Additive Models for Location Scale and Shape (GAMLSS), and the statistical analysis was conducted in R (R Core Team 2023) with the package </w:t>
      </w:r>
      <w:r>
        <w:rPr>
          <w:rStyle w:val="VerbatimChar"/>
        </w:rPr>
        <w:t>gamlss</w:t>
      </w:r>
      <w:r>
        <w:t xml:space="preserve"> (R. A. Rigby and D. M. Stasinopoulos 2005).</w:t>
      </w:r>
    </w:p>
    <w:p w14:paraId="739A6F0D" w14:textId="77777777" w:rsidR="002D2D73" w:rsidRDefault="00325E60">
      <w:pPr>
        <w:numPr>
          <w:ilvl w:val="0"/>
          <w:numId w:val="3"/>
        </w:numPr>
      </w:pPr>
      <w:r>
        <w:t>Essentially, the count regression models described above are represented by three-parameter GAMLSS models:</w:t>
      </w:r>
    </w:p>
    <w:bookmarkStart w:id="4" w:name="eq-gamlss"/>
    <w:p w14:paraId="06A32C87" w14:textId="77777777" w:rsidR="002D2D73" w:rsidRDefault="00325E60">
      <w:pPr>
        <w:pStyle w:val="FirstParagraph"/>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IN</m:t>
                </m:r>
                <m:sSub>
                  <m:sSubPr>
                    <m:ctrlPr>
                      <w:rPr>
                        <w:rFonts w:ascii="Cambria Math" w:hAnsi="Cambria Math"/>
                      </w:rPr>
                    </m:ctrlPr>
                  </m:sSubPr>
                  <m:e>
                    <m:r>
                      <w:rPr>
                        <w:rFonts w:ascii="Cambria Math" w:hAnsi="Cambria Math"/>
                      </w:rPr>
                      <m:t>C</m:t>
                    </m:r>
                  </m:e>
                  <m:sub>
                    <m:r>
                      <w:rPr>
                        <w:rFonts w:ascii="Cambria Math" w:hAnsi="Cambria Math"/>
                      </w:rPr>
                      <m:t>i</m:t>
                    </m:r>
                  </m:sub>
                </m:sSub>
              </m:e>
              <m:e>
                <m:limUpp>
                  <m:limUppPr>
                    <m:ctrlPr>
                      <w:rPr>
                        <w:rFonts w:ascii="Cambria Math" w:hAnsi="Cambria Math"/>
                      </w:rPr>
                    </m:ctrlPr>
                  </m:limUppPr>
                  <m:e>
                    <m:r>
                      <m:rPr>
                        <m:sty m:val="p"/>
                      </m:rPr>
                      <w:rPr>
                        <w:rFonts w:ascii="Cambria Math" w:hAnsi="Cambria Math"/>
                      </w:rPr>
                      <m:t>∼</m:t>
                    </m:r>
                  </m:e>
                  <m:lim>
                    <m:r>
                      <w:rPr>
                        <w:rFonts w:ascii="Cambria Math" w:hAnsi="Cambria Math"/>
                      </w:rPr>
                      <m:t>ind</m:t>
                    </m:r>
                  </m:lim>
                </m:limUpp>
                <m:r>
                  <m:rPr>
                    <m:scr m:val="script"/>
                    <m:sty m:val="p"/>
                  </m:rPr>
                  <w:rPr>
                    <w:rFonts w:ascii="Cambria Math" w:hAnsi="Cambria Math"/>
                  </w:rPr>
                  <m:t>D</m:t>
                </m:r>
                <m:d>
                  <m:dPr>
                    <m:ctrlPr>
                      <w:rPr>
                        <w:rFonts w:ascii="Cambria Math" w:hAnsi="Cambria Math"/>
                      </w:rPr>
                    </m:ctrlPr>
                  </m:dPr>
                  <m:e>
                    <m:r>
                      <w:rPr>
                        <w:rFonts w:ascii="Cambria Math" w:hAnsi="Cambria Math"/>
                      </w:rPr>
                      <m:t>μ</m:t>
                    </m:r>
                    <m:r>
                      <m:rPr>
                        <m:sty m:val="p"/>
                      </m:rPr>
                      <w:rPr>
                        <w:rFonts w:ascii="Cambria Math" w:hAnsi="Cambria Math"/>
                      </w:rPr>
                      <m:t>,</m:t>
                    </m:r>
                    <m:r>
                      <w:rPr>
                        <w:rFonts w:ascii="Cambria Math" w:hAnsi="Cambria Math"/>
                      </w:rPr>
                      <m:t>σ</m:t>
                    </m:r>
                    <m:r>
                      <m:rPr>
                        <m:sty m:val="p"/>
                      </m:rPr>
                      <w:rPr>
                        <w:rFonts w:ascii="Cambria Math" w:hAnsi="Cambria Math"/>
                      </w:rPr>
                      <m:t>,</m:t>
                    </m:r>
                    <m:r>
                      <w:rPr>
                        <w:rFonts w:ascii="Cambria Math" w:hAnsi="Cambria Math"/>
                      </w:rPr>
                      <m:t>ν</m:t>
                    </m:r>
                  </m:e>
                </m:d>
              </m:e>
            </m:mr>
            <m:mr>
              <m:e>
                <m:sSub>
                  <m:sSubPr>
                    <m:ctrlPr>
                      <w:rPr>
                        <w:rFonts w:ascii="Cambria Math" w:hAnsi="Cambria Math"/>
                      </w:rPr>
                    </m:ctrlPr>
                  </m:sSubPr>
                  <m:e>
                    <m:r>
                      <w:rPr>
                        <w:rFonts w:ascii="Cambria Math" w:hAnsi="Cambria Math"/>
                      </w:rPr>
                      <m:t>g</m:t>
                    </m:r>
                  </m:e>
                  <m:sub>
                    <m:r>
                      <w:rPr>
                        <w:rFonts w:ascii="Cambria Math" w:hAnsi="Cambria Math"/>
                      </w:rPr>
                      <m:t>1</m:t>
                    </m:r>
                  </m:sub>
                </m:sSub>
                <m:d>
                  <m:dPr>
                    <m:ctrlPr>
                      <w:rPr>
                        <w:rFonts w:ascii="Cambria Math" w:hAnsi="Cambria Math"/>
                      </w:rPr>
                    </m:ctrlPr>
                  </m:dPr>
                  <m:e>
                    <m:r>
                      <w:rPr>
                        <w:rFonts w:ascii="Cambria Math" w:hAnsi="Cambria Math"/>
                      </w:rPr>
                      <m:t>μ</m:t>
                    </m:r>
                  </m:e>
                </m:d>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11</m:t>
                    </m:r>
                  </m:sub>
                </m:sSub>
                <m:r>
                  <w:rPr>
                    <w:rFonts w:ascii="Cambria Math" w:hAnsi="Cambria Math"/>
                  </w:rPr>
                  <m:t>DAH</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12</m:t>
                    </m:r>
                  </m:sub>
                </m:sSub>
                <m:r>
                  <w:rPr>
                    <w:rFonts w:ascii="Cambria Math" w:hAnsi="Cambria Math"/>
                  </w:rPr>
                  <m:t>logFA</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13</m:t>
                    </m:r>
                  </m:sub>
                </m:sSub>
                <m:r>
                  <w:rPr>
                    <w:rFonts w:ascii="Cambria Math" w:hAnsi="Cambria Math"/>
                  </w:rPr>
                  <m:t>LST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14</m:t>
                    </m:r>
                  </m:sub>
                </m:sSub>
                <m:r>
                  <w:rPr>
                    <w:rFonts w:ascii="Cambria Math" w:hAnsi="Cambria Math"/>
                  </w:rPr>
                  <m:t>logLSF</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15</m:t>
                    </m:r>
                  </m:sub>
                </m:sSub>
                <m:r>
                  <w:rPr>
                    <w:rFonts w:ascii="Cambria Math" w:hAnsi="Cambria Math"/>
                  </w:rPr>
                  <m:t>SLOPE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16</m:t>
                    </m:r>
                  </m:sub>
                </m:sSub>
                <m:r>
                  <w:rPr>
                    <w:rFonts w:ascii="Cambria Math" w:hAnsi="Cambria Math"/>
                  </w:rPr>
                  <m:t>logTRI</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17</m:t>
                    </m:r>
                  </m:sub>
                </m:sSub>
                <m:r>
                  <w:rPr>
                    <w:rFonts w:ascii="Cambria Math" w:hAnsi="Cambria Math"/>
                  </w:rPr>
                  <m:t>TWI</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18</m:t>
                    </m:r>
                  </m:sub>
                </m:sSub>
                <m:r>
                  <w:rPr>
                    <w:rFonts w:ascii="Cambria Math" w:hAnsi="Cambria Math"/>
                  </w:rPr>
                  <m:t>WE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19</m:t>
                    </m:r>
                  </m:sub>
                </m:sSub>
                <m:r>
                  <w:rPr>
                    <w:rFonts w:ascii="Cambria Math" w:hAnsi="Cambria Math"/>
                  </w:rPr>
                  <m:t>WExpo</m:t>
                </m:r>
              </m:e>
            </m:mr>
            <m:mr>
              <m:e>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w:rPr>
                        <w:rFonts w:ascii="Cambria Math" w:hAnsi="Cambria Math"/>
                      </w:rPr>
                      <m:t>σ</m:t>
                    </m:r>
                  </m:e>
                </m:d>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21</m:t>
                    </m:r>
                  </m:sub>
                </m:sSub>
                <m:r>
                  <w:rPr>
                    <w:rFonts w:ascii="Cambria Math" w:hAnsi="Cambria Math"/>
                  </w:rPr>
                  <m:t>DAH</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22</m:t>
                    </m:r>
                  </m:sub>
                </m:sSub>
                <m:r>
                  <w:rPr>
                    <w:rFonts w:ascii="Cambria Math" w:hAnsi="Cambria Math"/>
                  </w:rPr>
                  <m:t>logFA</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23</m:t>
                    </m:r>
                  </m:sub>
                </m:sSub>
                <m:r>
                  <w:rPr>
                    <w:rFonts w:ascii="Cambria Math" w:hAnsi="Cambria Math"/>
                  </w:rPr>
                  <m:t>LST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24</m:t>
                    </m:r>
                  </m:sub>
                </m:sSub>
                <m:r>
                  <w:rPr>
                    <w:rFonts w:ascii="Cambria Math" w:hAnsi="Cambria Math"/>
                  </w:rPr>
                  <m:t>lo</m:t>
                </m:r>
                <m:r>
                  <w:rPr>
                    <w:rFonts w:ascii="Cambria Math" w:hAnsi="Cambria Math"/>
                  </w:rPr>
                  <m:t>gLSF</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25</m:t>
                    </m:r>
                  </m:sub>
                </m:sSub>
                <m:r>
                  <w:rPr>
                    <w:rFonts w:ascii="Cambria Math" w:hAnsi="Cambria Math"/>
                  </w:rPr>
                  <m:t>SLOPE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26</m:t>
                    </m:r>
                  </m:sub>
                </m:sSub>
                <m:r>
                  <w:rPr>
                    <w:rFonts w:ascii="Cambria Math" w:hAnsi="Cambria Math"/>
                  </w:rPr>
                  <m:t>logTRI</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27</m:t>
                    </m:r>
                  </m:sub>
                </m:sSub>
                <m:r>
                  <w:rPr>
                    <w:rFonts w:ascii="Cambria Math" w:hAnsi="Cambria Math"/>
                  </w:rPr>
                  <m:t>TWI</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28</m:t>
                    </m:r>
                  </m:sub>
                </m:sSub>
                <m:r>
                  <w:rPr>
                    <w:rFonts w:ascii="Cambria Math" w:hAnsi="Cambria Math"/>
                  </w:rPr>
                  <m:t>WE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29</m:t>
                    </m:r>
                  </m:sub>
                </m:sSub>
                <m:r>
                  <w:rPr>
                    <w:rFonts w:ascii="Cambria Math" w:hAnsi="Cambria Math"/>
                  </w:rPr>
                  <m:t>WExpo</m:t>
                </m:r>
              </m:e>
            </m:mr>
            <m:mr>
              <m:e>
                <m:sSub>
                  <m:sSubPr>
                    <m:ctrlPr>
                      <w:rPr>
                        <w:rFonts w:ascii="Cambria Math" w:hAnsi="Cambria Math"/>
                      </w:rPr>
                    </m:ctrlPr>
                  </m:sSubPr>
                  <m:e>
                    <m:r>
                      <w:rPr>
                        <w:rFonts w:ascii="Cambria Math" w:hAnsi="Cambria Math"/>
                      </w:rPr>
                      <m:t>g</m:t>
                    </m:r>
                  </m:e>
                  <m:sub>
                    <m:r>
                      <w:rPr>
                        <w:rFonts w:ascii="Cambria Math" w:hAnsi="Cambria Math"/>
                      </w:rPr>
                      <m:t>3</m:t>
                    </m:r>
                  </m:sub>
                </m:sSub>
                <m:d>
                  <m:dPr>
                    <m:ctrlPr>
                      <w:rPr>
                        <w:rFonts w:ascii="Cambria Math" w:hAnsi="Cambria Math"/>
                      </w:rPr>
                    </m:ctrlPr>
                  </m:dPr>
                  <m:e>
                    <m:r>
                      <w:rPr>
                        <w:rFonts w:ascii="Cambria Math" w:hAnsi="Cambria Math"/>
                      </w:rPr>
                      <m:t>ν</m:t>
                    </m:r>
                  </m:e>
                </m:d>
              </m:e>
              <m:e>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31</m:t>
                    </m:r>
                  </m:sub>
                </m:sSub>
                <m:r>
                  <w:rPr>
                    <w:rFonts w:ascii="Cambria Math" w:hAnsi="Cambria Math"/>
                  </w:rPr>
                  <m:t>DAH</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32</m:t>
                    </m:r>
                  </m:sub>
                </m:sSub>
                <m:r>
                  <w:rPr>
                    <w:rFonts w:ascii="Cambria Math" w:hAnsi="Cambria Math"/>
                  </w:rPr>
                  <m:t>logFA</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33</m:t>
                    </m:r>
                  </m:sub>
                </m:sSub>
                <m:r>
                  <w:rPr>
                    <w:rFonts w:ascii="Cambria Math" w:hAnsi="Cambria Math"/>
                  </w:rPr>
                  <m:t>LST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34</m:t>
                    </m:r>
                  </m:sub>
                </m:sSub>
                <m:r>
                  <w:rPr>
                    <w:rFonts w:ascii="Cambria Math" w:hAnsi="Cambria Math"/>
                  </w:rPr>
                  <m:t>logLSF</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35</m:t>
                    </m:r>
                  </m:sub>
                </m:sSub>
                <m:r>
                  <w:rPr>
                    <w:rFonts w:ascii="Cambria Math" w:hAnsi="Cambria Math"/>
                  </w:rPr>
                  <m:t>SLOPE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36</m:t>
                    </m:r>
                  </m:sub>
                </m:sSub>
                <m:r>
                  <w:rPr>
                    <w:rFonts w:ascii="Cambria Math" w:hAnsi="Cambria Math"/>
                  </w:rPr>
                  <m:t>logTRI</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37</m:t>
                    </m:r>
                  </m:sub>
                </m:sSub>
                <m:r>
                  <w:rPr>
                    <w:rFonts w:ascii="Cambria Math" w:hAnsi="Cambria Math"/>
                  </w:rPr>
                  <m:t>TWI</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38</m:t>
                    </m:r>
                  </m:sub>
                </m:sSub>
                <m:r>
                  <w:rPr>
                    <w:rFonts w:ascii="Cambria Math" w:hAnsi="Cambria Math"/>
                  </w:rPr>
                  <m:t>WE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39</m:t>
                    </m:r>
                  </m:sub>
                </m:sSub>
                <m:r>
                  <w:rPr>
                    <w:rFonts w:ascii="Cambria Math" w:hAnsi="Cambria Math"/>
                  </w:rPr>
                  <m:t>WExpo</m:t>
                </m:r>
              </m:e>
            </m:mr>
          </m:m>
          <m:r>
            <w:rPr>
              <w:rFonts w:ascii="Cambria Math" w:hAnsi="Cambria Math"/>
            </w:rPr>
            <m:t>  </m:t>
          </m:r>
          <m:d>
            <m:dPr>
              <m:ctrlPr>
                <w:rPr>
                  <w:rFonts w:ascii="Cambria Math" w:hAnsi="Cambria Math"/>
                </w:rPr>
              </m:ctrlPr>
            </m:dPr>
            <m:e>
              <m:r>
                <w:rPr>
                  <w:rFonts w:ascii="Cambria Math" w:hAnsi="Cambria Math"/>
                </w:rPr>
                <m:t>1</m:t>
              </m:r>
            </m:e>
          </m:d>
        </m:oMath>
      </m:oMathPara>
      <w:bookmarkEnd w:id="4"/>
    </w:p>
    <w:p w14:paraId="3CEFF29D" w14:textId="77777777" w:rsidR="002D2D73" w:rsidRDefault="00325E60">
      <w:pPr>
        <w:pStyle w:val="FirstParagraph"/>
      </w:pPr>
      <w:r>
        <w:t xml:space="preserve">The response variable INC is distributed as a two-parameter or three-parameter distribution </w:t>
      </w:r>
      <m:oMath>
        <m:r>
          <m:rPr>
            <m:scr m:val="script"/>
            <m:sty m:val="p"/>
          </m:rPr>
          <w:rPr>
            <w:rFonts w:ascii="Cambria Math" w:hAnsi="Cambria Math"/>
          </w:rPr>
          <m:t>D</m:t>
        </m:r>
      </m:oMath>
      <w:r>
        <w:t>: the location or mean (</w:t>
      </w:r>
      <m:oMath>
        <m:r>
          <w:rPr>
            <w:rFonts w:ascii="Cambria Math" w:hAnsi="Cambria Math"/>
          </w:rPr>
          <m:t>μ</m:t>
        </m:r>
      </m:oMath>
      <w:r>
        <w:t>), the scale (</w:t>
      </w:r>
      <m:oMath>
        <m:r>
          <w:rPr>
            <w:rFonts w:ascii="Cambria Math" w:hAnsi="Cambria Math"/>
          </w:rPr>
          <m:t>σ</m:t>
        </m:r>
      </m:oMath>
      <w:r>
        <w:t>), and a parameter related to the skewness of the distribution (</w:t>
      </w:r>
      <m:oMath>
        <m:r>
          <w:rPr>
            <w:rFonts w:ascii="Cambria Math" w:hAnsi="Cambria Math"/>
          </w:rPr>
          <m:t>ν</m:t>
        </m:r>
      </m:oMath>
      <w:r>
        <w:t>), as well as the link functions (</w:t>
      </w:r>
      <m:oMath>
        <m:sSub>
          <m:sSubPr>
            <m:ctrlPr>
              <w:rPr>
                <w:rFonts w:ascii="Cambria Math" w:hAnsi="Cambria Math"/>
              </w:rPr>
            </m:ctrlPr>
          </m:sSubPr>
          <m:e>
            <m:r>
              <w:rPr>
                <w:rFonts w:ascii="Cambria Math" w:hAnsi="Cambria Math"/>
              </w:rPr>
              <m:t>g</m:t>
            </m:r>
          </m:e>
          <m:sub>
            <m:r>
              <w:rPr>
                <w:rFonts w:ascii="Cambria Math" w:hAnsi="Cambria Math"/>
              </w:rPr>
              <m:t>i</m:t>
            </m:r>
          </m:sub>
        </m:sSub>
      </m:oMath>
      <w:r>
        <w:t xml:space="preserve"> for </w:t>
      </w:r>
      <m:oMath>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3</m:t>
        </m:r>
      </m:oMath>
      <w:r>
        <w:t>) for each parameter.</w:t>
      </w:r>
    </w:p>
    <w:p w14:paraId="5C3B3405" w14:textId="77777777" w:rsidR="002D2D73" w:rsidRDefault="00325E60">
      <w:pPr>
        <w:pStyle w:val="BodyText"/>
      </w:pPr>
      <w:r>
        <w:t xml:space="preserve">Regarding to the specification of </w:t>
      </w:r>
      <m:oMath>
        <m:r>
          <m:rPr>
            <m:scr m:val="script"/>
            <m:sty m:val="p"/>
          </m:rPr>
          <w:rPr>
            <w:rFonts w:ascii="Cambria Math" w:hAnsi="Cambria Math"/>
          </w:rPr>
          <m:t>D</m:t>
        </m:r>
      </m:oMath>
      <w:r>
        <w:t xml:space="preserve">, the Poisson regression model (PO) includes only one parameter </w:t>
      </w:r>
      <m:oMath>
        <m:r>
          <w:rPr>
            <w:rFonts w:ascii="Cambria Math" w:hAnsi="Cambria Math"/>
          </w:rPr>
          <m:t>μ</m:t>
        </m:r>
      </m:oMath>
      <w:r>
        <w:t xml:space="preserve"> with link function </w:t>
      </w:r>
      <m:oMath>
        <m:sSub>
          <m:sSubPr>
            <m:ctrlPr>
              <w:rPr>
                <w:rFonts w:ascii="Cambria Math" w:hAnsi="Cambria Math"/>
              </w:rPr>
            </m:ctrlPr>
          </m:sSubPr>
          <m:e>
            <m:r>
              <w:rPr>
                <w:rFonts w:ascii="Cambria Math" w:hAnsi="Cambria Math"/>
              </w:rPr>
              <m:t>g</m:t>
            </m:r>
          </m:e>
          <m:sub>
            <m:r>
              <w:rPr>
                <w:rFonts w:ascii="Cambria Math" w:hAnsi="Cambria Math"/>
              </w:rPr>
              <m:t>1</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log</m:t>
        </m:r>
        <m:d>
          <m:dPr>
            <m:ctrlPr>
              <w:rPr>
                <w:rFonts w:ascii="Cambria Math" w:hAnsi="Cambria Math"/>
              </w:rPr>
            </m:ctrlPr>
          </m:dPr>
          <m:e>
            <m:r>
              <m:rPr>
                <m:sty m:val="p"/>
              </m:rPr>
              <w:rPr>
                <w:rFonts w:ascii="Cambria Math" w:hAnsi="Cambria Math"/>
              </w:rPr>
              <m:t>⋅</m:t>
            </m:r>
          </m:e>
        </m:d>
      </m:oMath>
      <w:r>
        <w:t xml:space="preserve">. Then, Negative Binomial model (NB) fits two parameters </w:t>
      </w:r>
      <m:oMath>
        <m:r>
          <w:rPr>
            <w:rFonts w:ascii="Cambria Math" w:hAnsi="Cambria Math"/>
          </w:rPr>
          <m:t>μ</m:t>
        </m:r>
      </m:oMath>
      <w:r>
        <w:t xml:space="preserve"> and </w:t>
      </w:r>
      <m:oMath>
        <m:r>
          <w:rPr>
            <w:rFonts w:ascii="Cambria Math" w:hAnsi="Cambria Math"/>
          </w:rPr>
          <m:t>σ</m:t>
        </m:r>
      </m:oMath>
      <w:r>
        <w:t xml:space="preserve">, with link functions </w:t>
      </w:r>
      <m:oMath>
        <m:sSub>
          <m:sSubPr>
            <m:ctrlPr>
              <w:rPr>
                <w:rFonts w:ascii="Cambria Math" w:hAnsi="Cambria Math"/>
              </w:rPr>
            </m:ctrlPr>
          </m:sSubPr>
          <m:e>
            <m:r>
              <w:rPr>
                <w:rFonts w:ascii="Cambria Math" w:hAnsi="Cambria Math"/>
              </w:rPr>
              <m:t>g</m:t>
            </m:r>
          </m:e>
          <m:sub>
            <m:r>
              <w:rPr>
                <w:rFonts w:ascii="Cambria Math" w:hAnsi="Cambria Math"/>
              </w:rPr>
              <m:t>1</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log</m:t>
        </m:r>
        <m:d>
          <m:dPr>
            <m:ctrlPr>
              <w:rPr>
                <w:rFonts w:ascii="Cambria Math" w:hAnsi="Cambria Math"/>
              </w:rPr>
            </m:ctrlPr>
          </m:dPr>
          <m:e>
            <m:r>
              <m:rPr>
                <m:sty m:val="p"/>
              </m:rPr>
              <w:rPr>
                <w:rFonts w:ascii="Cambria Math" w:hAnsi="Cambria Math"/>
              </w:rPr>
              <m:t>⋅</m:t>
            </m:r>
          </m:e>
        </m:d>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log</m:t>
        </m:r>
        <m:d>
          <m:dPr>
            <m:ctrlPr>
              <w:rPr>
                <w:rFonts w:ascii="Cambria Math" w:hAnsi="Cambria Math"/>
              </w:rPr>
            </m:ctrlPr>
          </m:dPr>
          <m:e>
            <m:r>
              <m:rPr>
                <m:sty m:val="p"/>
              </m:rPr>
              <w:rPr>
                <w:rFonts w:ascii="Cambria Math" w:hAnsi="Cambria Math"/>
              </w:rPr>
              <m:t>⋅</m:t>
            </m:r>
          </m:e>
        </m:d>
      </m:oMath>
      <w:r>
        <w:t xml:space="preserve">. Similarly, the zero-inflated Poisson (ZIP) also includes two parameters but with </w:t>
      </w:r>
      <m:oMath>
        <m:sSub>
          <m:sSubPr>
            <m:ctrlPr>
              <w:rPr>
                <w:rFonts w:ascii="Cambria Math" w:hAnsi="Cambria Math"/>
              </w:rPr>
            </m:ctrlPr>
          </m:sSubPr>
          <m:e>
            <m:r>
              <w:rPr>
                <w:rFonts w:ascii="Cambria Math" w:hAnsi="Cambria Math"/>
              </w:rPr>
              <m:t>g</m:t>
            </m:r>
          </m:e>
          <m:sub>
            <m:r>
              <w:rPr>
                <w:rFonts w:ascii="Cambria Math" w:hAnsi="Cambria Math"/>
              </w:rPr>
              <m:t>1</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log</m:t>
        </m:r>
        <m:d>
          <m:dPr>
            <m:ctrlPr>
              <w:rPr>
                <w:rFonts w:ascii="Cambria Math" w:hAnsi="Cambria Math"/>
              </w:rPr>
            </m:ctrlPr>
          </m:dPr>
          <m:e>
            <m:r>
              <m:rPr>
                <m:sty m:val="p"/>
              </m:rPr>
              <w:rPr>
                <w:rFonts w:ascii="Cambria Math" w:hAnsi="Cambria Math"/>
              </w:rPr>
              <m:t>⋅</m:t>
            </m:r>
          </m:e>
        </m:d>
      </m:oMath>
      <w:r>
        <w:t xml:space="preserve">, </w:t>
      </w:r>
      <m:oMath>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logit</m:t>
        </m:r>
        <m:d>
          <m:dPr>
            <m:ctrlPr>
              <w:rPr>
                <w:rFonts w:ascii="Cambria Math" w:hAnsi="Cambria Math"/>
              </w:rPr>
            </m:ctrlPr>
          </m:dPr>
          <m:e>
            <m:r>
              <m:rPr>
                <m:sty m:val="p"/>
              </m:rPr>
              <w:rPr>
                <w:rFonts w:ascii="Cambria Math" w:hAnsi="Cambria Math"/>
              </w:rPr>
              <m:t>⋅</m:t>
            </m:r>
          </m:e>
        </m:d>
      </m:oMath>
      <w:r>
        <w:t xml:space="preserve">. Finally, the zero-inflated Negative Binomial model (ZINB) fits three parameters with </w:t>
      </w:r>
      <m:oMath>
        <m:sSub>
          <m:sSubPr>
            <m:ctrlPr>
              <w:rPr>
                <w:rFonts w:ascii="Cambria Math" w:hAnsi="Cambria Math"/>
              </w:rPr>
            </m:ctrlPr>
          </m:sSubPr>
          <m:e>
            <m:r>
              <w:rPr>
                <w:rFonts w:ascii="Cambria Math" w:hAnsi="Cambria Math"/>
              </w:rPr>
              <m:t>g</m:t>
            </m:r>
          </m:e>
          <m:sub>
            <m:r>
              <w:rPr>
                <w:rFonts w:ascii="Cambria Math" w:hAnsi="Cambria Math"/>
              </w:rPr>
              <m:t>1</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log</m:t>
        </m:r>
        <m:d>
          <m:dPr>
            <m:ctrlPr>
              <w:rPr>
                <w:rFonts w:ascii="Cambria Math" w:hAnsi="Cambria Math"/>
              </w:rPr>
            </m:ctrlPr>
          </m:dPr>
          <m:e>
            <m:r>
              <m:rPr>
                <m:sty m:val="p"/>
              </m:rPr>
              <w:rPr>
                <w:rFonts w:ascii="Cambria Math" w:hAnsi="Cambria Math"/>
              </w:rPr>
              <m:t>⋅</m:t>
            </m:r>
          </m:e>
        </m:d>
      </m:oMath>
      <w:r>
        <w:t xml:space="preserve">, </w:t>
      </w:r>
      <m:oMath>
        <m:sSub>
          <m:sSubPr>
            <m:ctrlPr>
              <w:rPr>
                <w:rFonts w:ascii="Cambria Math" w:hAnsi="Cambria Math"/>
              </w:rPr>
            </m:ctrlPr>
          </m:sSubPr>
          <m:e>
            <m:r>
              <w:rPr>
                <w:rFonts w:ascii="Cambria Math" w:hAnsi="Cambria Math"/>
              </w:rPr>
              <m:t>g</m:t>
            </m:r>
          </m:e>
          <m:sub>
            <m:r>
              <w:rPr>
                <w:rFonts w:ascii="Cambria Math" w:hAnsi="Cambria Math"/>
              </w:rPr>
              <m:t>2</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logit</m:t>
        </m:r>
        <m:d>
          <m:dPr>
            <m:ctrlPr>
              <w:rPr>
                <w:rFonts w:ascii="Cambria Math" w:hAnsi="Cambria Math"/>
              </w:rPr>
            </m:ctrlPr>
          </m:dPr>
          <m:e>
            <m:r>
              <m:rPr>
                <m:sty m:val="p"/>
              </m:rPr>
              <w:rPr>
                <w:rFonts w:ascii="Cambria Math" w:hAnsi="Cambria Math"/>
              </w:rPr>
              <m:t>⋅</m:t>
            </m:r>
          </m:e>
        </m:d>
      </m:oMath>
      <w:r>
        <w:t xml:space="preserve"> and </w:t>
      </w:r>
      <m:oMath>
        <m:sSub>
          <m:sSubPr>
            <m:ctrlPr>
              <w:rPr>
                <w:rFonts w:ascii="Cambria Math" w:hAnsi="Cambria Math"/>
              </w:rPr>
            </m:ctrlPr>
          </m:sSubPr>
          <m:e>
            <m:r>
              <w:rPr>
                <w:rFonts w:ascii="Cambria Math" w:hAnsi="Cambria Math"/>
              </w:rPr>
              <m:t>g</m:t>
            </m:r>
          </m:e>
          <m:sub>
            <m:r>
              <w:rPr>
                <w:rFonts w:ascii="Cambria Math" w:hAnsi="Cambria Math"/>
              </w:rPr>
              <m:t>3</m:t>
            </m:r>
          </m:sub>
        </m:sSub>
        <m:d>
          <m:dPr>
            <m:ctrlPr>
              <w:rPr>
                <w:rFonts w:ascii="Cambria Math" w:hAnsi="Cambria Math"/>
              </w:rPr>
            </m:ctrlPr>
          </m:dPr>
          <m:e>
            <m:r>
              <m:rPr>
                <m:sty m:val="p"/>
              </m:rPr>
              <w:rPr>
                <w:rFonts w:ascii="Cambria Math" w:hAnsi="Cambria Math"/>
              </w:rPr>
              <m:t>⋅</m:t>
            </m:r>
          </m:e>
        </m:d>
        <m:r>
          <m:rPr>
            <m:sty m:val="p"/>
          </m:rPr>
          <w:rPr>
            <w:rFonts w:ascii="Cambria Math" w:hAnsi="Cambria Math"/>
          </w:rPr>
          <m:t>=</m:t>
        </m:r>
        <m:r>
          <w:rPr>
            <w:rFonts w:ascii="Cambria Math" w:hAnsi="Cambria Math"/>
          </w:rPr>
          <m:t>logit</m:t>
        </m:r>
        <m:d>
          <m:dPr>
            <m:ctrlPr>
              <w:rPr>
                <w:rFonts w:ascii="Cambria Math" w:hAnsi="Cambria Math"/>
              </w:rPr>
            </m:ctrlPr>
          </m:dPr>
          <m:e>
            <m:r>
              <m:rPr>
                <m:sty m:val="p"/>
              </m:rPr>
              <w:rPr>
                <w:rFonts w:ascii="Cambria Math" w:hAnsi="Cambria Math"/>
              </w:rPr>
              <m:t>⋅</m:t>
            </m:r>
          </m:e>
        </m:d>
      </m:oMath>
      <w:r>
        <w:t>. Note that the second paramter of ZIP and the third parameter of ZINB models the probability of a certain centroid has zero count of wildfires, similar to a logistic regresion.</w:t>
      </w:r>
    </w:p>
    <w:p w14:paraId="66478C7D" w14:textId="77777777" w:rsidR="002D2D73" w:rsidRDefault="00325E60">
      <w:pPr>
        <w:pStyle w:val="BodyText"/>
      </w:pPr>
      <w:r>
        <w:t>Due to the complexity of the models, we suppose that all covariates affect in a linear way and perform the following procedure to define model terms:</w:t>
      </w:r>
    </w:p>
    <w:p w14:paraId="61E58E18" w14:textId="77777777" w:rsidR="002D2D73" w:rsidRDefault="00325E60">
      <w:pPr>
        <w:pStyle w:val="BodyText"/>
      </w:pPr>
      <w:r>
        <w:t xml:space="preserve">First, we considered the models’ mean </w:t>
      </w:r>
      <m:oMath>
        <m:r>
          <w:rPr>
            <w:rFonts w:ascii="Cambria Math" w:hAnsi="Cambria Math"/>
          </w:rPr>
          <m:t>μ</m:t>
        </m:r>
      </m:oMath>
      <w:r>
        <w:t xml:space="preserve">: PO, NB, ZIP, and ZINB with full specification of location function, and let other parameters as constant. Then, by applying the stepwise algorithm using both directions, reduced models are obtained (PO-red, NB-red, ZIP-red, and ZIMB-red). Since zero-inflated models have better results, in the third steps, we performed stepwise algorithm to add </w:t>
      </w:r>
      <m:oMath>
        <m:r>
          <w:rPr>
            <w:rFonts w:ascii="Cambria Math" w:hAnsi="Cambria Math"/>
          </w:rPr>
          <m:t>σ</m:t>
        </m:r>
      </m:oMath>
      <w:r>
        <w:t xml:space="preserve"> to ZIP-red and </w:t>
      </w:r>
      <m:oMath>
        <m:r>
          <w:rPr>
            <w:rFonts w:ascii="Cambria Math" w:hAnsi="Cambria Math"/>
          </w:rPr>
          <m:t>σ</m:t>
        </m:r>
      </m:oMath>
      <w:r>
        <w:t xml:space="preserve"> and </w:t>
      </w:r>
      <m:oMath>
        <m:r>
          <w:rPr>
            <w:rFonts w:ascii="Cambria Math" w:hAnsi="Cambria Math"/>
          </w:rPr>
          <m:t>ν</m:t>
        </m:r>
      </m:oMath>
      <w:r>
        <w:t xml:space="preserve"> to ZINB-red, called ZIP-red-final and ZINB-red-final.</w:t>
      </w:r>
    </w:p>
    <w:p w14:paraId="3E892422" w14:textId="77777777" w:rsidR="002D2D73" w:rsidRDefault="00325E60">
      <w:pPr>
        <w:pStyle w:val="Heading1"/>
      </w:pPr>
      <w:bookmarkStart w:id="5" w:name="sec-result"/>
      <w:bookmarkStart w:id="6" w:name="_Toc182056741"/>
      <w:bookmarkEnd w:id="2"/>
      <w:r>
        <w:t>3. Results</w:t>
      </w:r>
      <w:bookmarkEnd w:id="6"/>
    </w:p>
    <w:p w14:paraId="2E3BF808" w14:textId="77777777" w:rsidR="002D2D73" w:rsidRPr="00325E60" w:rsidRDefault="00325E60">
      <w:pPr>
        <w:pStyle w:val="FirstParagraph"/>
        <w:rPr>
          <w:lang w:val="es-CR"/>
        </w:rPr>
      </w:pPr>
      <w:hyperlink w:anchor="tbl-ICmodels">
        <w:r>
          <w:rPr>
            <w:rStyle w:val="Hyperlink"/>
          </w:rPr>
          <w:t>Table 1</w:t>
        </w:r>
      </w:hyperlink>
      <w:r>
        <w:t xml:space="preserve"> shows the goodness of fit measures for the fitted models. Akaike Information Criteria (AIC) and Bayesian Information Criteria (BIC) evaluate the goodness of fit for the training set, while Validated Globa Deviance (VGD) measures how well the fitted models perform for predicting the out-of-sample data (validation data). All three criterion shows that the best model is ZIP_red_final. On the other hand, note that the generalized pseudo r-squared (CoxSmell and Cragg Uhler) show that PO_red are higher among all</w:t>
      </w:r>
      <w:r>
        <w:t xml:space="preserve"> models, but the assumptions of this model are not satisfied. </w:t>
      </w:r>
      <w:proofErr w:type="spellStart"/>
      <w:r w:rsidRPr="00325E60">
        <w:rPr>
          <w:lang w:val="es-CR"/>
        </w:rPr>
        <w:t>On</w:t>
      </w:r>
      <w:proofErr w:type="spellEnd"/>
      <w:r w:rsidRPr="00325E60">
        <w:rPr>
          <w:lang w:val="es-CR"/>
        </w:rPr>
        <w:t xml:space="preserve"> </w:t>
      </w:r>
      <w:proofErr w:type="spellStart"/>
      <w:r w:rsidRPr="00325E60">
        <w:rPr>
          <w:lang w:val="es-CR"/>
        </w:rPr>
        <w:t>other</w:t>
      </w:r>
      <w:proofErr w:type="spellEnd"/>
      <w:r w:rsidRPr="00325E60">
        <w:rPr>
          <w:lang w:val="es-CR"/>
        </w:rPr>
        <w:t xml:space="preserve"> </w:t>
      </w:r>
      <w:proofErr w:type="spellStart"/>
      <w:r w:rsidRPr="00325E60">
        <w:rPr>
          <w:lang w:val="es-CR"/>
        </w:rPr>
        <w:t>other</w:t>
      </w:r>
      <w:proofErr w:type="spellEnd"/>
      <w:r w:rsidRPr="00325E60">
        <w:rPr>
          <w:lang w:val="es-CR"/>
        </w:rPr>
        <w:t xml:space="preserve"> </w:t>
      </w:r>
      <w:proofErr w:type="spellStart"/>
      <w:r w:rsidRPr="00325E60">
        <w:rPr>
          <w:lang w:val="es-CR"/>
        </w:rPr>
        <w:t>hand</w:t>
      </w:r>
      <w:proofErr w:type="spellEnd"/>
      <w:r w:rsidRPr="00325E60">
        <w:rPr>
          <w:lang w:val="es-CR"/>
        </w:rPr>
        <w:t xml:space="preserve">, </w:t>
      </w:r>
      <w:proofErr w:type="spellStart"/>
      <w:r w:rsidRPr="00325E60">
        <w:rPr>
          <w:lang w:val="es-CR"/>
        </w:rPr>
        <w:t>all</w:t>
      </w:r>
      <w:proofErr w:type="spellEnd"/>
      <w:r w:rsidRPr="00325E60">
        <w:rPr>
          <w:lang w:val="es-CR"/>
        </w:rPr>
        <w:t xml:space="preserve"> </w:t>
      </w:r>
      <w:proofErr w:type="spellStart"/>
      <w:r w:rsidRPr="00325E60">
        <w:rPr>
          <w:lang w:val="es-CR"/>
        </w:rPr>
        <w:t>assumptions</w:t>
      </w:r>
      <w:proofErr w:type="spellEnd"/>
      <w:r w:rsidRPr="00325E60">
        <w:rPr>
          <w:lang w:val="es-CR"/>
        </w:rPr>
        <w:t xml:space="preserve"> </w:t>
      </w:r>
      <w:proofErr w:type="spellStart"/>
      <w:r w:rsidRPr="00325E60">
        <w:rPr>
          <w:lang w:val="es-CR"/>
        </w:rPr>
        <w:t>of</w:t>
      </w:r>
      <w:proofErr w:type="spellEnd"/>
      <w:r w:rsidRPr="00325E60">
        <w:rPr>
          <w:lang w:val="es-CR"/>
        </w:rPr>
        <w:t xml:space="preserve"> </w:t>
      </w:r>
      <w:proofErr w:type="spellStart"/>
      <w:r w:rsidRPr="00325E60">
        <w:rPr>
          <w:lang w:val="es-CR"/>
        </w:rPr>
        <w:t>ZIP_red_final</w:t>
      </w:r>
      <w:proofErr w:type="spellEnd"/>
      <w:r w:rsidRPr="00325E60">
        <w:rPr>
          <w:lang w:val="es-CR"/>
        </w:rPr>
        <w:t xml:space="preserve"> are </w:t>
      </w:r>
      <w:proofErr w:type="spellStart"/>
      <w:r w:rsidRPr="00325E60">
        <w:rPr>
          <w:lang w:val="es-CR"/>
        </w:rPr>
        <w:t>satisfied</w:t>
      </w:r>
      <w:proofErr w:type="spellEnd"/>
      <w:r w:rsidRPr="00325E60">
        <w:rPr>
          <w:lang w:val="es-CR"/>
        </w:rPr>
        <w:t xml:space="preserve"> and </w:t>
      </w:r>
      <w:proofErr w:type="spellStart"/>
      <w:r w:rsidRPr="00325E60">
        <w:rPr>
          <w:lang w:val="es-CR"/>
        </w:rPr>
        <w:t>present</w:t>
      </w:r>
      <w:proofErr w:type="spellEnd"/>
      <w:r w:rsidRPr="00325E60">
        <w:rPr>
          <w:lang w:val="es-CR"/>
        </w:rPr>
        <w:t xml:space="preserve"> </w:t>
      </w:r>
      <w:proofErr w:type="spellStart"/>
      <w:r w:rsidRPr="00325E60">
        <w:rPr>
          <w:lang w:val="es-CR"/>
        </w:rPr>
        <w:t>the</w:t>
      </w:r>
      <w:proofErr w:type="spellEnd"/>
      <w:r w:rsidRPr="00325E60">
        <w:rPr>
          <w:lang w:val="es-CR"/>
        </w:rPr>
        <w:t xml:space="preserve"> </w:t>
      </w:r>
      <w:proofErr w:type="spellStart"/>
      <w:r w:rsidRPr="00325E60">
        <w:rPr>
          <w:lang w:val="es-CR"/>
        </w:rPr>
        <w:t>best</w:t>
      </w:r>
      <w:proofErr w:type="spellEnd"/>
      <w:r w:rsidRPr="00325E60">
        <w:rPr>
          <w:lang w:val="es-CR"/>
        </w:rPr>
        <w:t xml:space="preserve"> </w:t>
      </w:r>
      <w:proofErr w:type="spellStart"/>
      <w:r w:rsidRPr="00325E60">
        <w:rPr>
          <w:lang w:val="es-CR"/>
        </w:rPr>
        <w:t>measures</w:t>
      </w:r>
      <w:proofErr w:type="spellEnd"/>
      <w:r w:rsidRPr="00325E60">
        <w:rPr>
          <w:lang w:val="es-CR"/>
        </w:rPr>
        <w:t xml:space="preserve"> (</w:t>
      </w:r>
      <w:r w:rsidRPr="00325E60">
        <w:rPr>
          <w:b/>
          <w:bCs/>
          <w:lang w:val="es-CR"/>
        </w:rPr>
        <w:t>aquí falta presentar los diagnósticos del modelo y pregunto si para artículos en su área, esto se presenta en el cuerpo del artículo o generalmente no lo toman con tanta importancia y podría ponerlos en anexo</w:t>
      </w:r>
      <w:r w:rsidRPr="00325E60">
        <w:rPr>
          <w:lang w:val="es-CR"/>
        </w:rPr>
        <w:t>).</w:t>
      </w:r>
    </w:p>
    <w:tbl>
      <w:tblPr>
        <w:tblStyle w:val="Table"/>
        <w:tblW w:w="5000" w:type="pct"/>
        <w:tblLayout w:type="fixed"/>
        <w:tblLook w:val="0000" w:firstRow="0" w:lastRow="0" w:firstColumn="0" w:lastColumn="0" w:noHBand="0" w:noVBand="0"/>
      </w:tblPr>
      <w:tblGrid>
        <w:gridCol w:w="9576"/>
      </w:tblGrid>
      <w:tr w:rsidR="002D2D73" w14:paraId="64BD4C52" w14:textId="77777777">
        <w:tc>
          <w:tcPr>
            <w:tcW w:w="7920" w:type="dxa"/>
          </w:tcPr>
          <w:p w14:paraId="4DA70FEA" w14:textId="77777777" w:rsidR="002D2D73" w:rsidRDefault="00325E60">
            <w:pPr>
              <w:pStyle w:val="ImageCaption"/>
              <w:spacing w:before="200"/>
            </w:pPr>
            <w:bookmarkStart w:id="7" w:name="tbl-ICmodels"/>
            <w:r>
              <w:t>Table 1: Goodness of fit measures for the fitted models.</w:t>
            </w:r>
          </w:p>
          <w:tbl>
            <w:tblPr>
              <w:tblW w:w="0" w:type="auto"/>
              <w:jc w:val="center"/>
              <w:tblLayout w:type="fixed"/>
              <w:tblLook w:val="0420" w:firstRow="1" w:lastRow="0" w:firstColumn="0" w:lastColumn="0" w:noHBand="0" w:noVBand="1"/>
            </w:tblPr>
            <w:tblGrid>
              <w:gridCol w:w="1729"/>
              <w:gridCol w:w="1179"/>
              <w:gridCol w:w="1179"/>
              <w:gridCol w:w="1179"/>
              <w:gridCol w:w="1435"/>
              <w:gridCol w:w="1741"/>
            </w:tblGrid>
            <w:tr w:rsidR="002D2D73" w14:paraId="40775974"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D1A6903"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Model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3B6C3D"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AIC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B412F7"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BIC</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248470C"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VGD</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9DA95D6"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R2-CoxSnell</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1B323F6"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R2-Cragg Uhler</w:t>
                  </w:r>
                </w:p>
              </w:tc>
            </w:tr>
            <w:tr w:rsidR="002D2D73" w14:paraId="5E4B56EC" w14:textId="77777777">
              <w:trPr>
                <w:jc w:val="center"/>
              </w:trPr>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AF7CC0"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PO</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1A1C7"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79,265.66</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B80279"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79,360.82</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4391C1"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34,836.93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3B82FD"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0.2723</w:t>
                  </w:r>
                </w:p>
              </w:tc>
              <w:tc>
                <w:tcPr>
                  <w:tcW w:w="0" w:type="auto"/>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1CF0B6"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0.3065</w:t>
                  </w:r>
                </w:p>
              </w:tc>
            </w:tr>
            <w:tr w:rsidR="002D2D73" w14:paraId="5348798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528FA7"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NBII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DAD11"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70,882.70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C5563F"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70,986.50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8A661C"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31,089.78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C14FD"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0.1526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3E1F6C"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0.1812</w:t>
                  </w:r>
                </w:p>
              </w:tc>
            </w:tr>
            <w:tr w:rsidR="002D2D73" w14:paraId="032CCC9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C183A"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ZIP</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EA222B"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73,309.74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2D8ED5"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73,413.55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CD5898"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32,133.96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CCA98B"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109AC"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0.1052</w:t>
                  </w:r>
                </w:p>
              </w:tc>
            </w:tr>
            <w:tr w:rsidR="002D2D73" w14:paraId="1C90F7E0"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B1DD80"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ZINBI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8B6221"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76,092.71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404250"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76,205.17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3CC4FD"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33,380.19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DF428"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0.0219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6C58A2"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0.0261</w:t>
                  </w:r>
                </w:p>
              </w:tc>
            </w:tr>
            <w:tr w:rsidR="002D2D73" w14:paraId="2E8959A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82089F"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PO_red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9170BD"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79,269.74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9EC63F"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79,356.24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283E16"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34,842.41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29009"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0.2722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C6C08"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0.3063</w:t>
                  </w:r>
                </w:p>
              </w:tc>
            </w:tr>
            <w:tr w:rsidR="002D2D73" w14:paraId="42FCBEB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23BD4"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NBII_red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FE2922"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70,881.29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7CAD28"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70,976.45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BAD07"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31,090.24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9A2B0"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0.1526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E2F5CE"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0.1812</w:t>
                  </w:r>
                </w:p>
              </w:tc>
            </w:tr>
            <w:tr w:rsidR="002D2D73" w14:paraId="0694ED5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2C8ADA"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ZIP_red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D7C561"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73,308.00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BC0191"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73,403.16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94DDA8"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32,134.62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0868E6"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0.0883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D0491"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0.1052</w:t>
                  </w:r>
                </w:p>
              </w:tc>
            </w:tr>
            <w:tr w:rsidR="002D2D73" w14:paraId="58906925"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11093"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ZINBI_red</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C58A35"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72,903.31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53CC92"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72,981.16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DBFB85"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31,869.63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4CE82C"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0.0929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73A511"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0.1108</w:t>
                  </w:r>
                </w:p>
              </w:tc>
            </w:tr>
            <w:tr w:rsidR="002D2D73" w14:paraId="3E87C448"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1EA6E7"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ZIP_red_final</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F5CC6D"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69,754.09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049A3"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69,892.50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05DC77"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30,790.78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AE78A6F"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0.1621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B6AFEC"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0.1931</w:t>
                  </w:r>
                </w:p>
              </w:tc>
            </w:tr>
            <w:tr w:rsidR="002D2D73" w14:paraId="494AA89E"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981C5EF"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ZINBI_red_final</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293627B"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69,532.61</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B35B783"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69,688.32</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6CE0A97"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30,566.35</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978FFEC"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0.1629</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1FEDC00"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0.1942</w:t>
                  </w:r>
                </w:p>
              </w:tc>
            </w:tr>
            <w:bookmarkEnd w:id="7"/>
          </w:tbl>
          <w:p w14:paraId="50338D37" w14:textId="77777777" w:rsidR="00325E60" w:rsidRDefault="00325E60">
            <w:pPr>
              <w:spacing w:after="0"/>
            </w:pPr>
          </w:p>
        </w:tc>
      </w:tr>
    </w:tbl>
    <w:p w14:paraId="4D25E1B8" w14:textId="77777777" w:rsidR="002D2D73" w:rsidRDefault="00325E60">
      <w:pPr>
        <w:pStyle w:val="BodyText"/>
      </w:pPr>
      <w:hyperlink w:anchor="tbl-ZIPmodels">
        <w:r>
          <w:rPr>
            <w:rStyle w:val="Hyperlink"/>
          </w:rPr>
          <w:t>Table 2</w:t>
        </w:r>
      </w:hyperlink>
      <w:r>
        <w:t xml:space="preserve"> describes the model estimates. The equation for Mu fits the wildfire counts, while the equation for Sigma models the probability of observing zero wildfires in a given centroid. We observe that all these variables are statistically significant, except for WE in the Mu equation.</w:t>
      </w:r>
    </w:p>
    <w:tbl>
      <w:tblPr>
        <w:tblStyle w:val="Table"/>
        <w:tblW w:w="5000" w:type="pct"/>
        <w:tblLayout w:type="fixed"/>
        <w:tblLook w:val="0000" w:firstRow="0" w:lastRow="0" w:firstColumn="0" w:lastColumn="0" w:noHBand="0" w:noVBand="0"/>
      </w:tblPr>
      <w:tblGrid>
        <w:gridCol w:w="9576"/>
      </w:tblGrid>
      <w:tr w:rsidR="002D2D73" w14:paraId="18B8007B" w14:textId="77777777" w:rsidTr="00325E60">
        <w:tc>
          <w:tcPr>
            <w:tcW w:w="9576" w:type="dxa"/>
          </w:tcPr>
          <w:p w14:paraId="64371389" w14:textId="77777777" w:rsidR="002D2D73" w:rsidRDefault="00325E60">
            <w:pPr>
              <w:pStyle w:val="ImageCaption"/>
              <w:spacing w:before="200"/>
            </w:pPr>
            <w:bookmarkStart w:id="8" w:name="tbl-ZIPmodels"/>
            <w:r>
              <w:t>Table 2: Parameter estimates of the fitted models.</w:t>
            </w:r>
          </w:p>
          <w:tbl>
            <w:tblPr>
              <w:tblW w:w="0" w:type="auto"/>
              <w:jc w:val="center"/>
              <w:tblLayout w:type="fixed"/>
              <w:tblLook w:val="0420" w:firstRow="1" w:lastRow="0" w:firstColumn="0" w:lastColumn="0" w:noHBand="0" w:noVBand="1"/>
            </w:tblPr>
            <w:tblGrid>
              <w:gridCol w:w="1521"/>
              <w:gridCol w:w="1056"/>
              <w:gridCol w:w="1142"/>
              <w:gridCol w:w="1069"/>
              <w:gridCol w:w="873"/>
            </w:tblGrid>
            <w:tr w:rsidR="002D2D73" w14:paraId="25D3F895" w14:textId="77777777">
              <w:trPr>
                <w:tblHeader/>
                <w:jc w:val="center"/>
              </w:trPr>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FF54E01"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Covariate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BE5108"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Estimate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037837C"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Std. Error</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BC1551"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t value</w:t>
                  </w:r>
                </w:p>
              </w:tc>
              <w:tc>
                <w:tcPr>
                  <w:tcW w:w="0" w:type="auto"/>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68ACC7F"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Pr(&gt;|t|)</w:t>
                  </w:r>
                </w:p>
              </w:tc>
            </w:tr>
            <w:tr w:rsidR="002D2D73" w14:paraId="28EDEA8A" w14:textId="77777777">
              <w:trPr>
                <w:jc w:val="center"/>
              </w:trPr>
              <w:tc>
                <w:tcPr>
                  <w:tcW w:w="0" w:type="auto"/>
                  <w:tcBorders>
                    <w:top w:val="single" w:sz="12" w:space="0" w:color="666666"/>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4FF43ACE"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Mu</w:t>
                  </w:r>
                </w:p>
              </w:tc>
              <w:tc>
                <w:tcPr>
                  <w:tcW w:w="0" w:type="auto"/>
                  <w:tcBorders>
                    <w:top w:val="single" w:sz="12" w:space="0" w:color="666666"/>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6780C008" w14:textId="77777777" w:rsidR="002D2D73" w:rsidRDefault="002D2D7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5153F2E2" w14:textId="77777777" w:rsidR="002D2D73" w:rsidRDefault="002D2D7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1C99AB3C" w14:textId="77777777" w:rsidR="002D2D73" w:rsidRDefault="002D2D7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2" w:space="0" w:color="666666"/>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4E4ADC30" w14:textId="77777777" w:rsidR="002D2D73" w:rsidRDefault="002D2D7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D2D73" w14:paraId="541823CB" w14:textId="77777777">
              <w:trPr>
                <w:jc w:val="center"/>
              </w:trPr>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4B8673"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(Intercept)</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E71CD35"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0.1652</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A4583"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0.0134</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A9BBF0"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12.3008</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B97B8"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2D2D73" w14:paraId="0287AE5B"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21F432"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DAH</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A1E6A6"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-0.0276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1A48E5"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0.0077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6B43D2"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-3.5788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15A5D5"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0.0003</w:t>
                  </w:r>
                </w:p>
              </w:tc>
            </w:tr>
            <w:tr w:rsidR="002D2D73" w14:paraId="733AB1B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A388199"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D08853"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-0.4053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ABC68"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EABCF8"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-16.7190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60521A"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2D2D73" w14:paraId="465C01D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C1C16F"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logLSF</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267917"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0.3944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6948"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D3C7CC"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16.3706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A4B261"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2D2D73" w14:paraId="72ABF80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BF5D56"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SLOPE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6C89FB"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-0.3849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F61E93"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0.0260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FFD6AD"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-14.7907</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DB8C8E"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2D2D73" w14:paraId="11940703"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571995"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logTRI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7D387B"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-0.0012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EC87E0"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0.0298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2550E7"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-0.0413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9D6E0E"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0.9671</w:t>
                  </w:r>
                </w:p>
              </w:tc>
            </w:tr>
            <w:tr w:rsidR="002D2D73" w14:paraId="6BE3BA3E"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DDB9F4"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TWI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33CADD"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-0.4616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FA58A0"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0.0239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26D1E1"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-19.3145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4EAA30"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2D2D73" w14:paraId="67281CF2"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6CCF51"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A1464"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-0.0120</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CD227C"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0.0131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B0C6F0"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-0.9122</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CCC180"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0.3617</w:t>
                  </w:r>
                </w:p>
              </w:tc>
            </w:tr>
            <w:tr w:rsidR="002D2D73" w14:paraId="3E344C71"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B5AC4"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WExpo</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5C56E"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-0.1993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73D797"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0.0175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229267"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-11.3659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572507"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2D2D73" w14:paraId="154FEA8C" w14:textId="77777777">
              <w:trPr>
                <w:jc w:val="center"/>
              </w:trPr>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77656F27"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sabanaTRUE</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09661EC9"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0.4713</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2DB7C2FD"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0.0181</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7DC01FB3"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26.0327</w:t>
                  </w:r>
                </w:p>
              </w:tc>
              <w:tc>
                <w:tcPr>
                  <w:tcW w:w="0" w:type="auto"/>
                  <w:tcBorders>
                    <w:top w:val="none" w:sz="0"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4E8D1448"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2D2D73" w14:paraId="415C6566" w14:textId="77777777">
              <w:trPr>
                <w:jc w:val="center"/>
              </w:trPr>
              <w:tc>
                <w:tcPr>
                  <w:tcW w:w="0" w:type="auto"/>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35E5AEEA"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Sigma</w:t>
                  </w:r>
                </w:p>
              </w:tc>
              <w:tc>
                <w:tcPr>
                  <w:tcW w:w="0" w:type="auto"/>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4774075F" w14:textId="77777777" w:rsidR="002D2D73" w:rsidRDefault="002D2D7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494BA279" w14:textId="77777777" w:rsidR="002D2D73" w:rsidRDefault="002D2D7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75A4E96D" w14:textId="77777777" w:rsidR="002D2D73" w:rsidRDefault="002D2D73">
                  <w:pPr>
                    <w:pBdr>
                      <w:top w:val="none" w:sz="0" w:space="0" w:color="000000"/>
                      <w:left w:val="none" w:sz="0" w:space="0" w:color="000000"/>
                      <w:bottom w:val="none" w:sz="0" w:space="0" w:color="000000"/>
                      <w:right w:val="none" w:sz="0" w:space="0" w:color="000000"/>
                    </w:pBdr>
                    <w:spacing w:before="100" w:after="100"/>
                    <w:ind w:left="100" w:right="100"/>
                    <w:jc w:val="right"/>
                  </w:pPr>
                </w:p>
              </w:tc>
              <w:tc>
                <w:tcPr>
                  <w:tcW w:w="0" w:type="auto"/>
                  <w:tcBorders>
                    <w:top w:val="single" w:sz="16" w:space="0" w:color="000000"/>
                    <w:left w:val="none" w:sz="0" w:space="0" w:color="000000"/>
                    <w:bottom w:val="single" w:sz="16" w:space="0" w:color="000000"/>
                    <w:right w:val="none" w:sz="0" w:space="0" w:color="000000"/>
                  </w:tcBorders>
                  <w:shd w:val="clear" w:color="auto" w:fill="FFFFFF"/>
                  <w:tcMar>
                    <w:top w:w="0" w:type="dxa"/>
                    <w:left w:w="0" w:type="dxa"/>
                    <w:bottom w:w="0" w:type="dxa"/>
                    <w:right w:w="0" w:type="dxa"/>
                  </w:tcMar>
                  <w:vAlign w:val="center"/>
                </w:tcPr>
                <w:p w14:paraId="529BE2E6" w14:textId="77777777" w:rsidR="002D2D73" w:rsidRDefault="002D2D73">
                  <w:pPr>
                    <w:pBdr>
                      <w:top w:val="none" w:sz="0" w:space="0" w:color="000000"/>
                      <w:left w:val="none" w:sz="0" w:space="0" w:color="000000"/>
                      <w:bottom w:val="none" w:sz="0" w:space="0" w:color="000000"/>
                      <w:right w:val="none" w:sz="0" w:space="0" w:color="000000"/>
                    </w:pBdr>
                    <w:spacing w:before="100" w:after="100"/>
                    <w:ind w:left="100" w:right="100"/>
                    <w:jc w:val="right"/>
                  </w:pPr>
                </w:p>
              </w:tc>
            </w:tr>
            <w:tr w:rsidR="002D2D73" w14:paraId="761888C0" w14:textId="77777777">
              <w:trPr>
                <w:jc w:val="center"/>
              </w:trPr>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AADDB6"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(Intercept)</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0858ED"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0.8404</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482C5B"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0.0206</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DA51A3"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40.7412</w:t>
                  </w:r>
                </w:p>
              </w:tc>
              <w:tc>
                <w:tcPr>
                  <w:tcW w:w="0" w:type="auto"/>
                  <w:tcBorders>
                    <w:top w:val="single" w:sz="16"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27AA4FE"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2D2D73" w14:paraId="5DCF52CA"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431DD8"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sabanaTRUE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DCB71D"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-2.4844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969D6F5"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0.0658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865EC"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-37.7473</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1ADE4E"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2D2D73" w14:paraId="776D56E7"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5A80458"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LST</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B9290"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-0.3194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27C0C"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0.0305</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08DBB1D"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-10.4579</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5030CF"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2D2D73" w14:paraId="300D87C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ABD6BA"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96C52"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0.1946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9D5BF6"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0.0211</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DD9B80"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9.2396</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A33AA5"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2D2D73" w14:paraId="24567AFF" w14:textId="77777777">
              <w:trPr>
                <w:jc w:val="center"/>
              </w:trPr>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1FEF10"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TWI</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22EAA3"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0.2514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906766"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0.0248</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ADB9B61"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10.1444</w:t>
                  </w:r>
                </w:p>
              </w:tc>
              <w:tc>
                <w:tcPr>
                  <w:tcW w:w="0" w:type="auto"/>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E4C496"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tr w:rsidR="002D2D73" w14:paraId="5F53A0D5" w14:textId="77777777">
              <w:trPr>
                <w:jc w:val="center"/>
              </w:trPr>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4B94D93"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WExpo</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3E1B812"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0.2546</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55F892B"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0.0310</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D1E0F90"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8.2237</w:t>
                  </w:r>
                </w:p>
              </w:tc>
              <w:tc>
                <w:tcPr>
                  <w:tcW w:w="0" w:type="auto"/>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547D217" w14:textId="77777777" w:rsidR="002D2D73" w:rsidRDefault="00325E60">
                  <w:pPr>
                    <w:pBdr>
                      <w:top w:val="none" w:sz="0" w:space="0" w:color="000000"/>
                      <w:left w:val="none" w:sz="0" w:space="0" w:color="000000"/>
                      <w:bottom w:val="none" w:sz="0" w:space="0" w:color="000000"/>
                      <w:right w:val="none" w:sz="0" w:space="0" w:color="000000"/>
                    </w:pBdr>
                    <w:spacing w:before="100" w:after="100"/>
                    <w:ind w:left="100" w:right="100"/>
                    <w:jc w:val="right"/>
                  </w:pPr>
                  <w:r>
                    <w:rPr>
                      <w:rFonts w:ascii="Arial" w:eastAsia="Arial" w:hAnsi="Arial" w:cs="Arial"/>
                      <w:color w:val="000000"/>
                      <w:sz w:val="22"/>
                      <w:szCs w:val="22"/>
                    </w:rPr>
                    <w:t>0.0000</w:t>
                  </w:r>
                </w:p>
              </w:tc>
            </w:tr>
            <w:bookmarkEnd w:id="8"/>
          </w:tbl>
          <w:p w14:paraId="264DFB8C" w14:textId="77777777" w:rsidR="00325E60" w:rsidRDefault="00325E60">
            <w:pPr>
              <w:spacing w:after="0"/>
            </w:pPr>
          </w:p>
        </w:tc>
      </w:tr>
    </w:tbl>
    <w:p w14:paraId="65F72142" w14:textId="77777777" w:rsidR="002D2D73" w:rsidRDefault="00325E60">
      <w:pPr>
        <w:pStyle w:val="BodyText"/>
      </w:pPr>
      <w:proofErr w:type="spellStart"/>
      <w:r>
        <w:lastRenderedPageBreak/>
        <w:t>Finall</w:t>
      </w:r>
      <w:proofErr w:type="spellEnd"/>
      <w:r>
        <w:t xml:space="preserve">, </w:t>
      </w:r>
      <w:hyperlink w:anchor="fig-ZIPmusigma">
        <w:r>
          <w:rPr>
            <w:rStyle w:val="Hyperlink"/>
          </w:rPr>
          <w:t>Figure 1</w:t>
        </w:r>
      </w:hyperlink>
      <w:r>
        <w:t xml:space="preserve"> presents the fitted </w:t>
      </w:r>
      <m:oMath>
        <m:r>
          <w:rPr>
            <w:rFonts w:ascii="Cambria Math" w:hAnsi="Cambria Math"/>
          </w:rPr>
          <m:t>μ</m:t>
        </m:r>
      </m:oMath>
      <w:r>
        <w:t xml:space="preserve"> and </w:t>
      </w:r>
      <m:oMath>
        <m:r>
          <w:rPr>
            <w:rFonts w:ascii="Cambria Math" w:hAnsi="Cambria Math"/>
          </w:rPr>
          <m:t>σ</m:t>
        </m:r>
      </m:oMath>
      <w:r>
        <w:t xml:space="preserve">, which represent wildfire </w:t>
      </w:r>
      <w:proofErr w:type="gramStart"/>
      <w:r>
        <w:t>mean</w:t>
      </w:r>
      <w:proofErr w:type="gramEnd"/>
      <w:r>
        <w:t xml:space="preserve"> of each centroid and the probability of no wildfire, respectively. Those figures are difficult to assess </w:t>
      </w:r>
      <w:proofErr w:type="gramStart"/>
      <w:r>
        <w:t>due to the fact that</w:t>
      </w:r>
      <w:proofErr w:type="gramEnd"/>
      <w:r>
        <w:t xml:space="preserve"> </w:t>
      </w:r>
      <w:hyperlink w:anchor="fig-ZIPmu">
        <w:r>
          <w:rPr>
            <w:rStyle w:val="Hyperlink"/>
          </w:rPr>
          <w:t>Figure 1 (a)</w:t>
        </w:r>
      </w:hyperlink>
      <w:r>
        <w:t xml:space="preserve"> shows </w:t>
      </w:r>
      <w:proofErr w:type="gramStart"/>
      <w:r>
        <w:t>higher</w:t>
      </w:r>
      <w:proofErr w:type="gramEnd"/>
      <w:r>
        <w:t xml:space="preserve"> fitted wildfire mean for northern parts of the region. However, if we take into account that the model fits a centroid with </w:t>
      </w:r>
      <m:oMath>
        <m:r>
          <w:rPr>
            <w:rFonts w:ascii="Cambria Math" w:hAnsi="Cambria Math"/>
          </w:rPr>
          <m:t>σ</m:t>
        </m:r>
        <m:r>
          <m:rPr>
            <m:sty m:val="p"/>
          </m:rPr>
          <w:rPr>
            <w:rFonts w:ascii="Cambria Math" w:hAnsi="Cambria Math"/>
          </w:rPr>
          <m:t>&gt;</m:t>
        </m:r>
        <m:r>
          <w:rPr>
            <w:rFonts w:ascii="Cambria Math" w:hAnsi="Cambria Math"/>
          </w:rPr>
          <m:t>0.5</m:t>
        </m:r>
      </m:oMath>
      <w:r>
        <w:t xml:space="preserve">, meaning this centroid has greater probability to not have wildfire, we can filter out those centroids, and only consider those centroid with </w:t>
      </w:r>
      <m:oMath>
        <m:r>
          <w:rPr>
            <w:rFonts w:ascii="Cambria Math" w:hAnsi="Cambria Math"/>
          </w:rPr>
          <m:t>σ</m:t>
        </m:r>
        <m:r>
          <m:rPr>
            <m:sty m:val="p"/>
          </m:rPr>
          <w:rPr>
            <w:rFonts w:ascii="Cambria Math" w:hAnsi="Cambria Math"/>
          </w:rPr>
          <m:t>&lt;</m:t>
        </m:r>
        <m:r>
          <w:rPr>
            <w:rFonts w:ascii="Cambria Math" w:hAnsi="Cambria Math"/>
          </w:rPr>
          <m:t>0.5</m:t>
        </m:r>
      </m:oMath>
      <w:r>
        <w:t xml:space="preserve">, that is, those places will have more than 50% of chance to have more than zero wildfires, then plot the fitted </w:t>
      </w:r>
      <m:oMath>
        <m:r>
          <w:rPr>
            <w:rFonts w:ascii="Cambria Math" w:hAnsi="Cambria Math"/>
          </w:rPr>
          <m:t>μ</m:t>
        </m:r>
      </m:oMath>
      <w:r>
        <w:t xml:space="preserve"> (</w:t>
      </w:r>
      <w:hyperlink w:anchor="fig-ZIPmu_sigma">
        <w:r>
          <w:rPr>
            <w:rStyle w:val="Hyperlink"/>
          </w:rPr>
          <w:t>Figure 2 (b)</w:t>
        </w:r>
      </w:hyperlink>
      <w:r>
        <w:t>). We can observe that the places with higher wildfire count mean are similar to the observed INC (fig-INC).</w:t>
      </w:r>
    </w:p>
    <w:p w14:paraId="54C3D21E" w14:textId="77777777" w:rsidR="002D2D73" w:rsidRDefault="00325E60">
      <w:pPr>
        <w:pStyle w:val="BodyText"/>
      </w:pPr>
      <w:r>
        <w:t xml:space="preserve">Finally, </w:t>
      </w:r>
      <w:hyperlink w:anchor="fig-ZIPmusigma">
        <w:r>
          <w:rPr>
            <w:rStyle w:val="Hyperlink"/>
          </w:rPr>
          <w:t>Figure 1</w:t>
        </w:r>
      </w:hyperlink>
      <w:r>
        <w:t xml:space="preserve"> presents the fitted </w:t>
      </w:r>
      <m:oMath>
        <m:r>
          <w:rPr>
            <w:rFonts w:ascii="Cambria Math" w:hAnsi="Cambria Math"/>
          </w:rPr>
          <m:t>μ</m:t>
        </m:r>
      </m:oMath>
      <w:r>
        <w:t xml:space="preserve"> and </w:t>
      </w:r>
      <m:oMath>
        <m:r>
          <w:rPr>
            <w:rFonts w:ascii="Cambria Math" w:hAnsi="Cambria Math"/>
          </w:rPr>
          <m:t>σ</m:t>
        </m:r>
      </m:oMath>
      <w:r>
        <w:t xml:space="preserve">, which represent the mean wildfire count for each centroid and the probability of no wildfire, respectively. These figures can be challenging to interpret, as </w:t>
      </w:r>
      <w:hyperlink w:anchor="fig-ZIPmu">
        <w:r>
          <w:rPr>
            <w:rStyle w:val="Hyperlink"/>
          </w:rPr>
          <w:t>Figure 1 (a)</w:t>
        </w:r>
      </w:hyperlink>
      <w:r>
        <w:t xml:space="preserve"> shows a higher fitted wildfire mean in the northern parts of the region, which have high probability to not observe wildfire. However, if we consider that the model fits a centroid with </w:t>
      </w:r>
      <m:oMath>
        <m:r>
          <w:rPr>
            <w:rFonts w:ascii="Cambria Math" w:hAnsi="Cambria Math"/>
          </w:rPr>
          <m:t>σ</m:t>
        </m:r>
        <m:r>
          <m:rPr>
            <m:sty m:val="p"/>
          </m:rPr>
          <w:rPr>
            <w:rFonts w:ascii="Cambria Math" w:hAnsi="Cambria Math"/>
          </w:rPr>
          <m:t>&gt;</m:t>
        </m:r>
        <m:r>
          <w:rPr>
            <w:rFonts w:ascii="Cambria Math" w:hAnsi="Cambria Math"/>
          </w:rPr>
          <m:t>0.5</m:t>
        </m:r>
      </m:oMath>
      <w:r>
        <w:t xml:space="preserve">, indicating a greater probability of no wildfire, we can filter out those centroids and focus only on those with </w:t>
      </w:r>
      <m:oMath>
        <m:r>
          <w:rPr>
            <w:rFonts w:ascii="Cambria Math" w:hAnsi="Cambria Math"/>
          </w:rPr>
          <m:t>σ</m:t>
        </m:r>
        <m:r>
          <m:rPr>
            <m:sty m:val="p"/>
          </m:rPr>
          <w:rPr>
            <w:rFonts w:ascii="Cambria Math" w:hAnsi="Cambria Math"/>
          </w:rPr>
          <m:t>&lt;</m:t>
        </m:r>
        <m:r>
          <w:rPr>
            <w:rFonts w:ascii="Cambria Math" w:hAnsi="Cambria Math"/>
          </w:rPr>
          <m:t>0.5</m:t>
        </m:r>
      </m:oMath>
      <w:r>
        <w:t xml:space="preserve">. This means that these locations have more than a 50% chance of experiencing at least one wildfire. We can then plot the fitted </w:t>
      </w:r>
      <m:oMath>
        <m:r>
          <w:rPr>
            <w:rFonts w:ascii="Cambria Math" w:hAnsi="Cambria Math"/>
          </w:rPr>
          <m:t>μ</m:t>
        </m:r>
      </m:oMath>
      <w:r>
        <w:t xml:space="preserve"> (</w:t>
      </w:r>
      <w:hyperlink w:anchor="fig-ZIPmu_sigma">
        <w:r>
          <w:rPr>
            <w:rStyle w:val="Hyperlink"/>
          </w:rPr>
          <w:t>Figure 2 (b)</w:t>
        </w:r>
      </w:hyperlink>
      <w:r>
        <w:t xml:space="preserve">). Notably, the areas with higher mean wildfire counts are </w:t>
      </w:r>
      <w:proofErr w:type="gramStart"/>
      <w:r>
        <w:t>similar to</w:t>
      </w:r>
      <w:proofErr w:type="gramEnd"/>
      <w:r>
        <w:t xml:space="preserve"> the observed INC (</w:t>
      </w:r>
      <w:hyperlink w:anchor="fig-INC">
        <w:r>
          <w:rPr>
            <w:rStyle w:val="Hyperlink"/>
          </w:rPr>
          <w:t>Figure 2 (a)</w:t>
        </w:r>
      </w:hyperlink>
      <w:r>
        <w:t>).</w:t>
      </w:r>
    </w:p>
    <w:tbl>
      <w:tblPr>
        <w:tblStyle w:val="Table"/>
        <w:tblW w:w="4900" w:type="pct"/>
        <w:tblLayout w:type="fixed"/>
        <w:tblLook w:val="0000" w:firstRow="0" w:lastRow="0" w:firstColumn="0" w:lastColumn="0" w:noHBand="0" w:noVBand="0"/>
      </w:tblPr>
      <w:tblGrid>
        <w:gridCol w:w="4692"/>
        <w:gridCol w:w="4692"/>
      </w:tblGrid>
      <w:tr w:rsidR="002D2D73" w14:paraId="08A95CC9" w14:textId="77777777">
        <w:tc>
          <w:tcPr>
            <w:tcW w:w="3880" w:type="dxa"/>
          </w:tcPr>
          <w:tbl>
            <w:tblPr>
              <w:tblStyle w:val="Table"/>
              <w:tblW w:w="4900" w:type="pct"/>
              <w:tblLayout w:type="fixed"/>
              <w:tblLook w:val="0000" w:firstRow="0" w:lastRow="0" w:firstColumn="0" w:lastColumn="0" w:noHBand="0" w:noVBand="0"/>
            </w:tblPr>
            <w:tblGrid>
              <w:gridCol w:w="4476"/>
            </w:tblGrid>
            <w:tr w:rsidR="002D2D73" w14:paraId="2FEB98BE" w14:textId="77777777">
              <w:tc>
                <w:tcPr>
                  <w:tcW w:w="0" w:type="auto"/>
                </w:tcPr>
                <w:p w14:paraId="7760AD60" w14:textId="77777777" w:rsidR="002D2D73" w:rsidRDefault="00325E60">
                  <w:pPr>
                    <w:pStyle w:val="Compact"/>
                  </w:pPr>
                  <w:bookmarkStart w:id="9" w:name="fig-ZIPmu"/>
                  <w:bookmarkStart w:id="10" w:name="fig-ZIPmusigma"/>
                  <w:r>
                    <w:rPr>
                      <w:noProof/>
                    </w:rPr>
                    <w:drawing>
                      <wp:inline distT="0" distB="0" distL="0" distR="0" wp14:anchorId="40D1667F" wp14:editId="3C55DC45">
                        <wp:extent cx="2772075" cy="2772075"/>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3_Informe_final---forward_files/figure-docx/fig-ZIPmu-1.png"/>
                                <pic:cNvPicPr>
                                  <a:picLocks noChangeAspect="1" noChangeArrowheads="1"/>
                                </pic:cNvPicPr>
                              </pic:nvPicPr>
                              <pic:blipFill>
                                <a:blip r:embed="rId7"/>
                                <a:stretch>
                                  <a:fillRect/>
                                </a:stretch>
                              </pic:blipFill>
                              <pic:spPr bwMode="auto">
                                <a:xfrm>
                                  <a:off x="0" y="0"/>
                                  <a:ext cx="2772075" cy="2772075"/>
                                </a:xfrm>
                                <a:prstGeom prst="rect">
                                  <a:avLst/>
                                </a:prstGeom>
                                <a:noFill/>
                                <a:ln w="9525">
                                  <a:noFill/>
                                  <a:headEnd/>
                                  <a:tailEnd/>
                                </a:ln>
                              </pic:spPr>
                            </pic:pic>
                          </a:graphicData>
                        </a:graphic>
                      </wp:inline>
                    </w:drawing>
                  </w:r>
                </w:p>
                <w:p w14:paraId="52E82BF8" w14:textId="77777777" w:rsidR="002D2D73" w:rsidRDefault="00325E60">
                  <w:pPr>
                    <w:pStyle w:val="ImageCaption"/>
                    <w:spacing w:before="200"/>
                  </w:pPr>
                  <w:r>
                    <w:lastRenderedPageBreak/>
                    <w:t>(a) ZIP mean.</w:t>
                  </w:r>
                </w:p>
              </w:tc>
              <w:bookmarkEnd w:id="9"/>
            </w:tr>
          </w:tbl>
          <w:p w14:paraId="7C4F8E15" w14:textId="77777777" w:rsidR="002D2D73" w:rsidRDefault="002D2D73"/>
        </w:tc>
        <w:tc>
          <w:tcPr>
            <w:tcW w:w="3880" w:type="dxa"/>
          </w:tcPr>
          <w:tbl>
            <w:tblPr>
              <w:tblStyle w:val="Table"/>
              <w:tblW w:w="4900" w:type="pct"/>
              <w:tblLayout w:type="fixed"/>
              <w:tblLook w:val="0000" w:firstRow="0" w:lastRow="0" w:firstColumn="0" w:lastColumn="0" w:noHBand="0" w:noVBand="0"/>
            </w:tblPr>
            <w:tblGrid>
              <w:gridCol w:w="4476"/>
            </w:tblGrid>
            <w:tr w:rsidR="002D2D73" w14:paraId="4632F282" w14:textId="77777777">
              <w:tc>
                <w:tcPr>
                  <w:tcW w:w="0" w:type="auto"/>
                </w:tcPr>
                <w:p w14:paraId="130AAC66" w14:textId="77777777" w:rsidR="002D2D73" w:rsidRDefault="00325E60">
                  <w:pPr>
                    <w:pStyle w:val="Compact"/>
                  </w:pPr>
                  <w:bookmarkStart w:id="11" w:name="fig-ZIPsigma"/>
                  <w:r>
                    <w:rPr>
                      <w:noProof/>
                    </w:rPr>
                    <w:lastRenderedPageBreak/>
                    <w:drawing>
                      <wp:inline distT="0" distB="0" distL="0" distR="0" wp14:anchorId="44F01D81" wp14:editId="4AA8C0EB">
                        <wp:extent cx="2772075" cy="2772075"/>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3_Informe_final---forward_files/figure-docx/fig-ZIPsigma-1.png"/>
                                <pic:cNvPicPr>
                                  <a:picLocks noChangeAspect="1" noChangeArrowheads="1"/>
                                </pic:cNvPicPr>
                              </pic:nvPicPr>
                              <pic:blipFill>
                                <a:blip r:embed="rId8"/>
                                <a:stretch>
                                  <a:fillRect/>
                                </a:stretch>
                              </pic:blipFill>
                              <pic:spPr bwMode="auto">
                                <a:xfrm>
                                  <a:off x="0" y="0"/>
                                  <a:ext cx="2772075" cy="2772075"/>
                                </a:xfrm>
                                <a:prstGeom prst="rect">
                                  <a:avLst/>
                                </a:prstGeom>
                                <a:noFill/>
                                <a:ln w="9525">
                                  <a:noFill/>
                                  <a:headEnd/>
                                  <a:tailEnd/>
                                </a:ln>
                              </pic:spPr>
                            </pic:pic>
                          </a:graphicData>
                        </a:graphic>
                      </wp:inline>
                    </w:drawing>
                  </w:r>
                </w:p>
                <w:p w14:paraId="1B8486C5" w14:textId="77777777" w:rsidR="002D2D73" w:rsidRDefault="00325E60">
                  <w:pPr>
                    <w:pStyle w:val="ImageCaption"/>
                    <w:spacing w:before="200"/>
                  </w:pPr>
                  <w:r>
                    <w:lastRenderedPageBreak/>
                    <w:t>(b) ZIP sigma.</w:t>
                  </w:r>
                </w:p>
              </w:tc>
              <w:bookmarkEnd w:id="11"/>
            </w:tr>
          </w:tbl>
          <w:p w14:paraId="2B8E2EE2" w14:textId="77777777" w:rsidR="002D2D73" w:rsidRDefault="002D2D73"/>
        </w:tc>
      </w:tr>
    </w:tbl>
    <w:p w14:paraId="645945D6" w14:textId="77777777" w:rsidR="002D2D73" w:rsidRDefault="00325E60">
      <w:pPr>
        <w:pStyle w:val="ImageCaption"/>
        <w:spacing w:before="200"/>
      </w:pPr>
      <w:r>
        <w:lastRenderedPageBreak/>
        <w:t xml:space="preserve">Figure 1: The predicted </w:t>
      </w:r>
      <m:oMath>
        <m:r>
          <w:rPr>
            <w:rFonts w:ascii="Cambria Math" w:hAnsi="Cambria Math"/>
          </w:rPr>
          <m:t>μ</m:t>
        </m:r>
      </m:oMath>
      <w:r>
        <w:t xml:space="preserve"> and </w:t>
      </w:r>
      <m:oMath>
        <m:r>
          <w:rPr>
            <w:rFonts w:ascii="Cambria Math" w:hAnsi="Cambria Math"/>
          </w:rPr>
          <m:t>σ</m:t>
        </m:r>
      </m:oMath>
      <w:r>
        <w:t xml:space="preserve"> </w:t>
      </w:r>
      <w:r>
        <w:t>of the fitted ZIP model.</w:t>
      </w:r>
    </w:p>
    <w:bookmarkEnd w:id="10"/>
    <w:p w14:paraId="4FD91322" w14:textId="77777777" w:rsidR="002D2D73" w:rsidRDefault="00325E60">
      <w:pPr>
        <w:pStyle w:val="BodyText"/>
      </w:pPr>
      <w:r>
        <w:t xml:space="preserve"> </w:t>
      </w:r>
    </w:p>
    <w:tbl>
      <w:tblPr>
        <w:tblStyle w:val="Table"/>
        <w:tblW w:w="4900" w:type="pct"/>
        <w:tblLayout w:type="fixed"/>
        <w:tblLook w:val="0000" w:firstRow="0" w:lastRow="0" w:firstColumn="0" w:lastColumn="0" w:noHBand="0" w:noVBand="0"/>
      </w:tblPr>
      <w:tblGrid>
        <w:gridCol w:w="4692"/>
        <w:gridCol w:w="4692"/>
      </w:tblGrid>
      <w:tr w:rsidR="002D2D73" w14:paraId="21A36C67" w14:textId="77777777">
        <w:tc>
          <w:tcPr>
            <w:tcW w:w="3880" w:type="dxa"/>
          </w:tcPr>
          <w:tbl>
            <w:tblPr>
              <w:tblStyle w:val="Table"/>
              <w:tblW w:w="4900" w:type="pct"/>
              <w:tblLayout w:type="fixed"/>
              <w:tblLook w:val="0000" w:firstRow="0" w:lastRow="0" w:firstColumn="0" w:lastColumn="0" w:noHBand="0" w:noVBand="0"/>
            </w:tblPr>
            <w:tblGrid>
              <w:gridCol w:w="4476"/>
            </w:tblGrid>
            <w:tr w:rsidR="002D2D73" w14:paraId="7647DF8A" w14:textId="77777777">
              <w:tc>
                <w:tcPr>
                  <w:tcW w:w="0" w:type="auto"/>
                </w:tcPr>
                <w:p w14:paraId="55BFEADF" w14:textId="77777777" w:rsidR="002D2D73" w:rsidRDefault="00325E60">
                  <w:pPr>
                    <w:pStyle w:val="Compact"/>
                  </w:pPr>
                  <w:bookmarkStart w:id="12" w:name="fig-INC"/>
                  <w:bookmarkStart w:id="13" w:name="fig-INCZIPmu"/>
                  <w:r>
                    <w:rPr>
                      <w:noProof/>
                    </w:rPr>
                    <w:drawing>
                      <wp:inline distT="0" distB="0" distL="0" distR="0" wp14:anchorId="46FDD628" wp14:editId="130D8DC2">
                        <wp:extent cx="2772075" cy="2772075"/>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A3_Informe_final---forward_files/figure-docx/fig-INC-1.png"/>
                                <pic:cNvPicPr>
                                  <a:picLocks noChangeAspect="1" noChangeArrowheads="1"/>
                                </pic:cNvPicPr>
                              </pic:nvPicPr>
                              <pic:blipFill>
                                <a:blip r:embed="rId9"/>
                                <a:stretch>
                                  <a:fillRect/>
                                </a:stretch>
                              </pic:blipFill>
                              <pic:spPr bwMode="auto">
                                <a:xfrm>
                                  <a:off x="0" y="0"/>
                                  <a:ext cx="2772075" cy="2772075"/>
                                </a:xfrm>
                                <a:prstGeom prst="rect">
                                  <a:avLst/>
                                </a:prstGeom>
                                <a:noFill/>
                                <a:ln w="9525">
                                  <a:noFill/>
                                  <a:headEnd/>
                                  <a:tailEnd/>
                                </a:ln>
                              </pic:spPr>
                            </pic:pic>
                          </a:graphicData>
                        </a:graphic>
                      </wp:inline>
                    </w:drawing>
                  </w:r>
                </w:p>
                <w:p w14:paraId="3EA25FF4" w14:textId="77777777" w:rsidR="002D2D73" w:rsidRDefault="00325E60">
                  <w:pPr>
                    <w:pStyle w:val="ImageCaption"/>
                    <w:spacing w:before="200"/>
                  </w:pPr>
                  <w:r>
                    <w:t>(a) Wildfire counts.</w:t>
                  </w:r>
                </w:p>
              </w:tc>
              <w:bookmarkEnd w:id="12"/>
            </w:tr>
          </w:tbl>
          <w:p w14:paraId="3E57B169" w14:textId="77777777" w:rsidR="002D2D73" w:rsidRDefault="002D2D73"/>
        </w:tc>
        <w:tc>
          <w:tcPr>
            <w:tcW w:w="3880" w:type="dxa"/>
          </w:tcPr>
          <w:tbl>
            <w:tblPr>
              <w:tblStyle w:val="Table"/>
              <w:tblW w:w="4900" w:type="pct"/>
              <w:tblLayout w:type="fixed"/>
              <w:tblLook w:val="0000" w:firstRow="0" w:lastRow="0" w:firstColumn="0" w:lastColumn="0" w:noHBand="0" w:noVBand="0"/>
            </w:tblPr>
            <w:tblGrid>
              <w:gridCol w:w="4476"/>
            </w:tblGrid>
            <w:tr w:rsidR="002D2D73" w14:paraId="459D327C" w14:textId="77777777">
              <w:tc>
                <w:tcPr>
                  <w:tcW w:w="0" w:type="auto"/>
                </w:tcPr>
                <w:p w14:paraId="453DE1C9" w14:textId="77777777" w:rsidR="002D2D73" w:rsidRDefault="00325E60">
                  <w:pPr>
                    <w:pStyle w:val="Compact"/>
                  </w:pPr>
                  <w:bookmarkStart w:id="14" w:name="fig-ZIPmu_sigma"/>
                  <w:r>
                    <w:rPr>
                      <w:noProof/>
                    </w:rPr>
                    <w:drawing>
                      <wp:inline distT="0" distB="0" distL="0" distR="0" wp14:anchorId="0A03FB0F" wp14:editId="55C32F09">
                        <wp:extent cx="2772075" cy="2772075"/>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A3_Informe_final---forward_files/figure-docx/fig-ZIPmu_sigma-1.png"/>
                                <pic:cNvPicPr>
                                  <a:picLocks noChangeAspect="1" noChangeArrowheads="1"/>
                                </pic:cNvPicPr>
                              </pic:nvPicPr>
                              <pic:blipFill>
                                <a:blip r:embed="rId10"/>
                                <a:stretch>
                                  <a:fillRect/>
                                </a:stretch>
                              </pic:blipFill>
                              <pic:spPr bwMode="auto">
                                <a:xfrm>
                                  <a:off x="0" y="0"/>
                                  <a:ext cx="2772075" cy="2772075"/>
                                </a:xfrm>
                                <a:prstGeom prst="rect">
                                  <a:avLst/>
                                </a:prstGeom>
                                <a:noFill/>
                                <a:ln w="9525">
                                  <a:noFill/>
                                  <a:headEnd/>
                                  <a:tailEnd/>
                                </a:ln>
                              </pic:spPr>
                            </pic:pic>
                          </a:graphicData>
                        </a:graphic>
                      </wp:inline>
                    </w:drawing>
                  </w:r>
                </w:p>
                <w:p w14:paraId="720BB149" w14:textId="77777777" w:rsidR="002D2D73" w:rsidRDefault="00325E60">
                  <w:pPr>
                    <w:pStyle w:val="ImageCaption"/>
                    <w:spacing w:before="200"/>
                  </w:pPr>
                  <w:r>
                    <w:t>(b) Predicted fire count mean, conditional on a probability greater than 0.5 of fire.</w:t>
                  </w:r>
                </w:p>
              </w:tc>
              <w:bookmarkEnd w:id="14"/>
            </w:tr>
          </w:tbl>
          <w:p w14:paraId="3AA6875A" w14:textId="77777777" w:rsidR="002D2D73" w:rsidRDefault="002D2D73"/>
        </w:tc>
      </w:tr>
    </w:tbl>
    <w:p w14:paraId="158263B1" w14:textId="77777777" w:rsidR="002D2D73" w:rsidRDefault="00325E60">
      <w:pPr>
        <w:pStyle w:val="ImageCaption"/>
        <w:spacing w:before="200"/>
      </w:pPr>
      <w:r>
        <w:t>Figure 2: Observed wildfire counts and the model predicted fire count mean, conditional on a probability greater than 0.5 of occurrence of wildfire.</w:t>
      </w:r>
    </w:p>
    <w:p w14:paraId="46374096" w14:textId="77777777" w:rsidR="002D2D73" w:rsidRDefault="00325E60">
      <w:pPr>
        <w:pStyle w:val="Heading1"/>
      </w:pPr>
      <w:bookmarkStart w:id="15" w:name="sec-conclus"/>
      <w:bookmarkStart w:id="16" w:name="_Toc182056742"/>
      <w:bookmarkEnd w:id="13"/>
      <w:bookmarkEnd w:id="5"/>
      <w:r>
        <w:t>4. Conclusiones</w:t>
      </w:r>
      <w:bookmarkEnd w:id="16"/>
    </w:p>
    <w:p w14:paraId="50B598AD" w14:textId="77777777" w:rsidR="002D2D73" w:rsidRDefault="00325E60">
      <w:pPr>
        <w:pStyle w:val="FirstParagraph"/>
      </w:pPr>
      <w:r>
        <w:t>…</w:t>
      </w:r>
    </w:p>
    <w:p w14:paraId="61AF0B0C" w14:textId="77777777" w:rsidR="002D2D73" w:rsidRDefault="00325E60">
      <w:pPr>
        <w:pStyle w:val="Heading1"/>
      </w:pPr>
      <w:bookmarkStart w:id="17" w:name="referencias"/>
      <w:bookmarkStart w:id="18" w:name="_Toc182056743"/>
      <w:bookmarkEnd w:id="15"/>
      <w:r>
        <w:t>5. Referencias</w:t>
      </w:r>
      <w:bookmarkEnd w:id="18"/>
    </w:p>
    <w:p w14:paraId="1347C246" w14:textId="77777777" w:rsidR="002D2D73" w:rsidRDefault="00325E60">
      <w:pPr>
        <w:pStyle w:val="Bibliography"/>
      </w:pPr>
      <w:bookmarkStart w:id="19" w:name="ref-R2023"/>
      <w:bookmarkStart w:id="20" w:name="refs"/>
      <w:r>
        <w:t xml:space="preserve">R Core Team. 2023. </w:t>
      </w:r>
      <w:r>
        <w:rPr>
          <w:i/>
          <w:iCs/>
        </w:rPr>
        <w:t>R: A Language and Environment for Statistical Computing</w:t>
      </w:r>
      <w:r>
        <w:t xml:space="preserve">. Vienna, Austria: R Foundation for Statistical Computing. </w:t>
      </w:r>
      <w:hyperlink r:id="rId11">
        <w:r>
          <w:rPr>
            <w:rStyle w:val="Hyperlink"/>
          </w:rPr>
          <w:t>https://www.R-project.org/</w:t>
        </w:r>
      </w:hyperlink>
      <w:r>
        <w:t>.</w:t>
      </w:r>
    </w:p>
    <w:p w14:paraId="42F4B505" w14:textId="77777777" w:rsidR="002D2D73" w:rsidRDefault="00325E60">
      <w:pPr>
        <w:pStyle w:val="Bibliography"/>
      </w:pPr>
      <w:bookmarkStart w:id="21" w:name="ref-rigby2005_gamlss"/>
      <w:bookmarkEnd w:id="19"/>
      <w:r>
        <w:t xml:space="preserve">R. A. Rigby, and D. M. Stasinopoulos. 2005. “Generalized Additive Models for Location, Scale and Shape,(with Discussion).” </w:t>
      </w:r>
      <w:r>
        <w:rPr>
          <w:i/>
          <w:iCs/>
        </w:rPr>
        <w:t>Applied Statistics</w:t>
      </w:r>
      <w:r>
        <w:t xml:space="preserve"> 54.3: 507–54.</w:t>
      </w:r>
    </w:p>
    <w:bookmarkEnd w:id="21"/>
    <w:bookmarkEnd w:id="20"/>
    <w:bookmarkEnd w:id="17"/>
    <w:sectPr w:rsidR="002D2D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C2436C" w14:textId="77777777" w:rsidR="00325E60" w:rsidRDefault="00325E60">
      <w:pPr>
        <w:spacing w:after="0"/>
      </w:pPr>
      <w:r>
        <w:separator/>
      </w:r>
    </w:p>
  </w:endnote>
  <w:endnote w:type="continuationSeparator" w:id="0">
    <w:p w14:paraId="28492919" w14:textId="77777777" w:rsidR="00325E60" w:rsidRDefault="00325E6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IBM Plex Sans">
    <w:charset w:val="00"/>
    <w:family w:val="swiss"/>
    <w:pitch w:val="variable"/>
    <w:sig w:usb0="A00002EF" w:usb1="5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B8BD3" w14:textId="77777777" w:rsidR="00325E60" w:rsidRDefault="00325E60">
      <w:pPr>
        <w:spacing w:after="0"/>
      </w:pPr>
      <w:r>
        <w:separator/>
      </w:r>
    </w:p>
  </w:footnote>
  <w:footnote w:type="continuationSeparator" w:id="0">
    <w:p w14:paraId="1B5C95C3" w14:textId="77777777" w:rsidR="00325E60" w:rsidRDefault="00325E6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A468BC1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AE62B8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170CD2DE"/>
    <w:multiLevelType w:val="multilevel"/>
    <w:tmpl w:val="8DDA53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105619050">
    <w:abstractNumId w:val="2"/>
  </w:num>
  <w:num w:numId="2" w16cid:durableId="1264797556">
    <w:abstractNumId w:val="0"/>
  </w:num>
  <w:num w:numId="3" w16cid:durableId="9898724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6246D"/>
    <w:rsid w:val="0004275C"/>
    <w:rsid w:val="0005258F"/>
    <w:rsid w:val="000B4C47"/>
    <w:rsid w:val="00133D86"/>
    <w:rsid w:val="001A136B"/>
    <w:rsid w:val="001B4858"/>
    <w:rsid w:val="00254FE1"/>
    <w:rsid w:val="00283004"/>
    <w:rsid w:val="002D2D73"/>
    <w:rsid w:val="002E5705"/>
    <w:rsid w:val="00325E60"/>
    <w:rsid w:val="004446A0"/>
    <w:rsid w:val="0050496B"/>
    <w:rsid w:val="00533E4C"/>
    <w:rsid w:val="0054628D"/>
    <w:rsid w:val="005924AF"/>
    <w:rsid w:val="005B4322"/>
    <w:rsid w:val="006E0A87"/>
    <w:rsid w:val="00710620"/>
    <w:rsid w:val="00727E91"/>
    <w:rsid w:val="008E15D8"/>
    <w:rsid w:val="00A064E4"/>
    <w:rsid w:val="00A6246D"/>
    <w:rsid w:val="00AB214D"/>
    <w:rsid w:val="00AE0BA5"/>
    <w:rsid w:val="00B34A44"/>
    <w:rsid w:val="00C057E0"/>
    <w:rsid w:val="00C5246C"/>
    <w:rsid w:val="00CF07A9"/>
    <w:rsid w:val="00E21242"/>
    <w:rsid w:val="00E369EE"/>
    <w:rsid w:val="00E83885"/>
    <w:rsid w:val="00F83B43"/>
    <w:rsid w:val="00FE25D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42CAE"/>
  <w15:docId w15:val="{E58E987D-0922-4054-9007-1C45FC737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5258F"/>
    <w:pPr>
      <w:keepNext/>
      <w:keepLines/>
      <w:spacing w:before="480" w:after="0"/>
      <w:outlineLvl w:val="0"/>
    </w:pPr>
    <w:rPr>
      <w:rFonts w:ascii="IBM Plex Sans" w:eastAsiaTheme="majorEastAsia" w:hAnsi="IBM Plex Sans" w:cstheme="majorBidi"/>
      <w:b/>
      <w:bCs/>
      <w:sz w:val="28"/>
      <w:szCs w:val="32"/>
    </w:rPr>
  </w:style>
  <w:style w:type="paragraph" w:styleId="Heading2">
    <w:name w:val="heading 2"/>
    <w:basedOn w:val="Normal"/>
    <w:next w:val="BodyText"/>
    <w:uiPriority w:val="9"/>
    <w:unhideWhenUsed/>
    <w:qFormat/>
    <w:rsid w:val="0005258F"/>
    <w:pPr>
      <w:keepNext/>
      <w:keepLines/>
      <w:spacing w:before="200" w:after="0"/>
      <w:outlineLvl w:val="1"/>
    </w:pPr>
    <w:rPr>
      <w:rFonts w:ascii="IBM Plex Sans" w:eastAsiaTheme="majorEastAsia" w:hAnsi="IBM Plex Sans" w:cstheme="majorBidi"/>
      <w:b/>
      <w:bCs/>
      <w:sz w:val="26"/>
      <w:szCs w:val="28"/>
    </w:rPr>
  </w:style>
  <w:style w:type="paragraph" w:styleId="Heading3">
    <w:name w:val="heading 3"/>
    <w:basedOn w:val="Normal"/>
    <w:next w:val="BodyText"/>
    <w:uiPriority w:val="9"/>
    <w:unhideWhenUsed/>
    <w:qFormat/>
    <w:rsid w:val="000B4C47"/>
    <w:pPr>
      <w:keepNext/>
      <w:keepLines/>
      <w:spacing w:before="200" w:after="0"/>
      <w:outlineLvl w:val="2"/>
    </w:pPr>
    <w:rPr>
      <w:rFonts w:ascii="IBM Plex Sans" w:eastAsiaTheme="majorEastAsia" w:hAnsi="IBM Plex Sans" w:cstheme="majorBidi"/>
      <w:bCs/>
      <w:i/>
    </w:rPr>
  </w:style>
  <w:style w:type="paragraph" w:styleId="Heading4">
    <w:name w:val="heading 4"/>
    <w:basedOn w:val="Normal"/>
    <w:next w:val="BodyText"/>
    <w:uiPriority w:val="9"/>
    <w:unhideWhenUsed/>
    <w:qFormat/>
    <w:rsid w:val="000B4C47"/>
    <w:pPr>
      <w:keepNext/>
      <w:keepLines/>
      <w:spacing w:before="200" w:after="0"/>
      <w:outlineLvl w:val="3"/>
    </w:pPr>
    <w:rPr>
      <w:rFonts w:ascii="IBM Plex Sans" w:eastAsiaTheme="majorEastAsia" w:hAnsi="IBM Plex Sans" w:cstheme="majorBidi"/>
      <w:bCs/>
      <w:i/>
    </w:rPr>
  </w:style>
  <w:style w:type="paragraph" w:styleId="Heading5">
    <w:name w:val="heading 5"/>
    <w:basedOn w:val="Normal"/>
    <w:next w:val="BodyText"/>
    <w:uiPriority w:val="9"/>
    <w:unhideWhenUsed/>
    <w:qFormat/>
    <w:rsid w:val="000B4C47"/>
    <w:pPr>
      <w:keepNext/>
      <w:keepLines/>
      <w:spacing w:before="200" w:after="0"/>
      <w:outlineLvl w:val="4"/>
    </w:pPr>
    <w:rPr>
      <w:rFonts w:ascii="IBM Plex Sans" w:eastAsiaTheme="majorEastAsia" w:hAnsi="IBM Plex Sans" w:cstheme="majorBidi"/>
      <w:iCs/>
    </w:rPr>
  </w:style>
  <w:style w:type="paragraph" w:styleId="Heading6">
    <w:name w:val="heading 6"/>
    <w:basedOn w:val="Normal"/>
    <w:next w:val="BodyText"/>
    <w:uiPriority w:val="9"/>
    <w:unhideWhenUsed/>
    <w:qFormat/>
    <w:rsid w:val="000B4C47"/>
    <w:pPr>
      <w:keepNext/>
      <w:keepLines/>
      <w:spacing w:before="200" w:after="0"/>
      <w:outlineLvl w:val="5"/>
    </w:pPr>
    <w:rPr>
      <w:rFonts w:ascii="IBM Plex Sans" w:eastAsiaTheme="majorEastAsia" w:hAnsi="IBM Plex Sans" w:cstheme="majorBidi"/>
    </w:rPr>
  </w:style>
  <w:style w:type="paragraph" w:styleId="Heading7">
    <w:name w:val="heading 7"/>
    <w:basedOn w:val="Normal"/>
    <w:next w:val="BodyText"/>
    <w:uiPriority w:val="9"/>
    <w:unhideWhenUsed/>
    <w:qFormat/>
    <w:rsid w:val="000B4C47"/>
    <w:pPr>
      <w:keepNext/>
      <w:keepLines/>
      <w:spacing w:before="200" w:after="0"/>
      <w:outlineLvl w:val="6"/>
    </w:pPr>
    <w:rPr>
      <w:rFonts w:ascii="IBM Plex Sans" w:eastAsiaTheme="majorEastAsia" w:hAnsi="IBM Plex Sans" w:cstheme="majorBidi"/>
    </w:rPr>
  </w:style>
  <w:style w:type="paragraph" w:styleId="Heading8">
    <w:name w:val="heading 8"/>
    <w:basedOn w:val="Normal"/>
    <w:next w:val="BodyText"/>
    <w:uiPriority w:val="9"/>
    <w:unhideWhenUsed/>
    <w:qFormat/>
    <w:rsid w:val="000B4C47"/>
    <w:pPr>
      <w:keepNext/>
      <w:keepLines/>
      <w:spacing w:before="200" w:after="0"/>
      <w:outlineLvl w:val="7"/>
    </w:pPr>
    <w:rPr>
      <w:rFonts w:ascii="IBM Plex Sans" w:eastAsiaTheme="majorEastAsia" w:hAnsi="IBM Plex Sans" w:cstheme="majorBidi"/>
    </w:rPr>
  </w:style>
  <w:style w:type="paragraph" w:styleId="Heading9">
    <w:name w:val="heading 9"/>
    <w:basedOn w:val="Normal"/>
    <w:next w:val="BodyText"/>
    <w:uiPriority w:val="9"/>
    <w:unhideWhenUsed/>
    <w:qFormat/>
    <w:rsid w:val="000B4C47"/>
    <w:pPr>
      <w:keepNext/>
      <w:keepLines/>
      <w:spacing w:before="200" w:after="0"/>
      <w:outlineLvl w:val="8"/>
    </w:pPr>
    <w:rPr>
      <w:rFonts w:ascii="IBM Plex Sans" w:eastAsiaTheme="majorEastAsia" w:hAnsi="IBM Plex Sans"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E83885"/>
    <w:pPr>
      <w:spacing w:before="180" w:after="180"/>
    </w:pPr>
    <w:rPr>
      <w:rFonts w:ascii="IBM Plex Sans" w:hAnsi="IBM Plex Sans"/>
      <w:sz w:val="22"/>
    </w:rPr>
  </w:style>
  <w:style w:type="paragraph" w:customStyle="1" w:styleId="FirstParagraph">
    <w:name w:val="First Paragraph"/>
    <w:basedOn w:val="BodyText"/>
    <w:next w:val="BodyText"/>
    <w:qFormat/>
    <w:rsid w:val="00E83885"/>
  </w:style>
  <w:style w:type="paragraph" w:customStyle="1" w:styleId="Compact">
    <w:name w:val="Compact"/>
    <w:basedOn w:val="BodyText"/>
    <w:qFormat/>
    <w:pPr>
      <w:spacing w:before="36" w:after="36"/>
    </w:pPr>
  </w:style>
  <w:style w:type="paragraph" w:styleId="Title">
    <w:name w:val="Title"/>
    <w:basedOn w:val="Normal"/>
    <w:next w:val="BodyText"/>
    <w:qFormat/>
    <w:rsid w:val="0005258F"/>
    <w:pPr>
      <w:keepNext/>
      <w:keepLines/>
      <w:spacing w:before="480" w:after="240"/>
      <w:jc w:val="center"/>
    </w:pPr>
    <w:rPr>
      <w:rFonts w:ascii="IBM Plex Sans" w:eastAsiaTheme="majorEastAsia" w:hAnsi="IBM Plex Sans" w:cstheme="majorBidi"/>
      <w:b/>
      <w:bCs/>
      <w:sz w:val="28"/>
      <w:szCs w:val="36"/>
    </w:rPr>
  </w:style>
  <w:style w:type="paragraph" w:styleId="Subtitle">
    <w:name w:val="Subtitle"/>
    <w:basedOn w:val="Title"/>
    <w:next w:val="BodyText"/>
    <w:qFormat/>
    <w:rsid w:val="00E369EE"/>
    <w:pPr>
      <w:spacing w:before="240"/>
    </w:pPr>
    <w:rPr>
      <w:sz w:val="26"/>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83885"/>
    <w:pPr>
      <w:keepNext/>
    </w:pPr>
    <w:rPr>
      <w:rFonts w:ascii="IBM Plex Sans" w:hAnsi="IBM Plex Sans"/>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sid w:val="00AE0BA5"/>
    <w:rPr>
      <w:rFonts w:ascii="IBM Plex Sans" w:hAnsi="IBM Plex Sans"/>
      <w:color w:val="auto"/>
      <w:sz w:val="22"/>
    </w:rPr>
  </w:style>
  <w:style w:type="paragraph" w:styleId="TOCHeading">
    <w:name w:val="TOC Heading"/>
    <w:basedOn w:val="Heading1"/>
    <w:next w:val="BodyText"/>
    <w:uiPriority w:val="39"/>
    <w:unhideWhenUsed/>
    <w:qFormat/>
    <w:rsid w:val="00AB214D"/>
    <w:pPr>
      <w:spacing w:before="240" w:line="259" w:lineRule="auto"/>
      <w:outlineLvl w:val="9"/>
    </w:pPr>
    <w:rPr>
      <w:bCs w:val="0"/>
      <w:sz w:val="26"/>
    </w:rPr>
  </w:style>
  <w:style w:type="paragraph" w:styleId="Header">
    <w:name w:val="header"/>
    <w:basedOn w:val="Normal"/>
    <w:link w:val="HeaderChar"/>
    <w:rsid w:val="0005258F"/>
    <w:pPr>
      <w:tabs>
        <w:tab w:val="center" w:pos="4680"/>
        <w:tab w:val="right" w:pos="9360"/>
      </w:tabs>
      <w:spacing w:after="0"/>
    </w:pPr>
  </w:style>
  <w:style w:type="character" w:customStyle="1" w:styleId="HeaderChar">
    <w:name w:val="Header Char"/>
    <w:basedOn w:val="DefaultParagraphFont"/>
    <w:link w:val="Header"/>
    <w:rsid w:val="0005258F"/>
  </w:style>
  <w:style w:type="paragraph" w:styleId="Footer">
    <w:name w:val="footer"/>
    <w:basedOn w:val="Normal"/>
    <w:link w:val="FooterChar"/>
    <w:rsid w:val="0005258F"/>
    <w:pPr>
      <w:tabs>
        <w:tab w:val="center" w:pos="4680"/>
        <w:tab w:val="right" w:pos="9360"/>
      </w:tabs>
      <w:spacing w:after="0"/>
    </w:pPr>
  </w:style>
  <w:style w:type="character" w:customStyle="1" w:styleId="FooterChar">
    <w:name w:val="Footer Char"/>
    <w:basedOn w:val="DefaultParagraphFont"/>
    <w:link w:val="Footer"/>
    <w:rsid w:val="0005258F"/>
  </w:style>
  <w:style w:type="paragraph" w:styleId="TOAHeading">
    <w:name w:val="toa heading"/>
    <w:basedOn w:val="Normal"/>
    <w:next w:val="Normal"/>
    <w:rsid w:val="00B34A44"/>
    <w:pPr>
      <w:spacing w:before="120"/>
    </w:pPr>
    <w:rPr>
      <w:rFonts w:ascii="IBM Plex Sans" w:eastAsiaTheme="majorEastAsia" w:hAnsi="IBM Plex Sans" w:cstheme="majorBidi"/>
      <w:b/>
      <w:bCs/>
    </w:rPr>
  </w:style>
  <w:style w:type="paragraph" w:styleId="TOC1">
    <w:name w:val="toc 1"/>
    <w:basedOn w:val="Normal"/>
    <w:next w:val="Normal"/>
    <w:autoRedefine/>
    <w:uiPriority w:val="39"/>
    <w:rsid w:val="00B34A44"/>
    <w:pPr>
      <w:spacing w:after="100"/>
    </w:pPr>
  </w:style>
  <w:style w:type="paragraph" w:styleId="TOC2">
    <w:name w:val="toc 2"/>
    <w:basedOn w:val="Normal"/>
    <w:next w:val="Normal"/>
    <w:autoRedefine/>
    <w:uiPriority w:val="39"/>
    <w:rsid w:val="00B34A44"/>
    <w:pPr>
      <w:spacing w:after="100"/>
      <w:ind w:left="240"/>
    </w:pPr>
  </w:style>
  <w:style w:type="paragraph" w:styleId="TOC3">
    <w:name w:val="toc 3"/>
    <w:basedOn w:val="Normal"/>
    <w:next w:val="Normal"/>
    <w:autoRedefine/>
    <w:uiPriority w:val="39"/>
    <w:rsid w:val="00B34A44"/>
    <w:pPr>
      <w:spacing w:after="100"/>
      <w:ind w:left="480"/>
    </w:p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b/>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b/>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1344</Words>
  <Characters>7664</Characters>
  <Application>Microsoft Office Word</Application>
  <DocSecurity>0</DocSecurity>
  <Lines>63</Lines>
  <Paragraphs>17</Paragraphs>
  <ScaleCrop>false</ScaleCrop>
  <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Geomorphometric analysis of wildfire occurrence in a humid tropical protected area: a case study in Southern Pacific Costa Rica</dc:title>
  <dc:creator>Shu Wei Chou Chen</dc:creator>
  <cp:keywords/>
  <cp:lastModifiedBy>SHU WEI CHOU CHEN</cp:lastModifiedBy>
  <cp:revision>1</cp:revision>
  <dcterms:created xsi:type="dcterms:W3CDTF">2024-11-09T20:55:00Z</dcterms:created>
  <dcterms:modified xsi:type="dcterms:W3CDTF">2024-11-09T20:59:00Z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referencias.bib</vt:lpwstr>
  </property>
  <property fmtid="{D5CDD505-2E9C-101B-9397-08002B2CF9AE}" pid="6" name="bibliographystyle">
    <vt:lpwstr>apa</vt:lpwstr>
  </property>
  <property fmtid="{D5CDD505-2E9C-101B-9397-08002B2CF9AE}" pid="7" name="by-affiliation">
    <vt:lpwstr/>
  </property>
  <property fmtid="{D5CDD505-2E9C-101B-9397-08002B2CF9AE}" pid="8" name="by-author">
    <vt:lpwstr/>
  </property>
  <property fmtid="{D5CDD505-2E9C-101B-9397-08002B2CF9AE}" pid="9" name="editor">
    <vt:lpwstr>visual</vt:lpwstr>
  </property>
  <property fmtid="{D5CDD505-2E9C-101B-9397-08002B2CF9AE}" pid="10" name="execute">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subtitle">
    <vt:lpwstr>Primary Results</vt:lpwstr>
  </property>
  <property fmtid="{D5CDD505-2E9C-101B-9397-08002B2CF9AE}" pid="16" name="toc-title">
    <vt:lpwstr>Table of contents</vt:lpwstr>
  </property>
</Properties>
</file>