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包结构：</w:t>
      </w:r>
    </w:p>
    <w:p>
      <w:r>
        <w:drawing>
          <wp:inline distT="0" distB="0" distL="114300" distR="114300">
            <wp:extent cx="3870960" cy="40995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bin: 脚本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dcwlt-api: 存放实体类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dcwlt-auth: 权限认证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dcwlt-common: 公共组件包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Dcwlt-gateway: 网关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Dcwlt-modules: 业务模块包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项目启动需要的组件：nacos，rocketmq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以225，227为例，报文开发：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225为兑出交易，通过互联互通发给我行，我行为接收机构，互联互通为发起机构</w:t>
      </w:r>
    </w:p>
    <w:p>
      <w:r>
        <w:drawing>
          <wp:inline distT="0" distB="0" distL="114300" distR="114300">
            <wp:extent cx="3451860" cy="227076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275840"/>
            <wp:effectExtent l="0" t="0" r="127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7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在applicationcontext.xml中配上报文的接收参数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每一个&lt;value&gt;标签代表一个接口的</w:t>
      </w:r>
      <w:bookmarkStart w:id="0" w:name="_GoBack"/>
      <w:bookmarkEnd w:id="0"/>
      <w:r>
        <w:rPr>
          <w:rFonts w:hint="eastAsia"/>
          <w:lang w:val="en-US" w:eastAsia="zh-CN"/>
        </w:rPr>
        <w:t>配置，配置包含前两个必输参数与最后一个选输参数，使用英文的逗号","分隔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其中第一个参数为报文编号，对应互联互通报文头的 MsgTp 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第二个参数为交易处理器，根据第一个参数与第二个参数的配置，平台会自动将报文装箱并分发到交易处理器执行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5A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2021-03-31T03:08:19Z</dcterms:created>
  <dc:creator>yangjwe</dc:creator>
  <cp:lastModifiedBy>yangjwe</cp:lastModifiedBy>
  <dcterms:modified xsi:type="dcterms:W3CDTF">2021-03-31T05:27:12Z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E9F20EB3AE6447869A0D4DB1186DD5AF</vt:lpwstr>
  </property>
</Properties>
</file>